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kern w:val="44"/>
          <w:sz w:val="24"/>
          <w:szCs w:val="24"/>
          <w14:textFill>
            <w14:solidFill>
              <w14:schemeClr w14:val="tx1"/>
            </w14:solidFill>
          </w14:textFill>
        </w:rPr>
        <w:t xml:space="preserve"> 凤台县国土局“一网、一门、一次”改革工作系统网络安全设备采购 项目招标公告 </w:t>
      </w:r>
    </w:p>
    <w:p>
      <w:pPr>
        <w:spacing w:line="360" w:lineRule="auto"/>
        <w:ind w:firstLine="600" w:firstLineChars="25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华春建设工程项目管理有限责任公司 </w:t>
      </w:r>
      <w:r>
        <w:rPr>
          <w:rFonts w:hint="eastAsia" w:asciiTheme="minorEastAsia" w:hAnsiTheme="minorEastAsia" w:eastAsiaTheme="minorEastAsia"/>
          <w:color w:val="000000" w:themeColor="text1"/>
          <w:sz w:val="24"/>
          <w:szCs w:val="24"/>
          <w14:textFill>
            <w14:solidFill>
              <w14:schemeClr w14:val="tx1"/>
            </w14:solidFill>
          </w14:textFill>
        </w:rPr>
        <w:t>受</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凤台县国土资源局 </w:t>
      </w:r>
      <w:r>
        <w:rPr>
          <w:rFonts w:hint="eastAsia" w:asciiTheme="minorEastAsia" w:hAnsiTheme="minorEastAsia" w:eastAsiaTheme="minorEastAsia"/>
          <w:color w:val="000000" w:themeColor="text1"/>
          <w:sz w:val="24"/>
          <w:szCs w:val="24"/>
          <w14:textFill>
            <w14:solidFill>
              <w14:schemeClr w14:val="tx1"/>
            </w14:solidFill>
          </w14:textFill>
        </w:rPr>
        <w:t>的委托，对</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凤台县国土局“一网、一门、一次”改革工作系统网络安全设备采购项目 </w:t>
      </w:r>
      <w:r>
        <w:rPr>
          <w:rFonts w:hint="eastAsia" w:asciiTheme="minorEastAsia" w:hAnsiTheme="minorEastAsia" w:eastAsiaTheme="minorEastAsia"/>
          <w:color w:val="000000" w:themeColor="text1"/>
          <w:sz w:val="24"/>
          <w:szCs w:val="24"/>
          <w14:textFill>
            <w14:solidFill>
              <w14:schemeClr w14:val="tx1"/>
            </w14:solidFill>
          </w14:textFill>
        </w:rPr>
        <w:t>进行公开招标，欢迎符合条件的潜在供应商前来投标。</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一、招标编号：皖D采购FT-2018-048</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二、招标项目：凤台县国土局“一网、一门、一次”改革工作系统网络安全设备采购项目</w:t>
      </w:r>
    </w:p>
    <w:p>
      <w:pPr>
        <w:spacing w:line="360" w:lineRule="auto"/>
        <w:ind w:right="31" w:rightChars="1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三、采购方式：公开招标</w:t>
      </w:r>
    </w:p>
    <w:p>
      <w:pPr>
        <w:spacing w:line="360" w:lineRule="auto"/>
        <w:ind w:right="31" w:rightChars="1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四、项目预算及资金性质：820497元，自筹资金820497元</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五、采购需求：详见招标文件</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六、 最高限价：人民币820487元</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七、供货及完工期限：15日历天。</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八、项目实施地点：淮南市凤台县</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九、划分标段：一个标段</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十、投标供应商资格要求：</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1、供应商符合《中华人民共和国政府采购法》第二十二条规定的条件； </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2、在中国境内注册，具有独立法人资格；</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4、法定代表人为同一个人的两个及两个以上法人，母公司、全资子公司及其控投公司，不得对本项目同时投标；</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5、信誉要求：供应商承诺参加政府采购活动近三年内在经营活动中没有重大违法记录。</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shd w:val="clear" w:color="auto" w:fill="FFFFFF"/>
          <w14:textFill>
            <w14:solidFill>
              <w14:schemeClr w14:val="tx1"/>
            </w14:solidFill>
          </w14:textFill>
        </w:rPr>
        <w:t>6、核心设备</w:t>
      </w:r>
      <w:r>
        <w:rPr>
          <w:rFonts w:hint="eastAsia" w:cs="宋体" w:asciiTheme="minorEastAsia" w:hAnsiTheme="minorEastAsia" w:eastAsiaTheme="minorEastAsia"/>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提供相同品牌产品的不同投标人参加同一合同项下投标的，以其中通过资格审查、符合性审查且报价最低的参加评标；（核心设备：前置机）</w:t>
      </w:r>
    </w:p>
    <w:p>
      <w:pPr>
        <w:pStyle w:val="5"/>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7、本项目不接受联合体投标。</w:t>
      </w:r>
    </w:p>
    <w:p>
      <w:pPr>
        <w:adjustRightInd w:val="0"/>
        <w:snapToGrid w:val="0"/>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十一、报名方式、时间及招标文件领取</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1、报名时间：自公告发布之日起至开标前（北京时间，以本中心网站服务器时间为准）</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2、报名方式：网上报名。供应商报名前须在淮南市公共资源交易网</w:t>
      </w:r>
      <w:r>
        <w:rPr>
          <w:rFonts w:hint="eastAsia" w:asciiTheme="minorEastAsia" w:hAnsiTheme="minorEastAsia" w:eastAsiaTheme="minorEastAsia"/>
          <w:color w:val="000000" w:themeColor="text1"/>
          <w:sz w:val="24"/>
          <w:szCs w:val="24"/>
          <w:u w:val="single"/>
          <w14:textFill>
            <w14:solidFill>
              <w14:schemeClr w14:val="tx1"/>
            </w14:solidFill>
          </w14:textFill>
        </w:rPr>
        <w:t>新平台</w:t>
      </w:r>
      <w:r>
        <w:rPr>
          <w:rFonts w:hint="eastAsia" w:asciiTheme="minorEastAsia" w:hAnsiTheme="minorEastAsia" w:eastAsiaTheme="minorEastAsia"/>
          <w:color w:val="000000" w:themeColor="text1"/>
          <w:sz w:val="24"/>
          <w:szCs w:val="24"/>
          <w14:textFill>
            <w14:solidFill>
              <w14:schemeClr w14:val="tx1"/>
            </w14:solidFill>
          </w14:textFill>
        </w:rPr>
        <w:t>上完成实名登记（类型为供应商），方可进行网上报名。（实名登记具体详见淮南市公共资源交易网（www.hnsztb.cn）《关于对投标单位实行实名登记制的通知》；咨询电话：陈工、张工、马工0554-6667149 ）</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招标文件的获取及售价：报名成功后网上自行下载，招标文件售价：600元/份，提交投标文件时现场交纳，售后不退。供应商报名后，请登录实名制登记系统关注该项目答疑及补充通知，并关注淮南市公共资源交易网信息动态。</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4、发布媒介：</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（1）安徽省建设工程招投标信息网</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（2）安徽省招投标信息网</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（3）安徽省公共资源交易监督网</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（4）淮南市公共资源交易中心</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（5）安徽省政府采购网</w:t>
      </w:r>
    </w:p>
    <w:p>
      <w:pPr>
        <w:widowControl/>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出现下列情况的，投标人必须重新用数字证书签章和加密投标文件，并在投标截至时间之前上传完成到网上招投标系统；</w:t>
      </w:r>
    </w:p>
    <w:p>
      <w:pPr>
        <w:pStyle w:val="6"/>
        <w:widowControl/>
        <w:numPr>
          <w:ilvl w:val="0"/>
          <w:numId w:val="1"/>
        </w:numPr>
        <w:spacing w:line="360" w:lineRule="auto"/>
        <w:ind w:firstLineChars="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数字证书到期后重新续期；</w:t>
      </w:r>
    </w:p>
    <w:p>
      <w:pPr>
        <w:pStyle w:val="6"/>
        <w:widowControl/>
        <w:numPr>
          <w:ilvl w:val="0"/>
          <w:numId w:val="1"/>
        </w:numPr>
        <w:spacing w:line="360" w:lineRule="auto"/>
        <w:ind w:firstLineChars="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数字证书遗失、损坏、企业信息变更等情况更换新证书。</w:t>
      </w:r>
    </w:p>
    <w:p>
      <w:pPr>
        <w:widowControl/>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投标人由于数字证书遗失、损坏、更换、续期等情况导致投标文件无法解密，由投标人自行承担责任</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技术问题咨询电话：400-850-3300</w:t>
      </w:r>
    </w:p>
    <w:p>
      <w:pPr>
        <w:adjustRightInd w:val="0"/>
        <w:snapToGrid w:val="0"/>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十二、开标时间和开标地点</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开标时间：</w:t>
      </w:r>
      <w:r>
        <w:rPr>
          <w:rFonts w:hint="eastAsia" w:cs="宋体" w:asciiTheme="minorEastAsia" w:hAnsiTheme="minorEastAsia" w:eastAsiaTheme="minorEastAsia"/>
          <w:color w:val="000000" w:themeColor="text1"/>
          <w:kern w:val="0"/>
          <w:sz w:val="24"/>
          <w:szCs w:val="24"/>
          <w14:textFill>
            <w14:solidFill>
              <w14:schemeClr w14:val="tx1"/>
            </w14:solidFill>
          </w14:textFill>
        </w:rPr>
        <w:t xml:space="preserve">2019年 1月 </w:t>
      </w: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8</w:t>
      </w:r>
      <w:r>
        <w:rPr>
          <w:rFonts w:hint="eastAsia" w:cs="宋体" w:asciiTheme="minorEastAsia" w:hAnsiTheme="minorEastAsia" w:eastAsiaTheme="minorEastAsia"/>
          <w:color w:val="000000" w:themeColor="text1"/>
          <w:kern w:val="0"/>
          <w:sz w:val="24"/>
          <w:szCs w:val="24"/>
          <w14:textFill>
            <w14:solidFill>
              <w14:schemeClr w14:val="tx1"/>
            </w14:solidFill>
          </w14:textFill>
        </w:rPr>
        <w:t>日 9时00分（北京时间）</w:t>
      </w:r>
    </w:p>
    <w:p>
      <w:pPr>
        <w:adjustRightInd w:val="0"/>
        <w:snapToGrid w:val="0"/>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开标地点：凤台县公共资源交易中心</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一楼开标大厅</w:t>
      </w:r>
      <w:r>
        <w:rPr>
          <w:rFonts w:hint="eastAsia" w:asciiTheme="minorEastAsia" w:hAnsiTheme="minorEastAsia" w:eastAsiaTheme="minorEastAsia"/>
          <w:color w:val="000000" w:themeColor="text1"/>
          <w:sz w:val="24"/>
          <w:szCs w:val="24"/>
          <w14:textFill>
            <w14:solidFill>
              <w14:schemeClr w14:val="tx1"/>
            </w14:solidFill>
          </w14:textFill>
        </w:rPr>
        <w:t>（凤台县住房和城乡建设委员会</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楼）</w:t>
      </w:r>
    </w:p>
    <w:p>
      <w:pPr>
        <w:adjustRightInd w:val="0"/>
        <w:snapToGrid w:val="0"/>
        <w:spacing w:line="360" w:lineRule="auto"/>
        <w:ind w:firstLine="597" w:firstLineChars="249"/>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投标保证金：按标人应按时足额从基本户转入（电汇）至本公告所提供的保证金账户之一中，开标前（服务时间）到账为准，递交方式为转账或电汇。</w:t>
      </w:r>
    </w:p>
    <w:p>
      <w:pPr>
        <w:adjustRightInd w:val="0"/>
        <w:snapToGrid w:val="0"/>
        <w:spacing w:line="360" w:lineRule="auto"/>
        <w:ind w:firstLine="597" w:firstLineChars="249"/>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保证金账号：</w:t>
      </w:r>
    </w:p>
    <w:tbl>
      <w:tblPr>
        <w:tblStyle w:val="4"/>
        <w:tblW w:w="10182" w:type="dxa"/>
        <w:jc w:val="center"/>
        <w:tblInd w:w="0" w:type="dxa"/>
        <w:tblLayout w:type="fixed"/>
        <w:tblCellMar>
          <w:top w:w="0" w:type="dxa"/>
          <w:left w:w="0" w:type="dxa"/>
          <w:bottom w:w="0" w:type="dxa"/>
          <w:right w:w="0" w:type="dxa"/>
        </w:tblCellMar>
      </w:tblPr>
      <w:tblGrid>
        <w:gridCol w:w="1793"/>
        <w:gridCol w:w="1926"/>
        <w:gridCol w:w="3420"/>
        <w:gridCol w:w="3043"/>
      </w:tblGrid>
      <w:tr>
        <w:tblPrEx>
          <w:tblLayout w:type="fixed"/>
          <w:tblCellMar>
            <w:top w:w="0" w:type="dxa"/>
            <w:left w:w="0" w:type="dxa"/>
            <w:bottom w:w="0" w:type="dxa"/>
            <w:right w:w="0" w:type="dxa"/>
          </w:tblCellMar>
        </w:tblPrEx>
        <w:trPr>
          <w:trHeight w:val="769" w:hRule="atLeast"/>
          <w:jc w:val="center"/>
        </w:trPr>
        <w:tc>
          <w:tcPr>
            <w:tcW w:w="17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银行类别</w:t>
            </w:r>
          </w:p>
        </w:tc>
        <w:tc>
          <w:tcPr>
            <w:tcW w:w="19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户名</w:t>
            </w:r>
          </w:p>
        </w:tc>
        <w:tc>
          <w:tcPr>
            <w:tcW w:w="3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账号</w:t>
            </w:r>
          </w:p>
        </w:tc>
        <w:tc>
          <w:tcPr>
            <w:tcW w:w="30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开户银行</w:t>
            </w:r>
          </w:p>
        </w:tc>
      </w:tr>
      <w:tr>
        <w:tblPrEx>
          <w:tblLayout w:type="fixed"/>
          <w:tblCellMar>
            <w:top w:w="0" w:type="dxa"/>
            <w:left w:w="0" w:type="dxa"/>
            <w:bottom w:w="0" w:type="dxa"/>
            <w:right w:w="0" w:type="dxa"/>
          </w:tblCellMar>
        </w:tblPrEx>
        <w:trPr>
          <w:trHeight w:val="859" w:hRule="atLeast"/>
          <w:jc w:val="center"/>
        </w:trPr>
        <w:tc>
          <w:tcPr>
            <w:tcW w:w="179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asciiTheme="minorEastAsia" w:hAnsiTheme="minorEastAsia" w:eastAsiaTheme="minorEastAsia"/>
                <w:b/>
                <w:bCs/>
                <w:color w:val="000000" w:themeColor="text1"/>
                <w:sz w:val="24"/>
                <w:szCs w:val="24"/>
                <w14:textFill>
                  <w14:solidFill>
                    <w14:schemeClr w14:val="tx1"/>
                  </w14:solidFill>
                </w14:textFill>
              </w:rPr>
            </w:pPr>
            <w:r>
              <w:rPr>
                <w:rFonts w:hint="eastAsia" w:ascii="宋体" w:hAnsi="宋体" w:eastAsia="宋体" w:cs="宋体"/>
                <w:b/>
                <w:bCs/>
                <w:kern w:val="0"/>
                <w:sz w:val="24"/>
                <w:szCs w:val="24"/>
                <w:lang w:val="en-US" w:eastAsia="zh-CN" w:bidi="ar"/>
              </w:rPr>
              <w:t>凤台工商银行</w:t>
            </w:r>
          </w:p>
        </w:tc>
        <w:tc>
          <w:tcPr>
            <w:tcW w:w="192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宋体" w:hAnsi="宋体" w:eastAsia="宋体" w:cs="宋体"/>
                <w:b/>
                <w:bCs/>
                <w:kern w:val="0"/>
                <w:sz w:val="24"/>
                <w:szCs w:val="24"/>
                <w:lang w:val="en-US" w:eastAsia="zh-CN" w:bidi="ar"/>
              </w:rPr>
              <w:t>凤台县公共资源交易中心</w:t>
            </w:r>
          </w:p>
        </w:tc>
        <w:tc>
          <w:tcPr>
            <w:tcW w:w="34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宋体" w:hAnsi="宋体" w:cs="宋体"/>
                <w:b/>
                <w:bCs/>
                <w:kern w:val="0"/>
                <w:sz w:val="24"/>
                <w:szCs w:val="24"/>
                <w:lang w:val="en-US" w:eastAsia="zh-CN" w:bidi="ar"/>
              </w:rPr>
              <w:t>1304002138000065405</w:t>
            </w:r>
          </w:p>
        </w:tc>
        <w:tc>
          <w:tcPr>
            <w:tcW w:w="30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宋体" w:hAnsi="宋体" w:eastAsia="宋体" w:cs="宋体"/>
                <w:b/>
                <w:bCs/>
                <w:kern w:val="0"/>
                <w:sz w:val="24"/>
                <w:szCs w:val="24"/>
                <w:lang w:val="en-US" w:eastAsia="zh-CN" w:bidi="ar"/>
              </w:rPr>
              <w:t>中国工商银行股份有限公司凤台支行</w:t>
            </w:r>
          </w:p>
        </w:tc>
      </w:tr>
      <w:tr>
        <w:tblPrEx>
          <w:tblLayout w:type="fixed"/>
          <w:tblCellMar>
            <w:top w:w="0" w:type="dxa"/>
            <w:left w:w="0" w:type="dxa"/>
            <w:bottom w:w="0" w:type="dxa"/>
            <w:right w:w="0" w:type="dxa"/>
          </w:tblCellMar>
        </w:tblPrEx>
        <w:trPr>
          <w:trHeight w:val="825" w:hRule="atLeast"/>
          <w:jc w:val="center"/>
        </w:trPr>
        <w:tc>
          <w:tcPr>
            <w:tcW w:w="10182"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597" w:firstLineChars="249"/>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注：以上账户的账号仅为本项目本次采购活动使用，其他项目或本项目的另次开标均会变动，请供应商注意对应账号转入。</w:t>
            </w:r>
          </w:p>
        </w:tc>
      </w:tr>
    </w:tbl>
    <w:p>
      <w:pPr>
        <w:adjustRightInd w:val="0"/>
        <w:snapToGrid w:val="0"/>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十三、资格审查方式：资格后审。</w:t>
      </w:r>
    </w:p>
    <w:p>
      <w:pPr>
        <w:adjustRightInd w:val="0"/>
        <w:snapToGrid w:val="0"/>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olor w:val="000000" w:themeColor="text1"/>
          <w:sz w:val="24"/>
          <w:szCs w:val="24"/>
          <w14:textFill>
            <w14:solidFill>
              <w14:schemeClr w14:val="tx1"/>
            </w14:solidFill>
          </w14:textFill>
        </w:rPr>
        <w:t>、联系方式</w:t>
      </w:r>
    </w:p>
    <w:tbl>
      <w:tblPr>
        <w:tblStyle w:val="4"/>
        <w:tblW w:w="10099" w:type="dxa"/>
        <w:jc w:val="center"/>
        <w:tblInd w:w="0" w:type="dxa"/>
        <w:tblLayout w:type="fixed"/>
        <w:tblCellMar>
          <w:top w:w="0" w:type="dxa"/>
          <w:left w:w="108" w:type="dxa"/>
          <w:bottom w:w="0" w:type="dxa"/>
          <w:right w:w="108" w:type="dxa"/>
        </w:tblCellMar>
      </w:tblPr>
      <w:tblGrid>
        <w:gridCol w:w="3938"/>
        <w:gridCol w:w="6161"/>
      </w:tblGrid>
      <w:tr>
        <w:tblPrEx>
          <w:tblLayout w:type="fixed"/>
          <w:tblCellMar>
            <w:top w:w="0" w:type="dxa"/>
            <w:left w:w="108" w:type="dxa"/>
            <w:bottom w:w="0" w:type="dxa"/>
            <w:right w:w="108" w:type="dxa"/>
          </w:tblCellMar>
        </w:tblPrEx>
        <w:trPr>
          <w:trHeight w:val="584" w:hRule="atLeast"/>
          <w:jc w:val="center"/>
        </w:trPr>
        <w:tc>
          <w:tcPr>
            <w:tcW w:w="3938"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采购人：凤台县国土资源局           </w:t>
            </w:r>
          </w:p>
        </w:tc>
        <w:tc>
          <w:tcPr>
            <w:tcW w:w="6161"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招标代理机构：华春建设工程项目管理有限责任公司</w:t>
            </w:r>
          </w:p>
        </w:tc>
      </w:tr>
      <w:tr>
        <w:tblPrEx>
          <w:tblLayout w:type="fixed"/>
          <w:tblCellMar>
            <w:top w:w="0" w:type="dxa"/>
            <w:left w:w="108" w:type="dxa"/>
            <w:bottom w:w="0" w:type="dxa"/>
            <w:right w:w="108" w:type="dxa"/>
          </w:tblCellMar>
        </w:tblPrEx>
        <w:trPr>
          <w:trHeight w:val="582" w:hRule="atLeast"/>
          <w:jc w:val="center"/>
        </w:trPr>
        <w:tc>
          <w:tcPr>
            <w:tcW w:w="3938"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  址： 凤台县凤城大道</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项目负责人：毕磊</w:t>
            </w:r>
          </w:p>
        </w:tc>
        <w:tc>
          <w:tcPr>
            <w:tcW w:w="6161"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 址：淮南市谢家集区李郢孜</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项目负责人：范华水</w:t>
            </w:r>
          </w:p>
        </w:tc>
      </w:tr>
      <w:tr>
        <w:tblPrEx>
          <w:tblLayout w:type="fixed"/>
          <w:tblCellMar>
            <w:top w:w="0" w:type="dxa"/>
            <w:left w:w="108" w:type="dxa"/>
            <w:bottom w:w="0" w:type="dxa"/>
            <w:right w:w="108" w:type="dxa"/>
          </w:tblCellMar>
        </w:tblPrEx>
        <w:trPr>
          <w:trHeight w:val="471" w:hRule="atLeast"/>
          <w:jc w:val="center"/>
        </w:trPr>
        <w:tc>
          <w:tcPr>
            <w:tcW w:w="3938"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联系人：毕磊</w:t>
            </w:r>
          </w:p>
        </w:tc>
        <w:tc>
          <w:tcPr>
            <w:tcW w:w="6161"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 系 人：左从桃</w:t>
            </w:r>
          </w:p>
        </w:tc>
      </w:tr>
      <w:tr>
        <w:tblPrEx>
          <w:tblLayout w:type="fixed"/>
          <w:tblCellMar>
            <w:top w:w="0" w:type="dxa"/>
            <w:left w:w="108" w:type="dxa"/>
            <w:bottom w:w="0" w:type="dxa"/>
            <w:right w:w="108" w:type="dxa"/>
          </w:tblCellMar>
        </w:tblPrEx>
        <w:trPr>
          <w:trHeight w:val="486" w:hRule="atLeast"/>
          <w:jc w:val="center"/>
        </w:trPr>
        <w:tc>
          <w:tcPr>
            <w:tcW w:w="3938"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  话：15705543925</w:t>
            </w:r>
          </w:p>
        </w:tc>
        <w:tc>
          <w:tcPr>
            <w:tcW w:w="6161" w:type="dxa"/>
            <w:vAlign w:val="center"/>
          </w:tcPr>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 话： 18098676722</w:t>
            </w:r>
          </w:p>
        </w:tc>
      </w:tr>
    </w:tbl>
    <w:p>
      <w:pPr>
        <w:widowControl/>
        <w:jc w:val="left"/>
        <w:rPr>
          <w:rFonts w:asciiTheme="minorEastAsia" w:hAnsiTheme="minorEastAsia" w:eastAsiaTheme="minorEastAsia"/>
          <w:color w:val="000000" w:themeColor="text1"/>
          <w:sz w:val="24"/>
          <w:szCs w:val="24"/>
          <w14:textFill>
            <w14:solidFill>
              <w14:schemeClr w14:val="tx1"/>
            </w14:solidFill>
          </w14:textFill>
        </w:rPr>
        <w:sectPr>
          <w:footerReference r:id="rId3" w:type="default"/>
          <w:pgSz w:w="11907" w:h="16840"/>
          <w:pgMar w:top="1323" w:right="1191" w:bottom="851" w:left="1418" w:header="907" w:footer="907" w:gutter="0"/>
          <w:pgNumType w:start="1"/>
          <w:cols w:space="720" w:num="1"/>
        </w:sectPr>
      </w:pPr>
    </w:p>
    <w:p>
      <w:pPr>
        <w:pBdr>
          <w:top w:val="single" w:color="auto" w:sz="4" w:space="1"/>
          <w:left w:val="single" w:color="auto" w:sz="4" w:space="4"/>
          <w:bottom w:val="single" w:color="auto" w:sz="4" w:space="1"/>
          <w:right w:val="single" w:color="auto" w:sz="4" w:space="4"/>
        </w:pBd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highlight w:val="white"/>
          <w14:textFill>
            <w14:solidFill>
              <w14:schemeClr w14:val="tx1"/>
            </w14:solidFill>
          </w14:textFill>
        </w:rPr>
        <w:t>电子招投标相关要求</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一、实名登记</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 xml:space="preserve">（一）本项目只接受在“安徽淮南公共资源交易中心网实名登记，通过验证的企业(供应商）报名，未入实名登记的潜在投标人（供应商）请及时办理登记手续； </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（二）已登记的企业（供应商）应及时对注册的信息进行维护，并对信息的真实性、准确性和完整性负责。如出现相应资料不全、不清楚、超出有效期等情况，由此产生的一切后果由投标人自行承担。</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投标人（供应商）应当取得和使用数字证书及电子印章，其在系统中所有操作都具有法律效力，并承担法律责任。如未办理的，请及时到淮南市公共资源交易中心202室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1、数字证书到期后重新续期；</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2、数字证书因遗失、损坏、企业信息变更等情况更换新证书。</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投标人由于数字证书遗失、损坏、更换、续期等情况导致投标文件无法解密，由投标人自行承担责任。</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二、报名下载招标文件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投标人在报名期内登录系统进行报名、下载招标文件和其他相关资料。</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如有补疑、答疑、澄清和修改，招标人在网上澄清公告栏发布相关内容，投标人应及时上网查阅，通过系统下载最新的答疑文件，据此制作投标文件。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三、制作投标文件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（一）投标人在交易系统中下载“投标文件制作软件”，通过软件制作、生成投标文件。技术问题咨询电话：</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（二）制作电子投标文件时请插上数字证书、打开投标文件制作软件、导入电子招标文件（答疑文件），按要求制作投标文件。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（三）投标文件中相关资格审查材料可以从实名登记库中挑选；投标文件如有图表等其他格式文件，可用附件形式上传至投标文件制作软件中。</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（四）经数字证书加密的投标文件必须在投标截止时间前完成上传，加密和解密必须使用同一数字证书。</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四、提交保证金</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bookmarkStart w:id="0" w:name="_Toc152042335"/>
      <w:bookmarkStart w:id="1" w:name="_Toc152045559"/>
      <w:bookmarkStart w:id="2" w:name="_Toc144974527"/>
      <w:bookmarkStart w:id="3" w:name="_Toc226189899"/>
      <w:r>
        <w:rPr>
          <w:rFonts w:hint="eastAsia" w:asciiTheme="minorEastAsia" w:hAnsiTheme="minorEastAsia" w:eastAsiaTheme="minorEastAsia"/>
          <w:color w:val="000000" w:themeColor="text1"/>
          <w:kern w:val="0"/>
          <w:sz w:val="24"/>
          <w:szCs w:val="24"/>
          <w14:textFill>
            <w14:solidFill>
              <w14:schemeClr w14:val="tx1"/>
            </w14:solidFill>
          </w14:textFill>
        </w:rPr>
        <w:t>投标保证金的到账截止时间为开标时间。投标保证金必须从投标人基本账户汇入到指定账户，未到达指定账户的投标恕不接受。</w:t>
      </w:r>
      <w:bookmarkStart w:id="4" w:name="_Toc144974523"/>
      <w:bookmarkEnd w:id="4"/>
      <w:bookmarkStart w:id="5" w:name="_Toc152042331"/>
      <w:bookmarkEnd w:id="5"/>
      <w:bookmarkStart w:id="6" w:name="_Toc226189895"/>
      <w:bookmarkEnd w:id="6"/>
      <w:bookmarkStart w:id="7" w:name="_Toc152045555"/>
      <w:bookmarkEnd w:id="7"/>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五、投标</w:t>
      </w:r>
      <w:bookmarkStart w:id="8" w:name="_Toc144974524"/>
      <w:bookmarkStart w:id="9" w:name="_Toc152045556"/>
      <w:bookmarkStart w:id="10" w:name="_Toc152042332"/>
      <w:bookmarkStart w:id="11" w:name="_Toc226189896"/>
    </w:p>
    <w:bookmarkEnd w:id="8"/>
    <w:bookmarkEnd w:id="9"/>
    <w:bookmarkEnd w:id="10"/>
    <w:bookmarkEnd w:id="11"/>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（一）电子投标文件的提交是指投标人使用系统完成上传投标文件，未在投标截止时间前完成上传的投标文件视为逾期送达。</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为了保障电子开评标活动正常进行，投标人在网上提交加密投标文件的同时，还需提供非加密投标文件电子光盘（或U盘）一份（投标文件制作软件在生成加密投标文件时，同时生成非加密投标文件），电子光盘（或U盘）由投标人自行刻录，投标人须保证启用电子光盘（U盘）时能正常读取。投标截止时间前，投标人应将密封的电子光盘（U盘）现场提交。</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（三）投标截止时间前，投标人可以修改或撤回已提交的投标文件，投标文件以投标截止时间前完成上传至系统的最后一份为准。</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bookmarkStart w:id="12" w:name="_Toc152045558"/>
      <w:bookmarkStart w:id="13" w:name="_Toc226189898"/>
      <w:bookmarkStart w:id="14" w:name="_Toc152042334"/>
      <w:bookmarkStart w:id="15" w:name="_Toc144974526"/>
      <w:r>
        <w:rPr>
          <w:rFonts w:hint="eastAsia" w:asciiTheme="minorEastAsia" w:hAnsiTheme="minorEastAsia" w:eastAsiaTheme="minorEastAsia"/>
          <w:color w:val="000000" w:themeColor="text1"/>
          <w:kern w:val="0"/>
          <w:sz w:val="24"/>
          <w:szCs w:val="24"/>
          <w14:textFill>
            <w14:solidFill>
              <w14:schemeClr w14:val="tx1"/>
            </w14:solidFill>
          </w14:textFill>
        </w:rPr>
        <w:t>（四）</w:t>
      </w:r>
      <w:bookmarkEnd w:id="12"/>
      <w:bookmarkEnd w:id="13"/>
      <w:bookmarkEnd w:id="14"/>
      <w:bookmarkEnd w:id="15"/>
      <w:r>
        <w:rPr>
          <w:rFonts w:hint="eastAsia" w:asciiTheme="minorEastAsia" w:hAnsiTheme="minorEastAsia" w:eastAsiaTheme="minorEastAsia"/>
          <w:color w:val="000000" w:themeColor="text1"/>
          <w:kern w:val="0"/>
          <w:sz w:val="24"/>
          <w:szCs w:val="24"/>
          <w14:textFill>
            <w14:solidFill>
              <w14:schemeClr w14:val="tx1"/>
            </w14:solidFill>
          </w14:textFill>
        </w:rPr>
        <w:t xml:space="preserve">投标截止时间以交易系统显示的时间为准，逾期系统将自动关闭, 未完成上传的投标文件将被拒绝。 </w:t>
      </w:r>
    </w:p>
    <w:bookmarkEnd w:id="0"/>
    <w:bookmarkEnd w:id="1"/>
    <w:bookmarkEnd w:id="2"/>
    <w:bookmarkEnd w:id="3"/>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六、开标</w:t>
      </w:r>
      <w:bookmarkStart w:id="16" w:name="_Toc152042336"/>
      <w:bookmarkStart w:id="17" w:name="_Toc226189900"/>
      <w:bookmarkStart w:id="18" w:name="_Toc144974528"/>
      <w:bookmarkStart w:id="19" w:name="_Toc152045560"/>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（一）开标时间、地点</w:t>
      </w:r>
      <w:bookmarkEnd w:id="16"/>
      <w:bookmarkEnd w:id="17"/>
      <w:bookmarkEnd w:id="18"/>
      <w:bookmarkEnd w:id="19"/>
      <w:r>
        <w:rPr>
          <w:rFonts w:hint="eastAsia" w:asciiTheme="minorEastAsia" w:hAnsiTheme="minorEastAsia" w:eastAsiaTheme="minorEastAsia"/>
          <w:color w:val="000000" w:themeColor="text1"/>
          <w:kern w:val="0"/>
          <w:sz w:val="24"/>
          <w:szCs w:val="24"/>
          <w14:textFill>
            <w14:solidFill>
              <w14:schemeClr w14:val="tx1"/>
            </w14:solidFill>
          </w14:textFill>
        </w:rPr>
        <w:t>和人员。招标人在规定的投标截止时间（开标时间）和地点公开开标，邀请所有投标人（供应商）的法定代表人或其委托代理人准时参加。</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w:t>
      </w:r>
      <w:bookmarkStart w:id="20" w:name="_Toc152042337"/>
      <w:bookmarkStart w:id="21" w:name="_Toc144974529"/>
      <w:bookmarkStart w:id="22" w:name="_Toc226189901"/>
      <w:bookmarkStart w:id="23" w:name="_Toc152045561"/>
      <w:r>
        <w:rPr>
          <w:rFonts w:hint="eastAsia" w:asciiTheme="minorEastAsia" w:hAnsiTheme="minorEastAsia" w:eastAsiaTheme="minorEastAsia"/>
          <w:color w:val="000000" w:themeColor="text1"/>
          <w:kern w:val="0"/>
          <w:sz w:val="24"/>
          <w:szCs w:val="24"/>
          <w14:textFill>
            <w14:solidFill>
              <w14:schemeClr w14:val="tx1"/>
            </w14:solidFill>
          </w14:textFill>
        </w:rPr>
        <w:t>开标程序</w:t>
      </w:r>
      <w:bookmarkEnd w:id="20"/>
      <w:bookmarkEnd w:id="21"/>
      <w:bookmarkEnd w:id="22"/>
      <w:bookmarkEnd w:id="23"/>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1、宣布开标纪律；</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 xml:space="preserve">2、宣布开标人、招标人、见证人、监督人等有关人员姓名； </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3、公布投标人名称并检查投标文件的数字证书有效性和加密状况；</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4、投标人在前附表规定的时间内解密其投标文件；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5、对投标截止时间前递交的投标文件由投标人解密后再由代理机构解密，当众开标；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6、当众唱标；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7、抽取下浮率（如有）</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8、开标结束。</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（三）开标时出现下列情形之一的，拒绝其投标。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1、未在投标截止时间前通过系统提交电子投标文件的；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2、投标人选择开标现场解密的，允许解密三次，当三次解密均不成功时，根据招标文件约定，允许导入电子光盘中未加密投标文件作为补救措施（投标人必须在投标截止时间之前到达开标现场并递交电子光盘，且电子光盘和网上递交的加密投标文件识别码一致，否则视为放弃投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3、投标人选择远程解密的，应在开标时间开始后30分钟内完成在线解密。否则，视为其放弃投标；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4、经检查数字证书无效的投标文件；</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5、投标文件未按招标文件要求进行加密和数字证书认证的；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6、不符合招标文件其他要求或对电子开标活动造成不良后果的。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bookmarkStart w:id="24" w:name="_Toc226189934"/>
      <w:r>
        <w:rPr>
          <w:rFonts w:hint="eastAsia" w:asciiTheme="minorEastAsia" w:hAnsiTheme="minorEastAsia" w:eastAsiaTheme="minorEastAsia"/>
          <w:color w:val="000000" w:themeColor="text1"/>
          <w:kern w:val="0"/>
          <w:sz w:val="24"/>
          <w:szCs w:val="24"/>
          <w14:textFill>
            <w14:solidFill>
              <w14:schemeClr w14:val="tx1"/>
            </w14:solidFill>
          </w14:textFill>
        </w:rPr>
        <w:t>七、评标</w:t>
      </w:r>
      <w:bookmarkEnd w:id="24"/>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（一）招标代理机构根据有关规定组织评标工作，依法组建的评标委员会按招标文件规定的评标办法进行电子评标，并对评标报告签字或电子签章确认。</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（二）投标人在评标期间应保持联系畅通，接受评标委员会可能发出的质询，在规定时间内澄清。未能按时澄清的，评标委员会将视同其放弃澄清。</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（三）投标人需补充实名登记库登记资料的，须在投标截止日前2个工作日完成。</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（四）项目评审中，投标文件出现下列情形之一的，评标委员会应终止对投标文件做后续评审：</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1、投标文件无法打开的；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2、投标文件中携带病毒并造成后果的；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3、恶意递交投标文件，企图造成网络堵塞或瘫痪的；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4、评标委员会认定的其他情形。</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八、意外情况的处理</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出现下列情形导致交易系统无法正常运行，或者无法保证招投标过程的公平、公正和信息安全时，除投标人责任外，其余各方当事人免责：</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 xml:space="preserve">（一）网络服务器发生故障而无法访问网站或无法使用网上招投标系统的； </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（二）网上招投标系统的软件或网络数据库出现错误，不能进行正常操作的；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（三）网上招投标系统发现有安全漏洞，有潜在泄密危险的；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（四）计算机病毒发作导致系统无法正常运行的；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（五）电力系统发生故障导致网上招投标系统无法运行的；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（六）其他无法保证招投标过程公平、公正和信息安全的。</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640"/>
    </w:sdtPr>
    <w:sdtContent>
      <w:p>
        <w:pPr>
          <w:pStyle w:val="2"/>
          <w:wordWrap w:val="0"/>
          <w:ind w:right="180"/>
          <w:jc w:val="right"/>
        </w:pPr>
        <w:r>
          <w:rPr>
            <w:rFonts w:hint="eastAsia"/>
          </w:rPr>
          <w:t xml:space="preserve">      </w:t>
        </w: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788"/>
    <w:multiLevelType w:val="multilevel"/>
    <w:tmpl w:val="03406788"/>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B270E"/>
    <w:rsid w:val="5D7B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2018-12-14T02:30:00Z</dcterms:created>
  <dc:creator>COCO</dc:creator>
  <cp:lastModifiedBy>COCO</cp:lastModifiedBy>
  <dcterms:modified xsi:type="dcterms:W3CDTF">2018-12-14T02:31:18Z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