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i w:val="0"/>
          <w:caps w:val="0"/>
          <w:color w:val="333333"/>
          <w:spacing w:val="0"/>
          <w:sz w:val="57"/>
          <w:szCs w:val="57"/>
        </w:rPr>
      </w:pPr>
      <w:r>
        <w:rPr>
          <w:rFonts w:hint="eastAsia" w:ascii="微软雅黑" w:hAnsi="微软雅黑" w:eastAsia="微软雅黑" w:cs="微软雅黑"/>
          <w:b w:val="0"/>
          <w:i w:val="0"/>
          <w:caps w:val="0"/>
          <w:color w:val="333333"/>
          <w:spacing w:val="0"/>
          <w:sz w:val="57"/>
          <w:szCs w:val="57"/>
          <w:bdr w:val="none" w:color="auto" w:sz="0" w:space="0"/>
          <w:shd w:val="clear" w:fill="FFFFFF"/>
        </w:rPr>
        <w:t>中华人民共和国电子商务法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eastAsia" w:ascii="黑体" w:hAnsi="font-size:16px;white-space:norm" w:eastAsia="黑体" w:cs="黑体"/>
          <w:i w:val="0"/>
          <w:caps w:val="0"/>
          <w:color w:val="333333"/>
          <w:spacing w:val="0"/>
          <w:sz w:val="27"/>
          <w:szCs w:val="27"/>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eastAsia"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第二章 电子商务经营者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960" w:firstLineChars="4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第一节 一般规定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960" w:firstLineChars="4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第二节 电子商务平台经营者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第三章 电子商务合同的订立与履行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第四章 电子商务争议解决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第五章 电子商务促进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eastAsia" w:ascii="楷体_GB2312" w:hAnsi="楷体_GB2312" w:eastAsia="楷体_GB2312" w:cs="楷体_GB2312"/>
          <w:b w:val="0"/>
          <w:bCs w:val="0"/>
          <w:i w:val="0"/>
          <w:caps w:val="0"/>
          <w:color w:val="333333"/>
          <w:spacing w:val="0"/>
          <w:sz w:val="24"/>
          <w:szCs w:val="24"/>
        </w:rPr>
      </w:pPr>
      <w:r>
        <w:rPr>
          <w:rFonts w:hint="eastAsia" w:ascii="楷体_GB2312" w:hAnsi="楷体_GB2312" w:eastAsia="楷体_GB2312" w:cs="楷体_GB2312"/>
          <w:b w:val="0"/>
          <w:bCs w:val="0"/>
          <w:i w:val="0"/>
          <w:caps w:val="0"/>
          <w:color w:val="333333"/>
          <w:spacing w:val="0"/>
          <w:sz w:val="24"/>
          <w:szCs w:val="24"/>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ascii="font-size:16px;white-space:norm" w:hAnsi="font-size:16px;white-space:norm" w:eastAsia="font-size:16px;white-space:norm" w:cs="font-size:16px;white-space:norm"/>
          <w:i w:val="0"/>
          <w:caps w:val="0"/>
          <w:color w:val="333333"/>
          <w:spacing w:val="0"/>
          <w:sz w:val="18"/>
          <w:szCs w:val="18"/>
        </w:rPr>
      </w:pPr>
      <w:r>
        <w:rPr>
          <w:rFonts w:ascii="黑体" w:hAnsi="font-size:16px;white-space:norm" w:eastAsia="黑体" w:cs="黑体"/>
          <w:i w:val="0"/>
          <w:caps w:val="0"/>
          <w:color w:val="333333"/>
          <w:spacing w:val="0"/>
          <w:sz w:val="27"/>
          <w:szCs w:val="27"/>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第一条</w:t>
      </w:r>
      <w:r>
        <w:rPr>
          <w:rFonts w:hint="eastAsia" w:ascii="仿宋_GB2312" w:hAnsi="仿宋_GB2312" w:eastAsia="仿宋_GB2312" w:cs="仿宋_GB2312"/>
          <w:i w:val="0"/>
          <w:caps w:val="0"/>
          <w:color w:val="333333"/>
          <w:spacing w:val="0"/>
          <w:sz w:val="24"/>
          <w:szCs w:val="24"/>
        </w:rPr>
        <w:t> 为了保障电子商务各方主体的合法权益，规范电子商务行为，维护市场秩序，促进电子商务持续健康发展，制定本法。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第二条 </w:t>
      </w:r>
      <w:r>
        <w:rPr>
          <w:rFonts w:hint="eastAsia" w:ascii="仿宋_GB2312" w:hAnsi="仿宋_GB2312" w:eastAsia="仿宋_GB2312" w:cs="仿宋_GB2312"/>
          <w:i w:val="0"/>
          <w:caps w:val="0"/>
          <w:color w:val="333333"/>
          <w:spacing w:val="0"/>
          <w:sz w:val="24"/>
          <w:szCs w:val="24"/>
        </w:rPr>
        <w:t>中华人民共和国境内的电子商务活动，适用本法。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24"/>
          <w:szCs w:val="24"/>
        </w:rPr>
        <w:t>本法所称电子商务，是指通过互联网等信息网络销售商品或者提供服务的经营活动。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24"/>
          <w:szCs w:val="24"/>
        </w:rPr>
        <w:t>法律、行政法规对销售商品或者提供服务有规定的，适用其规定。金融类产品和服务，利用信息网络提供新闻信息、音视频节目、出版以及文化产品等内容方面的服务，不适用本法。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第三条</w:t>
      </w:r>
      <w:r>
        <w:rPr>
          <w:rFonts w:hint="eastAsia" w:ascii="仿宋_GB2312" w:hAnsi="仿宋_GB2312" w:eastAsia="仿宋_GB2312" w:cs="仿宋_GB2312"/>
          <w:i w:val="0"/>
          <w:caps w:val="0"/>
          <w:color w:val="333333"/>
          <w:spacing w:val="0"/>
          <w:sz w:val="24"/>
          <w:szCs w:val="24"/>
        </w:rPr>
        <w:t> 国家鼓励发展电子商务新业态，创新商业模式，促进电子商务技术研发和推广应用，推进电子商务诚信体系建设，营造有利于电子商务创新发展的市场环境，充分发挥电子商务在推动高质量发展、满足人民日益增长的美好生活需要、构建开放型经济方面的重要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第四条</w:t>
      </w:r>
      <w:r>
        <w:rPr>
          <w:rFonts w:hint="eastAsia" w:ascii="仿宋_GB2312" w:hAnsi="仿宋_GB2312" w:eastAsia="仿宋_GB2312" w:cs="仿宋_GB2312"/>
          <w:i w:val="0"/>
          <w:caps w:val="0"/>
          <w:color w:val="333333"/>
          <w:spacing w:val="0"/>
          <w:sz w:val="24"/>
          <w:szCs w:val="24"/>
        </w:rPr>
        <w:t> 国家平等对待线上线下商务活动，促进线上线下融合发展，各级人民政府和有关部门不得采取歧视性的政策措施，不得滥用行政权力排除、限制市场竞争。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第五条</w:t>
      </w:r>
      <w:r>
        <w:rPr>
          <w:rFonts w:hint="eastAsia" w:ascii="仿宋_GB2312" w:hAnsi="仿宋_GB2312" w:eastAsia="仿宋_GB2312" w:cs="仿宋_GB2312"/>
          <w:i w:val="0"/>
          <w:caps w:val="0"/>
          <w:color w:val="333333"/>
          <w:spacing w:val="0"/>
          <w:sz w:val="24"/>
          <w:szCs w:val="24"/>
        </w:rPr>
        <w:t> 电子商务经营者从事经营活动，应当遵循自愿、平等、公平、诚信的原则，遵守法律和商业道德，公平参与市场竞争，履行消费者权益保护、环境保护、知识产权保护、网络安全与个人信息保护等方面的义务，承担产品和服务质量责任，接受政府和社会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第六条</w:t>
      </w:r>
      <w:r>
        <w:rPr>
          <w:rFonts w:hint="eastAsia" w:ascii="仿宋_GB2312" w:hAnsi="仿宋_GB2312" w:eastAsia="仿宋_GB2312" w:cs="仿宋_GB2312"/>
          <w:i w:val="0"/>
          <w:caps w:val="0"/>
          <w:color w:val="333333"/>
          <w:spacing w:val="0"/>
          <w:sz w:val="24"/>
          <w:szCs w:val="24"/>
        </w:rPr>
        <w:t> 国务院有关部门按照职责分工负责电子商务发展促进、监督管理等工作。县级以上地方各级人民政府可以根据本行政区域的实际情况，确定本行政区域内电子商务的部门职责划分。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第七条</w:t>
      </w:r>
      <w:r>
        <w:rPr>
          <w:rFonts w:hint="eastAsia" w:ascii="仿宋_GB2312" w:hAnsi="仿宋_GB2312" w:eastAsia="仿宋_GB2312" w:cs="仿宋_GB2312"/>
          <w:i w:val="0"/>
          <w:caps w:val="0"/>
          <w:color w:val="333333"/>
          <w:spacing w:val="0"/>
          <w:sz w:val="24"/>
          <w:szCs w:val="24"/>
        </w:rPr>
        <w:t> 国家建立符合电子商务特点的协同管理体系，推动形成有关部门、电子商务行业组织、电子商务经营者、消费者等共同参与的电子商务市场治理体系。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第八条</w:t>
      </w:r>
      <w:r>
        <w:rPr>
          <w:rFonts w:hint="eastAsia" w:ascii="仿宋_GB2312" w:hAnsi="仿宋_GB2312" w:eastAsia="仿宋_GB2312" w:cs="仿宋_GB2312"/>
          <w:i w:val="0"/>
          <w:caps w:val="0"/>
          <w:color w:val="333333"/>
          <w:spacing w:val="0"/>
          <w:sz w:val="24"/>
          <w:szCs w:val="24"/>
        </w:rPr>
        <w:t> 电子商务行业组织按照本组织章程开展行业自律，建立健全行业规范，推动行业诚信建设，监督、引导本行业经营者公平参与市场竞争。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第二章 电子商务经营者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font-size:16px;white-space:norm" w:hAnsi="font-size:16px;white-space:norm" w:eastAsia="font-size:16px;white-space:norm" w:cs="font-size:16px;white-space:norm"/>
          <w:i w:val="0"/>
          <w:caps w:val="0"/>
          <w:color w:val="333333"/>
          <w:spacing w:val="0"/>
          <w:sz w:val="18"/>
          <w:szCs w:val="18"/>
        </w:rPr>
      </w:pPr>
      <w:r>
        <w:rPr>
          <w:rFonts w:hint="default" w:ascii="font-size:16px;white-space:norm" w:hAnsi="font-size:16px;white-space:norm" w:eastAsia="font-size:16px;white-space:norm" w:cs="font-size:16px;white-space:norm"/>
          <w:i w:val="0"/>
          <w:caps w:val="0"/>
          <w:color w:val="333333"/>
          <w:spacing w:val="0"/>
          <w:sz w:val="18"/>
          <w:szCs w:val="18"/>
        </w:rPr>
        <w:t>第一节 一般规定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本法所称电子商务经营者，是指通过互联网等信息网络从事销售商品或者提供服务的经营活动的自然人、法人和非法人组织，包括电子商务平台经营者、平台内经营者以及通过自建网站、其他网络服务销售商品或者提供服务的电子商务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本法所称电子商务平台经营者，是指在电子商务中为交易双方或者多方提供网络经营场所、交易撮合、信息发布等服务，供交易双方或者多方独立开展交易活动的法人或者非法人组织。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本法所称平台内经营者，是指通过电子商务平台销售商品或者提供服务的电子商务经营者。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第十一条</w:t>
      </w:r>
      <w:r>
        <w:rPr>
          <w:rFonts w:hint="default" w:ascii="仿宋_GB2312" w:hAnsi="仿宋_GB2312" w:eastAsia="仿宋_GB2312" w:cs="仿宋_GB2312"/>
          <w:i w:val="0"/>
          <w:caps w:val="0"/>
          <w:color w:val="333333"/>
          <w:spacing w:val="0"/>
          <w:sz w:val="24"/>
          <w:szCs w:val="24"/>
        </w:rPr>
        <w:t> 电子商务经营者应当依法履行纳税义务，并依法享受税收优惠。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依照前条规定不需要办理市场主体登记的电子商务经营者在首次纳税义务发生后，应当依照税收征收管理法律、行政法规的规定申请办理税务登记，并如实申报纳税。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电子商务经营者从事经营活动，依法需要取得相关行政许可的，应当依法取得行政许可。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电子商务经营者销售的商品或者提供的服务应当符合保障人身、财产安全的要求和环境保护要求，不得销售或者提供法律、行政法规禁止交易的商品或者服务。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电子商务经营者销售商品或者提供服务应当依法出具纸质发票或者电子发票等购货凭证或者服务单据。电子发票与纸质发票具有同等法律效力。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电子商务经营者应当在其首页显著位置，持续公示营业执照信息、与其经营业务有关的行政许可信息、属于依照本法第十条规定的不需要办理市场主体登记情形等信息，或者上述信息的链接标识。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前款规定的信息发生变更的，电子商务经营者应当及时更新公示信息。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电子商务经营者自行终止从事电子商务的，应当提前三十日在首页显著位置持续公示有关信息。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第十七条 </w:t>
      </w:r>
      <w:r>
        <w:rPr>
          <w:rFonts w:hint="default" w:ascii="仿宋_GB2312" w:hAnsi="仿宋_GB2312" w:eastAsia="仿宋_GB2312" w:cs="仿宋_GB2312"/>
          <w:i w:val="0"/>
          <w:caps w:val="0"/>
          <w:color w:val="333333"/>
          <w:spacing w:val="0"/>
          <w:sz w:val="24"/>
          <w:szCs w:val="24"/>
        </w:rPr>
        <w:t>电子商务经营者应当全面、真实、准确、及时地披露商品或者服务信息，保障消费者的知情权和选择权。电子商务经营者不得以虚构交易、编造用户评价等方式进行虚假或者引人误解的商业宣传，欺骗、误导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电子商务经营者根据消费者的兴趣爱好、消费习惯等特征向其提供商品或者服务的搜索结果的，应当同时向该消费者提供不针对其个人特征的选项，尊重和平等保护消费者合法权益。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电子商务经营者向消费者发送广告的，应当遵守《中华人民共和国广告法》的有关规定。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电子商务经营者搭售商品或者服务，应当以显著方式提请消费者注意，不得将搭售商品或者服务作为默认同意的选项。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电子商务经营者应当按照承诺或者与消费者约定的方式、时限向消费者交付商品或者服务，并承担商品运输中的风险和责任。但是，消费者另行选择快递物流服务提供者的除外。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电子商务经营者按照约定向消费者收取押金的，应当明示押金退还的方式、程序，不得对押金退还设置不合理条件。消费者申请退还押金，符合押金退还条件的，电子商务经营者应当及时退还。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第二十二条</w:t>
      </w:r>
      <w:r>
        <w:rPr>
          <w:rFonts w:hint="default" w:ascii="仿宋_GB2312" w:hAnsi="仿宋_GB2312" w:eastAsia="仿宋_GB2312" w:cs="仿宋_GB2312"/>
          <w:i w:val="0"/>
          <w:caps w:val="0"/>
          <w:color w:val="333333"/>
          <w:spacing w:val="0"/>
          <w:sz w:val="24"/>
          <w:szCs w:val="24"/>
        </w:rPr>
        <w:t> 电子商务经营者因其技术优势、用户数量、对相关行业的控制能力以及其他经营者对该电子商务经营者在交易上的依赖程度等因素而具有市场支配地位的，不得滥用市场支配地位，排除、限制竞争。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电子商务经营者收集、使用其用户的个人信息，应当遵守法律、行政法规有关个人信息保护的规定。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第二十四条 </w:t>
      </w:r>
      <w:r>
        <w:rPr>
          <w:rFonts w:hint="default" w:ascii="仿宋_GB2312" w:hAnsi="仿宋_GB2312" w:eastAsia="仿宋_GB2312" w:cs="仿宋_GB2312"/>
          <w:i w:val="0"/>
          <w:caps w:val="0"/>
          <w:color w:val="333333"/>
          <w:spacing w:val="0"/>
          <w:sz w:val="24"/>
          <w:szCs w:val="24"/>
        </w:rPr>
        <w:t>电子商务经营者应当明示用户信息查询、更正、删除以及用户注销的方式、程序，不得对用户信息查询、更正、删除以及用户注销设置不合理条件。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有关主管部门依照法律、行政法规的规定要求电子商务经营者提供有关电子商务数据信息的，电子商务经营者应当提供。有关主管部门应当采取必要措施保护电子商务经营者提供的数据信息的安全，并对其中的个人信息、隐私和商业秘密严格保密，不得泄露、出售或者非法向他人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电子商务经营者从事跨境电子商务，应当遵守进出口监督管理的法律、行政法规和国家有关规定。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font-size:16px;white-space:norm" w:hAnsi="font-size:16px;white-space:norm" w:eastAsia="font-size:16px;white-space:norm" w:cs="font-size:16px;white-space:norm"/>
          <w:i w:val="0"/>
          <w:caps w:val="0"/>
          <w:color w:val="333333"/>
          <w:spacing w:val="0"/>
          <w:sz w:val="18"/>
          <w:szCs w:val="18"/>
        </w:rPr>
      </w:pPr>
      <w:r>
        <w:rPr>
          <w:rFonts w:hint="default" w:ascii="font-size:16px;white-space:norm" w:hAnsi="font-size:16px;white-space:norm" w:eastAsia="font-size:16px;white-space:norm" w:cs="font-size:16px;white-space:norm"/>
          <w:i w:val="0"/>
          <w:caps w:val="0"/>
          <w:color w:val="333333"/>
          <w:spacing w:val="0"/>
          <w:sz w:val="18"/>
          <w:szCs w:val="18"/>
        </w:rPr>
        <w:t>第二节 电子商务平台经营者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电子商务平台经营者应当要求申请进入平台销售商品或者提供服务的经营者提交其身份、地址、联系方式、行政许可等真实信息，进行核验、登记，建立登记档案，并定期核验更新。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电子商务平台经营者为进入平台销售商品或者提供服务的非经营用户提供服务，应当遵守本节有关规定。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第二十九条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电子商务平台经营者发现平台内的商品或者服务信息存在违反本法第十二条、第十三条规定情形的，应当依法采取必要的处置措施，并向有关主管部门报告。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电子商务平台经营者应当采取技术措施和其他必要措施保证其网络安全、稳定运行，防范网络违法犯罪活动，有效应对网络安全事件，保障电子商务交易安全。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电子商务平台经营者应当制定网络安全事件应急预案，发生网络安全事件时，应当立即启动应急预案，采取相应的补救措施，并向有关主管部门报告。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电子商务平台经营者应当遵循公开、公平、公正的原则，制定平台服务协议和交易规则，明确进入和退出平台、商品和服务质量保障、消费者权益保护、个人信息保护等方面的权利和义务。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电子商务平台经营者应当在其首页显著位置持续公示平台服务协议和交易规则信息或者上述信息的链接标识，并保证经营者和消费者能够便利、完整地阅览和下载。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电子商务平台经营者修改平台服务协议和交易规则，应当在其首页显著位置公开征求意见，采取合理措施确保有关各方能够及时充分表达意见。修改内容应当至少在实施前七日予以公示。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平台内经营者不接受修改内容，要求退出平台的，电子商务平台经营者不得阻止，并按照修改前的服务协议和交易规则承担相关责任。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电子商务平台经营者依据平台服务协议和交易规则对平台内经营者违反法律、法规的行为实施警示、暂停或者终止服务等措施的，应当及时公示。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电子商务平台经营者在其平台上开展自营业务的，应当以显著方式区分标记自营业务和平台内经营者开展的业务，不得误导消费者。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电子商务平台经营者对其标记为自营的业务依法承担商品销售者或者服务提供者的民事责任。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对关系消费者生命健康的商品或者服务，电子商务平台经营者对平台内经营者的资质资格未尽到审核义务，或者对消费者未尽到安全保障义务，造成消费者损害的，依法承担相应的责任。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第三十九条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电子商务平台经营者应当建立健全信用评价制度，公示信用评价规则，为消费者提供对平台内销售的商品或者提供的服务进行评价的途径。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电子商务平台经营者不得删除消费者对其平台内销售的商品或者提供的服务的评价。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电子商务平台经营者应当根据商品或者服务的价格、销量、信用等以多种方式向消费者显示商品或者服务的搜索结果；对于竞价排名的商品或者服务，应当显著标明“广告”。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电子商务平台经营者应当建立知识产权保护规则，与知识产权权利人加强合作，依法保护知识产权。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知识产权权利人认为其知识产权受到侵害的，有权通知电子商务平台经营者采取删除、屏蔽、断开链接、终止交易和服务等必要措施。通知应当包括构成侵权的初步证据。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电子商务平台经营者接到通知后，应当及时采取必要措施，并将该通知转送平台内经营者；未及时采取必要措施的，对损害的扩大部分与平台内经营者承担连带责任。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因通知错误造成平台内经营者损害的，依法承担民事责任。恶意发出错误通知，造成平台内经营者损失的，加倍承担赔偿责任。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平台内经营者接到转送的通知后，可以向电子商务平台经营者提交不存在侵权行为的声明。声明应当包括不存在侵权行为的初步证据。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接到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电子商务平台经营者应当及时公示收到的本法第四十二条、第四十三条规定的通知、声明及处理结果。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电子商务平台经营者知道或者应当知道平台内经营者侵犯知识产权的，应当采取删除、屏蔽、断开链接、终止交易和服务等必要措施；未采取必要措施的，与侵权人承担连带责任。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第三章 电子商务合同的订立与履行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eastAsia"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电子商务当事人订立和履行合同，适用本章和《中华人民共和国民法总则》《中华人民共和国合同法》《中华人民共和国电子签名法》等法律的规定。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电子商务当事人使用自动信息系统订立或者履行合同的行为对使用该系统的当事人具有法律效力。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在电子商务中推定当事人具有相应的民事行为能力。但是，有相反证据足以推翻的除外。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第四十九条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电子商务经营者发布的商品或者服务信息符合要约条件的，用户选择该商品或者服务并提交订单成功，合同成立。当事人另有约定的，从其约定。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电子商务经营者不得以格式条款等方式约定消费者支付价款后合同不成立；格式条款等含有该内容的，其内容无效。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电子商务经营者应当清晰、全面、明确地告知用户订立合同的步骤、注意事项、下载方法等事项，并保证用户能够便利、完整地阅览和下载。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电子商务经营者应当保证用户在提交订单前可以更正输入错误。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合同标的为交付商品并采用快递物流方式交付的，收货人签收时间为交付时间。合同标的为提供服务的，生成的电子凭证或者实物凭证中载明的时间为交付时间；前述凭证没有载明时间或者载明时间与实际提供服务时间不一致的，实际提供服务的时间为交付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合同标的为采用在线传输方式交付的，合同标的进入对方当事人指定的特定系统并且能够检索识别的时间为交付时间。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合同当事人对交付方式、交付时间另有约定的，从其约定。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电子商务当事人可以约定采用快递物流方式交付商品。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快递物流服务提供者为电子商务提供快递物流服务，应当遵守法律、行政法规，并应当符合承诺的服务规范和时限。快递物流服务提供者在交付商品时，应当提示收货人当面查验；交由他人代收的，应当经收货人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快递物流服务提供者应当按照规定使用环保包装材料，实现包装材料的减量化和再利用。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快递物流服务提供者在提供快递物流服务的同时，可以接受电子商务经营者的委托提供代收货款服务。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电子商务当事人可以约定采用电子支付方式支付价款。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支付服务提供者为电子商务提供电子支付服务，应当遵守国家规定，告知用户电子支付服务的功能、使用方法、注意事项、相关风险和收费标准等事项，不得附加不合理交易条件。电子支付服务提供者应当确保电子支付指令的完整性、一致性、可跟踪稽核和不可篡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电子支付服务提供者应当向用户免费提供对账服务以及最近三年的交易记录。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电子支付服务提供者提供电子支付服务不符合国家有关支付安全管理要求，造成用户损失的，应当承担赔偿责任。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用户在发出支付指令前，应当核对支付指令所包含的金额、收款人等完整信息。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支付指令发生错误的，电子支付服务提供者应当及时查找原因，并采取相关措施予以纠正。造成用户损失的，电子支付服务提供者应当承担赔偿责任，但能够证明支付错误非自身原因造成的除外。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电子支付服务提供者完成电子支付后，应当及时准确地向用户提供符合约定方式的确认支付的信息。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用户应当妥善保管交易密码、电子签名数据等安全工具。用户发现安全工具遗失、被盗用或者未经授权的支付的，应当及时通知电子支付服务提供者。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未经授权的支付造成的损失，由电子支付服务提供者承担；电子支付服务提供者能够证明未经授权的支付是因用户的过错造成的，不承担责任。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电子支付服务提供者发现支付指令未经授权，或者收到用户支付指令未经授权的通知时，应当立即采取措施防止损失扩大。电子支付服务提供者未及时采取措施导致损失扩大的，对损失扩大部分承担责任。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第四章 电子商务争议解决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国家鼓励电子商务平台经营者建立有利于电子商务发展和消费者权益保护的商品、服务质量担保机制。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电子商务平台经营者与平台内经营者协议设立消费者权益保证金的，双方应当就消费者权益保证金的提取数额、管理、使用和退还办法等作出明确约定。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消费者要求电子商务平台经营者承担先行赔偿责任以及电子商务平台经营者赔偿后向平台内经营者的追偿，适用《中华人民共和国消费者权益保护法》的有关规定。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第五十九条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电子商务经营者应当建立便捷、有效的投诉、举报机制，公开投诉、举报方式等信息，及时受理并处理投诉、举报。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电子商务争议可以通过协商和解，请求消费者组织、行业协会或者其他依法成立的调解组织调解，向有关部门投诉，提请仲裁，或者提起诉讼等方式解决。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消费者在电子商务平台购买商品或者接受服务，与平台内经营者发生争议时，电子商务平台经营者应当积极协助消费者维护合法权益。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在电子商务争议处理中，电子商务经营者应当提供原始合同和交易记录。因电子商务经营者丢失、伪造、篡改、销毁、隐匿或者拒绝提供前述资料，致使人民法院、仲裁机构或者有关机关无法查明事实的，电子商务经营者应当承担相应的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电子商务平台经营者可以建立争议在线解决机制，制定并公示争议解决规则，根据自愿原则，公平、公正地解决当事人的争议。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第五章 电子商务促进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国务院和省、自治区、直辖市人民政府应当将电子商务发展纳入国民经济和社会发展规划，制定科学合理的产业政策，促进电子商务创新发展。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国务院和县级以上地方人民政府及其有关部门应当采取措施，支持、推动绿色包装、仓储、运输，促进电子商务绿色发展。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国家推动电子商务基础设施和物流网络建设，完善电子商务统计制度，加强电子商务标准体系建设。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国家推动电子商务在国民经济各个领域的应用，支持电子商务与各产业融合发展。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国家促进农业生产、加工、流通等环节的互联网技术应用，鼓励各类社会资源加强合作，促进农村电子商务发展，发挥电子商务在精准扶贫中的作用。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第六十九条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国家维护电子商务交易安全，保护电子商务用户信息，鼓励电子商务数据开发应用，保障电子商务数据依法有序自由流动。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国家采取措施推动建立公共数据共享机制，促进电子商务经营者依法利用公共数据。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24"/>
          <w:szCs w:val="24"/>
        </w:rPr>
        <w:t>第七十条 </w:t>
      </w:r>
      <w:r>
        <w:rPr>
          <w:rFonts w:hint="default" w:ascii="仿宋_GB2312" w:hAnsi="仿宋_GB2312" w:eastAsia="仿宋_GB2312" w:cs="仿宋_GB2312"/>
          <w:i w:val="0"/>
          <w:caps w:val="0"/>
          <w:color w:val="333333"/>
          <w:spacing w:val="0"/>
          <w:sz w:val="24"/>
          <w:szCs w:val="24"/>
        </w:rPr>
        <w:t>国家支持依法设立的信用评价机构开展电子商务信用评价，向社会提供电子商务信用评价服务。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促进跨境电子商务发展，建立健全适应跨境电子商务特点的海关、税收、进出境检验检疫、支付结算等管理制度，提高跨境电子商务各环节便利化水平，支持跨境电子商务平台经营者等为跨境电子商务提供仓储物流、报关、报检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国家支持小型微型企业从事跨境电子商务。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进出口管理部门应当推进跨境电子商务海关申报、纳税、检验检疫等环节的综合服务和监管体系建设，优化监管流程，推动实现信息共享、监管互认、执法互助，提高跨境电子商务服务和监管效率。跨境电子商务经营者可以凭电子单证向国家进出口管理部门办理有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国家推动建立与不同国家、地区之间跨境电子商务的交流合作，参与电子商务国际规则的制定，促进电子签名、电子身份等国际互认。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国家推动建立与不同国家、地区之间的跨境电子商务争议解决机制。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电子商务经营者销售商品或者提供服务，不履行合同义务或者履行合同义务不符合约定，或者造成他人损害的，依法承担民事责任。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违反本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依照有关法律、行政法规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电子商务经营者违反本法规定，有下列行为之一的，由市场监督管理部门责令限期改正，可以处一万元以下的罚款，对其中的电子商务平台经营者，依照本法第八十一条第一款的规定处罚：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（一）未在首页显著位置公示营业执照信息、行政许可信息、属于不需要办理市场主体登记情形等信息,或者上述信息的链接标识的；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（二）未在首页显著位置持续公示终止电子商务的有关信息的；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（三）未明示用户信息查询、更正、删除以及用户注销的方式、程序，或者对用户信息查询、更正、删除以及用户注销设置不合理条件的。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电子商务平台经营者对违反前款规定的平台内经营者未采取必要措施的，由市场监督管理部门责令限期改正，可以处二万元以上十万元以下的罚款。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第七十七条</w:t>
      </w:r>
      <w:r>
        <w:rPr>
          <w:rFonts w:hint="default" w:ascii="仿宋_GB2312" w:hAnsi="仿宋_GB2312" w:eastAsia="仿宋_GB2312" w:cs="仿宋_GB2312"/>
          <w:i w:val="0"/>
          <w:caps w:val="0"/>
          <w:color w:val="333333"/>
          <w:spacing w:val="0"/>
          <w:sz w:val="24"/>
          <w:szCs w:val="24"/>
        </w:rPr>
        <w:t> 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第七十八条</w:t>
      </w:r>
      <w:r>
        <w:rPr>
          <w:rFonts w:hint="default" w:ascii="仿宋_GB2312" w:hAnsi="仿宋_GB2312" w:eastAsia="仿宋_GB2312" w:cs="仿宋_GB2312"/>
          <w:i w:val="0"/>
          <w:caps w:val="0"/>
          <w:color w:val="333333"/>
          <w:spacing w:val="0"/>
          <w:sz w:val="24"/>
          <w:szCs w:val="24"/>
        </w:rPr>
        <w:t> 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第七十九条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电子商务经营者违反法律、行政法规有关个人信息保护的规定，或者不履行本法第三十条和有关法律、行政法规规定的网络安全保障义务的，依照《中华人民共和国网络安全法》等法律、行政法规的规定处罚。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第八十条</w:t>
      </w:r>
      <w:r>
        <w:rPr>
          <w:rFonts w:hint="default" w:ascii="仿宋_GB2312" w:hAnsi="仿宋_GB2312" w:eastAsia="仿宋_GB2312" w:cs="仿宋_GB2312"/>
          <w:i w:val="0"/>
          <w:caps w:val="0"/>
          <w:color w:val="333333"/>
          <w:spacing w:val="0"/>
          <w:sz w:val="24"/>
          <w:szCs w:val="24"/>
        </w:rPr>
        <w:t> 电子商务平台经营者有下列行为之一的，由有关主管部门责令限期改正；逾期不改正的，处二万元以上十万元以下的罚款；情节严重的，责令停业整顿，并处十万元以上五十万元以下的罚款：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（一）不履行本法第二十七条规定的核验、登记义务的；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（二）不按照本法第二十八条规定向市场监督管理部门、税务部门报送有关信息的；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（三）不按照本法第二十九条规定对违法情形采取必要的处置措施，或者未向有关主管部门报告的；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（四）不履行本法第三十一条规定的商品和服务信息、交易信息保存义务的。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法律、行政法规对前款规定的违法行为的处罚另有规定的，依照其规定。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第八十一条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电子商务平台经营者违反本法规定，有下列行为之一的，由市场监督管理部门责令限期改正，可以处二万元以上十万元以下的罚款；情节严重的，处十万元以上五十万元以下的罚款：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（一）未在首页显著位置持续公示平台服务协议、交易规则信息或者上述信息的链接标识的；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（二）修改交易规则未在首页显著位置公开征求意见，未按照规定的时间提前公示修改内容，或者阻止平台内经营者退出的；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（三）未以显著方式区分标记自营业务和平台内经营者开展的业务的；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（四）未为消费者提供对平台内销售的商品或者提供的服务进行评价的途径，或者擅自删除消费者的评价的。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left"/>
        <w:textAlignment w:val="auto"/>
        <w:rPr>
          <w:rFonts w:hint="default" w:ascii="仿宋_GB2312" w:hAnsi="仿宋_GB2312" w:eastAsia="仿宋_GB2312" w:cs="仿宋_GB2312"/>
          <w:i w:val="0"/>
          <w:caps w:val="0"/>
          <w:color w:val="333333"/>
          <w:spacing w:val="0"/>
          <w:sz w:val="24"/>
          <w:szCs w:val="24"/>
        </w:rPr>
      </w:pPr>
      <w:r>
        <w:rPr>
          <w:rFonts w:hint="default" w:ascii="仿宋_GB2312" w:hAnsi="仿宋_GB2312" w:eastAsia="仿宋_GB2312" w:cs="仿宋_GB2312"/>
          <w:i w:val="0"/>
          <w:caps w:val="0"/>
          <w:color w:val="333333"/>
          <w:spacing w:val="0"/>
          <w:sz w:val="24"/>
          <w:szCs w:val="24"/>
        </w:rPr>
        <w:t>电子商务平台经营者违反本法第四十条规定，对竞价排名的商品或者服务未显著标明“广告”的，依照《中华人民共和国广告法》的规定处罚。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第八十二条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第八十三条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第八十四条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第八十五条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违反本法规定，销售的商品或者提供的服务不符合保障人身、财产安全的要求，实施虚假或者引人误解的商业宣传等不正当竞争行为，滥用市场支配地位，或者实施侵犯知识产权、侵害消费者权益等行为的，依照有关法律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第八十六条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电子商务经营者有本法规定的违法行为的，依照有关法律、行政法规的规定记入信用档案，并予以公示。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第八十七条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依法负有电子商务监督管理职责的部门的工作人员，玩忽职守、滥用职权、徇私舞弊，或者泄露、出售或者非法向他人提供在履行职责中所知悉的个人信息、隐私和商业秘密的，依法追究法律责任。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第八十八条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黑体" w:hAnsi="font-size:16px;white-space:norm" w:eastAsia="黑体" w:cs="黑体"/>
          <w:i w:val="0"/>
          <w:caps w:val="0"/>
          <w:color w:val="333333"/>
          <w:spacing w:val="0"/>
          <w:sz w:val="27"/>
          <w:szCs w:val="27"/>
        </w:rPr>
      </w:pPr>
      <w:r>
        <w:rPr>
          <w:rFonts w:hint="eastAsia" w:ascii="黑体" w:hAnsi="font-size:16px;white-space:norm" w:eastAsia="黑体" w:cs="黑体"/>
          <w:i w:val="0"/>
          <w:caps w:val="0"/>
          <w:color w:val="333333"/>
          <w:spacing w:val="0"/>
          <w:sz w:val="27"/>
          <w:szCs w:val="27"/>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2" w:firstLineChars="200"/>
        <w:jc w:val="left"/>
        <w:textAlignment w:val="auto"/>
        <w:rPr>
          <w:rFonts w:hint="default" w:ascii="仿宋_GB2312" w:hAnsi="仿宋_GB2312" w:eastAsia="仿宋_GB2312" w:cs="仿宋_GB2312"/>
          <w:i w:val="0"/>
          <w:caps w:val="0"/>
          <w:color w:val="333333"/>
          <w:spacing w:val="0"/>
          <w:sz w:val="24"/>
          <w:szCs w:val="24"/>
        </w:rPr>
      </w:pPr>
      <w:r>
        <w:rPr>
          <w:rFonts w:hint="eastAsia" w:ascii="楷体_GB2312" w:hAnsi="楷体_GB2312" w:eastAsia="楷体_GB2312" w:cs="楷体_GB2312"/>
          <w:b/>
          <w:bCs/>
          <w:i w:val="0"/>
          <w:caps w:val="0"/>
          <w:color w:val="333333"/>
          <w:spacing w:val="0"/>
          <w:sz w:val="24"/>
          <w:szCs w:val="24"/>
        </w:rPr>
        <w:t>第八十九条</w:t>
      </w:r>
      <w:r>
        <w:rPr>
          <w:rFonts w:hint="eastAsia" w:ascii="仿宋_GB2312" w:hAnsi="仿宋_GB2312" w:eastAsia="仿宋_GB2312" w:cs="仿宋_GB2312"/>
          <w:i w:val="0"/>
          <w:caps w:val="0"/>
          <w:color w:val="333333"/>
          <w:spacing w:val="0"/>
          <w:sz w:val="24"/>
          <w:szCs w:val="24"/>
        </w:rPr>
        <w:t> </w:t>
      </w:r>
      <w:r>
        <w:rPr>
          <w:rFonts w:hint="default" w:ascii="仿宋_GB2312" w:hAnsi="仿宋_GB2312" w:eastAsia="仿宋_GB2312" w:cs="仿宋_GB2312"/>
          <w:i w:val="0"/>
          <w:caps w:val="0"/>
          <w:color w:val="333333"/>
          <w:spacing w:val="0"/>
          <w:sz w:val="24"/>
          <w:szCs w:val="24"/>
        </w:rPr>
        <w:t>本法自2019年1月1日起施行。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eastAsia" w:ascii="仿宋_GB2312" w:hAnsi="仿宋_GB2312" w:eastAsia="仿宋_GB2312" w:cs="仿宋_GB2312"/>
          <w:i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ont-size:16px;white-space:norm">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45CAD"/>
    <w:rsid w:val="53245CAD"/>
    <w:rsid w:val="641B4ABF"/>
    <w:rsid w:val="77EF1C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2019-06-14T07:00:00Z</dcterms:created>
  <dc:creator>零絮</dc:creator>
  <cp:lastModifiedBy>零絮</cp:lastModifiedBy>
  <dcterms:modified xsi:type="dcterms:W3CDTF">2019-06-14T07:57:39Z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