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黑体" w:hAnsi="Times New Roman" w:eastAsia="黑体" w:cs="Times New Roman"/>
          <w:b/>
          <w:sz w:val="44"/>
          <w:szCs w:val="20"/>
        </w:rPr>
      </w:pPr>
      <w:bookmarkStart w:id="0" w:name="_GoBack"/>
      <w:r>
        <w:rPr>
          <w:rFonts w:hint="eastAsia" w:ascii="黑体" w:hAnsi="Times New Roman" w:eastAsia="黑体" w:cs="Times New Roman"/>
          <w:b/>
          <w:sz w:val="44"/>
          <w:szCs w:val="20"/>
        </w:rPr>
        <w:t>凤台县审计局关于印发2020年全县重大</w:t>
      </w:r>
    </w:p>
    <w:p>
      <w:pPr>
        <w:jc w:val="center"/>
        <w:rPr>
          <w:rFonts w:hint="eastAsia" w:ascii="黑体" w:hAnsi="Times New Roman" w:eastAsia="黑体" w:cs="Times New Roman"/>
          <w:b/>
          <w:sz w:val="44"/>
          <w:szCs w:val="20"/>
        </w:rPr>
      </w:pPr>
      <w:r>
        <w:rPr>
          <w:rFonts w:hint="eastAsia" w:ascii="黑体" w:hAnsi="Times New Roman" w:eastAsia="黑体" w:cs="Times New Roman"/>
          <w:b/>
          <w:sz w:val="44"/>
          <w:szCs w:val="20"/>
        </w:rPr>
        <w:t>政策措施落实情况跟踪审计</w:t>
      </w:r>
    </w:p>
    <w:p>
      <w:pPr>
        <w:jc w:val="center"/>
        <w:rPr>
          <w:rFonts w:hint="eastAsia" w:ascii="黑体" w:hAnsi="Times New Roman" w:eastAsia="黑体" w:cs="Times New Roman"/>
          <w:b/>
          <w:sz w:val="44"/>
          <w:szCs w:val="20"/>
        </w:rPr>
      </w:pPr>
      <w:r>
        <w:rPr>
          <w:rFonts w:hint="eastAsia" w:ascii="黑体" w:hAnsi="Times New Roman" w:eastAsia="黑体" w:cs="Times New Roman"/>
          <w:b/>
          <w:sz w:val="44"/>
          <w:szCs w:val="20"/>
        </w:rPr>
        <w:t>工作要点的通知</w:t>
      </w:r>
      <w:bookmarkEnd w:id="0"/>
    </w:p>
    <w:p>
      <w:pPr>
        <w:widowControl/>
        <w:spacing w:line="520" w:lineRule="exact"/>
        <w:rPr>
          <w:rFonts w:hint="eastAsia" w:ascii="仿宋_GB2312" w:hAnsi="Times New Roman" w:eastAsia="仿宋_GB2312" w:cs="Times New Roman"/>
          <w:sz w:val="32"/>
          <w:szCs w:val="20"/>
        </w:rPr>
      </w:pPr>
    </w:p>
    <w:p>
      <w:pPr>
        <w:widowControl/>
        <w:spacing w:line="540" w:lineRule="exact"/>
        <w:jc w:val="left"/>
        <w:rPr>
          <w:rFonts w:hint="eastAsia" w:ascii="仿宋" w:hAnsi="仿宋" w:eastAsia="仿宋" w:cs="Times New Roman"/>
          <w:sz w:val="32"/>
          <w:szCs w:val="20"/>
        </w:rPr>
      </w:pPr>
      <w:r>
        <w:rPr>
          <w:rFonts w:hint="eastAsia" w:ascii="仿宋_GB2312" w:hAnsi="Times New Roman" w:eastAsia="仿宋_GB2312" w:cs="Times New Roman"/>
          <w:sz w:val="32"/>
          <w:szCs w:val="20"/>
        </w:rPr>
        <w:t>局各股室、经责局、中心：</w:t>
      </w:r>
    </w:p>
    <w:p>
      <w:pPr>
        <w:pStyle w:val="3"/>
        <w:widowControl/>
        <w:spacing w:line="540" w:lineRule="exact"/>
        <w:ind w:firstLine="600"/>
        <w:jc w:val="left"/>
        <w:rPr>
          <w:rFonts w:hint="eastAsia" w:ascii="仿宋_GB2312" w:eastAsia="仿宋_GB2312"/>
          <w:sz w:val="32"/>
          <w:szCs w:val="32"/>
        </w:rPr>
      </w:pPr>
      <w:r>
        <w:rPr>
          <w:rFonts w:hint="eastAsia" w:ascii="仿宋_GB2312" w:eastAsia="仿宋_GB2312"/>
          <w:sz w:val="32"/>
          <w:szCs w:val="32"/>
        </w:rPr>
        <w:t>为扎实做好2020年重大政策措施落实情况跟踪审计工作，推动党和国家、省委省政府、县委县政府重大决策部署落地落实，加快推进现代化五大发展美好凤台建设，根据《安徽省审计厅关于印发2020年全省重大政策措施落实情况跟踪审计工作要点的通知》和《淮南市审计局关于印发2020年全市重大政策措施落实情况跟踪审计工作要点的通知》的要求和凤台县审计局2020年审计工作计划，制定本工作要点。现将《2020年全县重大政策措施落实情况跟踪审计工作要点》印发给你们，请结合工作实际抓好贯彻落实。</w:t>
      </w:r>
    </w:p>
    <w:p>
      <w:pPr>
        <w:pStyle w:val="3"/>
        <w:widowControl/>
        <w:spacing w:line="540" w:lineRule="exact"/>
        <w:rPr>
          <w:rFonts w:hint="eastAsia" w:ascii="Times New Roman" w:hAnsi="Times New Roman" w:eastAsia="仿宋_GB2312" w:cs="Times New Roman"/>
          <w:sz w:val="32"/>
          <w:szCs w:val="32"/>
        </w:rPr>
      </w:pPr>
      <w:r>
        <w:rPr>
          <w:rFonts w:hint="eastAsia" w:ascii="仿宋_GB2312" w:eastAsia="仿宋_GB2312"/>
          <w:sz w:val="32"/>
          <w:szCs w:val="32"/>
        </w:rPr>
        <w:t xml:space="preserve"> </w:t>
      </w:r>
    </w:p>
    <w:p>
      <w:pPr>
        <w:pStyle w:val="3"/>
        <w:widowControl/>
        <w:spacing w:line="540" w:lineRule="exact"/>
        <w:jc w:val="center"/>
        <w:rPr>
          <w:rFonts w:hint="eastAsia" w:ascii="仿宋_GB2312" w:eastAsia="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right"/>
        <w:rPr>
          <w:rFonts w:hint="default" w:ascii="方正小标宋简体" w:hAnsi="方正小标宋简体" w:eastAsia="仿宋_GB2312" w:cs="方正小标宋简体"/>
          <w:i w:val="0"/>
          <w:caps w:val="0"/>
          <w:color w:val="333333"/>
          <w:spacing w:val="0"/>
          <w:sz w:val="44"/>
          <w:szCs w:val="44"/>
          <w:bdr w:val="none" w:color="auto" w:sz="0" w:space="0"/>
          <w:shd w:val="clear" w:fill="FFFFFF"/>
          <w:lang w:val="en-US" w:eastAsia="zh-CN"/>
        </w:rPr>
      </w:pPr>
      <w:r>
        <w:rPr>
          <w:rFonts w:hint="eastAsia" w:ascii="仿宋_GB2312" w:eastAsia="仿宋_GB2312"/>
          <w:sz w:val="32"/>
          <w:szCs w:val="32"/>
        </w:rPr>
        <w:t xml:space="preserve">     2020年7月10日  </w:t>
      </w:r>
      <w:r>
        <w:rPr>
          <w:rFonts w:hint="eastAsia" w:ascii="仿宋_GB2312" w:eastAsia="仿宋_GB2312"/>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t>2020年凤台县重大政策措施落实情况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44"/>
          <w:szCs w:val="44"/>
          <w:bdr w:val="none" w:color="auto" w:sz="0" w:space="0"/>
          <w:shd w:val="clear" w:fill="FFFFFF"/>
        </w:rPr>
        <w:t>跟踪审计工作要点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为扎实做好2020年重大政策措施落实情况跟踪审计工作，推动党和国家、省委省政府、市委市政府、县委县政府重大决策部署落地落实，根据全国、全省、全市和全县审计工作会议部署、审计署2020年重大政策措施落实情况跟踪审计工作指导意见及《安徽省审计厅关于印发2020年全省重大政策措施落实情况跟踪审计工作要点的通知》和《淮南市审计局关于印发2020年全市重大政策措施落实情况跟踪审计工作要点的通知》，结合我县实际，现提出凤台县2020年重大政策措施落实情况跟踪审计（以下简称政策跟踪审计）工作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5"/>
        <w:jc w:val="both"/>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2"/>
          <w:szCs w:val="32"/>
          <w:bdr w:val="none" w:color="auto" w:sz="0" w:space="0"/>
          <w:shd w:val="clear" w:fill="FFFFFF"/>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以习近平新时代中国特色社会主义思想为指导，增强“四个意识”、坚定“四个自信”、做到“两个维护”，紧扣全面建成小康社会目标任务，在常态化疫情防控前提下，坚持稳中求进工作总基调，坚持新发展理念，坚持以供给侧结构性改革为主线，坚持以改革开放为动力推动高质量发展，落实落细“六稳”“六保”部署要求，以更加积极进取的行动坚定实施扩大内需战略。要始终把重大政策落实情况跟踪审计和确保完成决战决胜脱贫攻坚目标任务作为审计机关的首要政治任务，以更加担当作为的精神强化稳中求进的政治责任，把握大势、乘势而上，坚持问题导向、目标导向、结果导向，创新审计理念和方法，突出审计重点，依法履行审计监督职责，做好常态化“经济体检”工作，推动守住“保”的底线、筑牢“稳”的基础、保持“进”的态势，更好发挥政策跟踪审计“治已病、防未病”重要作用，维护我县经济健康发展和社会稳定大局，为加快建设现代化五大发展美好凤台提供坚强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一）坚持依法审计。树立法治理念，强化法治思维，依据党的路线方针政策和党中央决策部署，依据国家法律法规和相关制度规定，依照法定职责、权限和程序行使审计监督权，恪守审计权力边界，严格规范获取审计资料、收集审计证据、延伸审计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二）坚持问题导向。注重反映经济社会运行中的新情况新问题新趋势，及时揭示影响人民群众利益和国家经济安全的重大问题及风险隐患，严肃揭示弄虚作假、隐瞒实情，以及不作为、慢作为、假作为等庸政懒政怠政问题，积极推动问题整改，促进深化改革，完善相关体制机制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三）坚持客观求实。认真落实“三个区分开来”的重要要求，全面、客观、辩证看待审计发现的问题，特别是改革发展中出现的新情况新问题，审慎作出评价和结论，鼓励、支持改革发展中的积极探索与创新举措，保护干部担当作为、干事创业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三、政策跟踪审计重点内容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因脱贫攻坚和疫情防控等工作已经单独安排审计项目，相关的内容不再重复纳入本要点，相关股室可以根据实际情况统筹安排实施。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ascii="楷体" w:hAnsi="楷体" w:eastAsia="楷体" w:cs="楷体"/>
          <w:b/>
          <w:i w:val="0"/>
          <w:caps w:val="0"/>
          <w:color w:val="000000"/>
          <w:spacing w:val="0"/>
          <w:kern w:val="0"/>
          <w:sz w:val="32"/>
          <w:szCs w:val="32"/>
          <w:bdr w:val="none" w:color="auto" w:sz="0" w:space="0"/>
          <w:shd w:val="clear" w:fill="FFFFFF"/>
          <w:lang w:val="en-US" w:eastAsia="zh-CN" w:bidi="ar"/>
        </w:rPr>
        <w:t>（一）稳就业政策落实方面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w:t>
      </w: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促进就业创业情况。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技工大省技能培训工程实施情况，关注面向企业和重点群体开展精准职业技能培训情况，重点关注企业落实培训主体作用情况；关注“两后生”、就业困难人员、高校毕业生、农民工、退役军人、灵活就业人员等重点群体享受就业补助资金政策执行情况，以及通过就业服务对接、推进创业平台建设、就业托底安置等形式，支持重点群体就业创业情况；关注推动公共培训支持政策供给侧改革，加强职业培训载体平台建设情况；关注就业资金管理使用和绩效情况，是否存在同一培训项目多头重复申报、虚假申报违规享受补贴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援企稳岗情况。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重点群体返岗情况，以及援企稳岗等就业援助政策落实情况；关注对上年度不裁员或少裁员的企业，返还其上年度实际缴纳失业保险费政策落实情况；关注一次性吸纳就业补贴等财政政策、创业担保贷款等信贷政策是否存在未及时根据疫情防控的要求调整、设置审批障碍、条件过严，支持小微企业少，创业担保贷款担保基金投入不足、放大倍数不高等情况；关注加大减负稳岗、提升投资和产业带动就业能力、优化自主创业环境、加强困难人员兜底保障、完善职业培训和就业服务等稳就业举措的落实情况和政策效果；关注稳就业工作责任落实情况，关注四张清单、四项制度建立情况，就业补助资金、失业保险基金、工业企业结构调整专项奖补资金、技能提升专项资金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 w:hAnsi="楷体" w:eastAsia="楷体" w:cs="楷体"/>
          <w:b/>
          <w:i w:val="0"/>
          <w:caps w:val="0"/>
          <w:color w:val="000000"/>
          <w:spacing w:val="0"/>
          <w:kern w:val="0"/>
          <w:sz w:val="32"/>
          <w:szCs w:val="32"/>
          <w:bdr w:val="none" w:color="auto" w:sz="0" w:space="0"/>
          <w:shd w:val="clear" w:fill="FFFFFF"/>
          <w:lang w:val="en-US" w:eastAsia="zh-CN" w:bidi="ar"/>
        </w:rPr>
        <w:t>（二）稳投资政策落实方面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重大项目推进情况。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围绕新型基础设施、交通（农村公路扩面延伸工程）、水利（综合码头、水利基础设施、灾后水利薄弱环节）、能源（新能源发电项目和电动汽车充电桩）、新兴产业、传统产业技术改造、公共卫生体系、教育文化等重点领域，关注对</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行业、地区发展具有重大影响的项目建设情况；关注规划立项、投资审批、项目建设、资金保障、竣工验收、项目运营等各环节任务完成情况，揭示审批环节多、耗时长、效率低、虚报任务完成量、资金下拨不及时、大量财政滞留闲置的问题，重点关注项目长期未落地或长期应开工未开工、应完工未完工推进缓慢或停滞的问题；关注项目建设中政府采购及招投标等环节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加强生态环保建设。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关注淮河生态经济带建设情况；关注大气污染防治、资源循环利用、采煤塌陷区治理情况；关注推进畜禽养殖废弃物资源化利用情况；关注根除</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一律关停</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先停再说</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等简单粗暴的环保</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一刀切</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做法情况；关注国家重要生态屏障、生物多样性、环境安全警示等生态环境安全体系建设情况。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3. 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加快城镇基础设施建设。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城镇老旧小区改造规划和改造项目基础数据库建设，项目建设推进和老旧小区整治改造专项资金使用、管理等情况；关注城市公共停车泊位建设，以及按标准配建充电桩情况；关注城乡构建覆盖主要产地和消费地的冷链物流基础设施网络建设情况；关注城市公共服务设施配套建设情况；关注城市建成区平均道路面积率、城市生活垃圾分类及处理设施建设，城市环境卫生治理等完善城市功能，改善人居环境等工作推进情况；关注推进水污分流改造，治理城市黑臭水体，污水处理设施建设等城市水环境治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4. 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加快实施乡村振兴战略。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全县农村人居环境整治三年行动计划各项任务完成情况；关注高标准农田建设、农村基础设施提挡升级、农村人居环境整治（农村垃圾治理、污水治理、厕所改造）等生态环境突出问题治理、改善乡村公共文化服务、农业绿色发展、农村一二三产业融合发展、农村土地制度改革等惠农强农政策措施和重点任务落实情况；关注农村产业融合发展示范园、农业科技园区、农产品加工园等园区建设情况；关注发展壮大村级集体经济，培育新型农业经营主体，规范提升一批农业产业化联合体等情况；</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持续关注“两项目”（农村危房改造与塌陷区安置建设项目、“四好农村路”建设项目）推进情况</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 w:hAnsi="楷体" w:eastAsia="楷体" w:cs="楷体"/>
          <w:b/>
          <w:i w:val="0"/>
          <w:caps w:val="0"/>
          <w:color w:val="000000"/>
          <w:spacing w:val="0"/>
          <w:kern w:val="0"/>
          <w:sz w:val="32"/>
          <w:szCs w:val="32"/>
          <w:bdr w:val="none" w:color="auto" w:sz="0" w:space="0"/>
          <w:shd w:val="clear" w:fill="FFFFFF"/>
          <w:lang w:val="en-US" w:eastAsia="zh-CN" w:bidi="ar"/>
        </w:rPr>
        <w:t>（三）稳预期政策落实方面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促进实体经济发展。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关注促进中小企业发展，推进支持中小企业</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专精特新</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发展等政策落实情况；关注畅通金融服务实体经济，设立中小微企业转贷资金池，还本续贷、</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税融通</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、商标专利质押等政策落实情况，揭示对民营、小微企业金融扶持政策落实不到位，加剧企业融资难融资贵等问题；关注发挥财政资金支持效益，通过采取</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借转补</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、事后奖补、股权投资基金等方式，支持</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四个一</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创新主平台、</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三重一创</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、制造强市、创新型市级建设等情况；延伸企业时，关注</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减税降费减轻企业负担有关政策落实情况，以及</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营造公平竞争的市场环境政策落实情况。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促进优化营商环境。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创优“四最”营商环境，权力和责任清单制度以及市场准入负面清单制度执行、加强事中事后监管等“放管服”改革深化情况；关注行政审批中介服务等规范优化政务服务政策落实情况；关注行政审批事项明放暗不放、变相审批等问题；关注清理废除现有政策措施中涉及地方保护、指定交易、市场壁垒等内容，对企业设置的歧视性限制、隐性障碍等不公平竞争问题；关注违规开展评比、表彰等活动违规收费问题；关注落实涉企收费清单、行政事业性收费和政府性基金清单制度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3. 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清理拖欠民营企业中小企业账款。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清欠工作目标完成情况和建立相关长效机制情况，重点关注是否落实责任、健全机制、分解任务、细化措施，有关单位是否逐项梳理摸排，建立起完整、准确的清欠总账和明细账，是否逐项制定清偿计划并按计划偿还；关注政府部门单位或国有企业长期拖欠民营企业中小企业账款，导致农民工工资拖欠问题、民营企业经营困难的问题；关注是否存在项目审批程序不完备、预算指标下达不及时、资金拨付不足额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 w:hAnsi="楷体" w:eastAsia="楷体" w:cs="楷体"/>
          <w:b/>
          <w:i w:val="0"/>
          <w:caps w:val="0"/>
          <w:color w:val="000000"/>
          <w:spacing w:val="0"/>
          <w:kern w:val="0"/>
          <w:sz w:val="32"/>
          <w:szCs w:val="32"/>
          <w:bdr w:val="none" w:color="auto" w:sz="0" w:space="0"/>
          <w:shd w:val="clear" w:fill="FFFFFF"/>
          <w:lang w:val="en-US" w:eastAsia="zh-CN" w:bidi="ar"/>
        </w:rPr>
        <w:t>（四）保基本民生政策落实方面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民生资金保障。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关注加强基本民生领域经费保障，落实国家规定的保基本民生支出范围、标准和支出优先顺序情况；关注财政资金保障</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三农</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、三大攻坚战、疫情防控、“两资金”（</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社会兜底保障救助和产业扶贫补助）</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等情况，以及各地支持教育、养老、卫生健康、社会救助、基本公共服务等重点领域民生政策可持续发展情况，推动财政资金提质增效。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2. 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重点民生工作推进。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关注高质量完成脱贫攻坚目标任务，巩固脱贫成果和防止返贫各项政策落实情况；关注对困难群体基本生活保障，推动实现低保和社会救助应保尽保工作</w:t>
      </w: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情况；关注普惠性民生建设，落实社会保险减免、失业保险基金稳岗返还、创业担保贷款贴息、承租国有企业经营性用房或产权为行政事业单位房产租金减免等政策落实情况。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 w:hAnsi="楷体" w:eastAsia="楷体" w:cs="楷体"/>
          <w:b/>
          <w:i w:val="0"/>
          <w:caps w:val="0"/>
          <w:color w:val="000000"/>
          <w:spacing w:val="0"/>
          <w:kern w:val="0"/>
          <w:sz w:val="32"/>
          <w:szCs w:val="32"/>
          <w:bdr w:val="none" w:color="auto" w:sz="0" w:space="0"/>
          <w:shd w:val="clear" w:fill="FFFFFF"/>
          <w:lang w:val="en-US" w:eastAsia="zh-CN" w:bidi="ar"/>
        </w:rPr>
        <w:t>（五）保基层运转政策落实方面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楷体_GB2312" w:hAnsi="微软雅黑" w:eastAsia="楷体_GB2312" w:cs="楷体_GB2312"/>
          <w:b/>
          <w:i w:val="0"/>
          <w:caps w:val="0"/>
          <w:color w:val="000000"/>
          <w:spacing w:val="0"/>
          <w:kern w:val="0"/>
          <w:sz w:val="32"/>
          <w:szCs w:val="32"/>
          <w:bdr w:val="none" w:color="auto" w:sz="0" w:space="0"/>
          <w:shd w:val="clear" w:fill="FFFFFF"/>
          <w:lang w:val="en-US" w:eastAsia="zh-CN" w:bidi="ar"/>
        </w:rPr>
        <w:t>1. </w:t>
      </w: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保基层运转经费筹集使用情况。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调整优化支出结构、压减一般性支出，强化“三公”经费管理，控制会议费、培训费、差旅费支出情况；关注统筹一般公共预算、国有资本经营预算、政府性基金预算等，加大存量资金盘活力度，清理结转结余资金情况；关注基层基本公共服务功能建设转移支付、村级组织运转经费等一般性转移支付，管好用好转移支付资金情况；关注保障基层运转经费和社会公用事业补助经费等足额到位及优先顺序，兜住基层运转底线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2. 防范基层运转风险提升运转效能。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关注基层运转应急工作机制建立情况；关注因财政收入短收等原因造成的基层运转困难，揭示基层治理和资金兜底方面存在的风险；关注提升基层发展能力，推动县域经济发展，培育特色产业，发展民营经济，推进新型城镇化进程，发展集体经济，提高基层运转自保能力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一）聚焦重点，提高审计监督实效。要提高政治站位，准确把握新形势新要求，持续对“六稳”“六保”重点工作任务完成情况，“两项目两资金”等方面的突出问题予以重点关注。要深入揭示政策执行中的具体问题、影响改革发展的重大问题，解析问题产生的深层次原因，研究提出管用有效的审计建议，持续跟踪督促整改，以审计监督实效促进各级决策部署落实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（二）加强统筹，推动项目规范高效运行。要全面贯彻落实“两统筹”要求，科学规划合理配置审计资源，推动政策跟踪审计与各专业审计融合实施，着力构建</w:t>
      </w:r>
      <w:r>
        <w:rPr>
          <w:rFonts w:ascii="Calibri" w:hAnsi="Calibri" w:eastAsia="微软雅黑" w:cs="Calibri"/>
          <w:i w:val="0"/>
          <w:caps w:val="0"/>
          <w:color w:val="333333"/>
          <w:spacing w:val="0"/>
          <w:sz w:val="32"/>
          <w:szCs w:val="32"/>
          <w:bdr w:val="none" w:color="auto" w:sz="0" w:space="0"/>
          <w:shd w:val="clear" w:fill="FFFFFF"/>
        </w:rPr>
        <w:t>“</w:t>
      </w:r>
      <w:r>
        <w:rPr>
          <w:rFonts w:hint="eastAsia" w:ascii="仿宋_GB2312" w:hAnsi="微软雅黑" w:eastAsia="仿宋_GB2312" w:cs="仿宋_GB2312"/>
          <w:i w:val="0"/>
          <w:caps w:val="0"/>
          <w:color w:val="333333"/>
          <w:spacing w:val="0"/>
          <w:sz w:val="32"/>
          <w:szCs w:val="32"/>
          <w:bdr w:val="none" w:color="auto" w:sz="0" w:space="0"/>
          <w:shd w:val="clear" w:fill="FFFFFF"/>
        </w:rPr>
        <w:t>政策跟踪审计</w:t>
      </w:r>
      <w:r>
        <w:rPr>
          <w:rFonts w:hint="default" w:ascii="Calibri" w:hAnsi="Calibri" w:eastAsia="微软雅黑" w:cs="Calibri"/>
          <w:i w:val="0"/>
          <w:caps w:val="0"/>
          <w:color w:val="333333"/>
          <w:spacing w:val="0"/>
          <w:sz w:val="32"/>
          <w:szCs w:val="32"/>
          <w:bdr w:val="none" w:color="auto" w:sz="0" w:space="0"/>
          <w:shd w:val="clear" w:fill="FFFFFF"/>
        </w:rPr>
        <w:t>+”</w:t>
      </w:r>
      <w:r>
        <w:rPr>
          <w:rFonts w:hint="eastAsia" w:ascii="仿宋_GB2312" w:hAnsi="微软雅黑" w:eastAsia="仿宋_GB2312" w:cs="仿宋_GB2312"/>
          <w:i w:val="0"/>
          <w:caps w:val="0"/>
          <w:color w:val="333333"/>
          <w:spacing w:val="0"/>
          <w:sz w:val="32"/>
          <w:szCs w:val="32"/>
          <w:bdr w:val="none" w:color="auto" w:sz="0" w:space="0"/>
          <w:shd w:val="clear" w:fill="FFFFFF"/>
        </w:rPr>
        <w:t>的组织模式，加强政策落实跟踪审计与其他项目的内容、成果等方面统筹衔接，做到一审多果、一果多用，丰富政策跟踪审计内容。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三）积极开展大数据审计，提升审计监督效率。要坚持以用为本，强化大数据审计思维，加强数据分析环境和队伍建设，向信息化要资源、向大数据要效率。做好非现场审计与现场审计结合工作，提高数据分析的深度和精准度，进一步加强大数据审计方法运用，探索创新审计组织方式和技术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2"/>
          <w:szCs w:val="32"/>
          <w:bdr w:val="none" w:color="auto" w:sz="0" w:space="0"/>
          <w:shd w:val="clear" w:fill="FFFFFF"/>
        </w:rPr>
        <w:t>（四）加强审计质量控制，压实责任。要高度重视审计质量控制，严格落实审计质量责任制，审计反映的问题要事实清楚、证据充分、定性准确、适用法律法规和标准适当。要认真落实“三个区分开来”重要要求，全面客观辩证地看待发现的问题，审慎作出评价和结论，及时、准确、全面地反映审计查出问题。要加强审计质量情况的督促和检查，有效发挥逐级审核、层层把关作用，提高政策跟踪审计揭示问题的能力和报告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6"/>
        <w:jc w:val="both"/>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bdr w:val="none" w:color="auto" w:sz="0" w:space="0"/>
          <w:shd w:val="clear" w:fill="FFFFFF"/>
          <w:lang w:val="en-US" w:eastAsia="zh-CN" w:bidi="ar"/>
        </w:rPr>
        <w:t>（五）强化自身建设，提升审计能力。要高度重视审计干部队伍建设，坚持立身立业立信，加强思想淬炼、政治历练、实践锻炼、专业训练，加强相关政策学习培训和经验交流，着力提升审计干部的政治能力、专业能力、宏观政策研究能力和审计信息化能力，为政策跟踪审计工作发展提供坚实保障。</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0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semiHidden/>
    <w:uiPriority w:val="0"/>
    <w:rPr>
      <w:rFonts w:ascii="宋体" w:hAnsi="Courier New" w:eastAsia="宋体" w:cs="宋体"/>
      <w:sz w:val="21"/>
      <w:szCs w:val="21"/>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2020-08-31T07:11:34Z</dcterms:created>
  <dc:creator>Administrator</dc:creator>
  <cp:lastModifiedBy>俗人</cp:lastModifiedBy>
  <dcterms:modified xsi:type="dcterms:W3CDTF">2020-08-31T07:21:25Z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