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00" w:afterLines="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6"/>
              <w:spacing w:before="0" w:beforeLines="0" w:beforeAutospacing="0" w:after="0" w:afterLines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0862B1"/>
    <w:rsid w:val="5D5D5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"/>
    <w:basedOn w:val="1"/>
    <w:uiPriority w:val="0"/>
    <w:rPr>
      <w:rFonts w:ascii="Tahoma" w:hAnsi="Tahoma"/>
      <w:sz w:val="24"/>
      <w:szCs w:val="20"/>
    </w:rPr>
  </w:style>
  <w:style w:type="paragraph" w:customStyle="1" w:styleId="6">
    <w:name w:val="msobodytext31"/>
    <w:basedOn w:val="1"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河南省政府门户网站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2019-05-29T10:16:00Z</dcterms:created>
  <dc:creator>李良昆</dc:creator>
  <cp:lastModifiedBy>宁晨</cp:lastModifiedBy>
  <cp:lastPrinted>2019-05-29T09:07:00Z</cp:lastPrinted>
  <dcterms:modified xsi:type="dcterms:W3CDTF">2021-12-31T08:03:08Z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7FB696A0FDEA4C5198E6B29A52412ED2</vt:lpwstr>
  </property>
</Properties>
</file>