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凤台县委组织部</w:t>
      </w:r>
      <w:r>
        <w:rPr>
          <w:rFonts w:hint="eastAsia" w:ascii="方正小标宋_GBK" w:hAnsi="方正小标宋_GBK" w:eastAsia="方正小标宋_GBK" w:cs="方正小标宋_GBK"/>
          <w:b w:val="0"/>
          <w:bCs w:val="0"/>
          <w:sz w:val="44"/>
          <w:szCs w:val="44"/>
        </w:rPr>
        <w:t>项目支出绩效评价报告</w:t>
      </w:r>
    </w:p>
    <w:p>
      <w:pPr>
        <w:jc w:val="center"/>
        <w:rPr>
          <w:rFonts w:ascii="仿宋_GB2312"/>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人才基金</w:t>
      </w:r>
      <w:r>
        <w:rPr>
          <w:rFonts w:hint="eastAsia" w:ascii="楷体_GB2312" w:hAnsi="楷体_GB2312" w:eastAsia="楷体_GB2312" w:cs="楷体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项目概述及内容：</w:t>
      </w:r>
      <w:r>
        <w:rPr>
          <w:rFonts w:hint="eastAsia" w:ascii="仿宋_GB2312" w:hAnsi="仿宋_GB2312" w:eastAsia="仿宋_GB2312" w:cs="仿宋_GB2312"/>
          <w:i w:val="0"/>
          <w:iCs w:val="0"/>
          <w:caps w:val="0"/>
          <w:color w:val="auto"/>
          <w:spacing w:val="0"/>
          <w:sz w:val="32"/>
          <w:szCs w:val="32"/>
          <w:shd w:val="clear" w:fill="FFFFFF"/>
          <w:lang w:val="en-US" w:eastAsia="zh-CN"/>
        </w:rPr>
        <w:t>为进一步加强我县人才队伍建设，助推“人才强县”战略实施，完成阶段性工作任务，用于人才信息库建立完善，人才引进、培养，以及人才的服务、保障。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实施主体：中共凤台县委组织部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起止时间：2021年1月至2021年12月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年度预算安排：一般公共预算安排67万元</w:t>
      </w:r>
      <w:r>
        <w:rPr>
          <w:rFonts w:hint="eastAsia" w:ascii="仿宋_GB2312" w:hAnsi="仿宋_GB2312" w:cs="仿宋_GB2312"/>
          <w:i w:val="0"/>
          <w:iCs w:val="0"/>
          <w:caps w:val="0"/>
          <w:color w:val="auto"/>
          <w:spacing w:val="0"/>
          <w:sz w:val="32"/>
          <w:szCs w:val="32"/>
          <w:shd w:val="clear" w:fill="FFFFFF"/>
          <w:lang w:val="en-US" w:eastAsia="zh-CN"/>
        </w:rPr>
        <w:t>，实际预算54.7万元。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sz w:val="32"/>
          <w:szCs w:val="32"/>
        </w:rPr>
        <w:t>项目绩效目标</w:t>
      </w:r>
      <w:r>
        <w:rPr>
          <w:rFonts w:hint="eastAsia" w:ascii="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一是不断更新、充实县内六大类人才信息库和凤台籍在外人才信息库，摸清底数,系统掌握各类人才信息;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二是不断加强高层次和急需紧缺人才引进，做好优秀年轻人才教育培训;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仿宋_GB2312"/>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三是不断推进人才服务保障工作，增强人才荣誉感归属感。</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黑体" w:hAnsi="黑体" w:eastAsia="黑体"/>
        </w:rPr>
      </w:pPr>
      <w:r>
        <w:rPr>
          <w:rFonts w:hint="eastAsia" w:ascii="黑体" w:hAnsi="黑体" w:eastAsia="黑体"/>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加强预算绩效管理，强化支出责任，建立科学、合理的财政支出绩效评价管理体系，提高财政资金使用效益。范围为财政预算单位。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绩效评价原则：科学公正。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绩效评价应当运用科学合理的方法，按照规范的程序，对项目绩效进行客观、公正的反映。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eastAsia="zh-CN"/>
        </w:rPr>
        <w:t>统筹兼顾。单位自评应由项目单位自主实施，即“谁支出、谁自评”。部门评价和财政评价应在单位自评的基础上开展，必要时可委托第三方机构实施。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eastAsia="zh-CN"/>
        </w:rPr>
        <w:t>公开透明。绩效评价结果应依法依规公开，并自觉接受社会监督。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eastAsia="zh-CN"/>
        </w:rPr>
        <w:t>计划标准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计划标准是指以预先制定的目标、计划、预算、定额等数据作为评价的标准。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eastAsia="zh-CN"/>
        </w:rPr>
        <w:t>行业标准，行业标准是指参照国家公布的行业指标数据制定的评标准。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eastAsia="zh-CN"/>
        </w:rPr>
        <w:t>历史标准，历史标准是指参照同类指标的历史数据制定的评价标准。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绩效评价方法：绩效评价方法主要采用成本效益分析法、比较法、因素分析法、最低成本法、公众评判法等。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一是准备</w:t>
      </w:r>
      <w:r>
        <w:rPr>
          <w:rFonts w:hint="eastAsia" w:ascii="仿宋_GB2312" w:hAnsi="仿宋_GB2312" w:cs="仿宋_GB2312"/>
          <w:sz w:val="32"/>
          <w:szCs w:val="32"/>
          <w:lang w:val="en-US" w:eastAsia="zh-CN"/>
        </w:rPr>
        <w:t>阶段</w:t>
      </w:r>
      <w:r>
        <w:rPr>
          <w:rFonts w:hint="eastAsia" w:ascii="仿宋_GB2312" w:hAnsi="仿宋_GB2312" w:eastAsia="仿宋_GB2312" w:cs="仿宋_GB2312"/>
          <w:sz w:val="32"/>
          <w:szCs w:val="32"/>
          <w:lang w:eastAsia="zh-CN"/>
        </w:rPr>
        <w:t>，成立项目评价领导小组，制定工作计划。二是评价工作执行阶段，</w:t>
      </w:r>
      <w:r>
        <w:rPr>
          <w:rFonts w:hint="eastAsia" w:ascii="仿宋_GB2312" w:hAnsi="仿宋_GB2312" w:eastAsia="仿宋_GB2312" w:cs="仿宋_GB2312"/>
          <w:sz w:val="32"/>
          <w:szCs w:val="32"/>
          <w:lang w:val="en-US" w:eastAsia="zh-CN"/>
        </w:rPr>
        <w:t>按照评价方案收集相关数据，开展问卷调查和调研，开展资金使用情况调查。三是评价报告撰写，根据前期调研，查看资料撰写评价报告。</w:t>
      </w:r>
    </w:p>
    <w:p>
      <w:pPr>
        <w:spacing w:line="600" w:lineRule="exact"/>
        <w:rPr>
          <w:rFonts w:hint="eastAsia" w:ascii="黑体" w:hAnsi="黑体" w:eastAsia="黑体"/>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p>
    <w:p>
      <w:pPr>
        <w:spacing w:line="600" w:lineRule="exact"/>
        <w:ind w:firstLine="600" w:firstLineChars="200"/>
        <w:rPr>
          <w:rFonts w:hint="eastAsia" w:ascii="黑体" w:hAnsi="黑体" w:eastAsia="黑体"/>
        </w:rPr>
      </w:pPr>
      <w:r>
        <w:rPr>
          <w:rFonts w:hint="eastAsia" w:ascii="黑体" w:hAnsi="黑体" w:eastAsia="黑体"/>
        </w:rPr>
        <w:t>三、综合评价情况及评价结论</w:t>
      </w:r>
    </w:p>
    <w:tbl>
      <w:tblPr>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4"/>
        <w:gridCol w:w="744"/>
        <w:gridCol w:w="846"/>
        <w:gridCol w:w="1857"/>
        <w:gridCol w:w="1000"/>
        <w:gridCol w:w="515"/>
        <w:gridCol w:w="683"/>
        <w:gridCol w:w="875"/>
        <w:gridCol w:w="519"/>
        <w:gridCol w:w="572"/>
        <w:gridCol w:w="816"/>
        <w:gridCol w:w="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640"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项目支出绩效自评表</w:t>
            </w:r>
            <w:r>
              <w:rPr>
                <w:rFonts w:hint="eastAsia" w:ascii="宋体" w:hAnsi="宋体" w:eastAsia="宋体" w:cs="宋体"/>
                <w:i w:val="0"/>
                <w:iCs w:val="0"/>
                <w:color w:val="000000"/>
                <w:kern w:val="0"/>
                <w:sz w:val="32"/>
                <w:szCs w:val="32"/>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9640" w:type="dxa"/>
            <w:gridSpan w:val="12"/>
            <w:tcBorders>
              <w:top w:val="nil"/>
              <w:left w:val="nil"/>
              <w:bottom w:val="single" w:color="00000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15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48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人才基金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15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417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县委组织部</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1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县委组织部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152"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年初预算数</w:t>
            </w:r>
          </w:p>
        </w:tc>
        <w:tc>
          <w:tcPr>
            <w:tcW w:w="1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全年预算数（A）</w:t>
            </w:r>
          </w:p>
        </w:tc>
        <w:tc>
          <w:tcPr>
            <w:tcW w:w="13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全年执行数（B）</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分值</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执行率（B/A)</w:t>
            </w: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0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3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45.2381</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67.52%</w:t>
            </w: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bdr w:val="none" w:color="auto" w:sz="0" w:space="0"/>
                <w:lang w:val="en-US" w:eastAsia="zh-CN" w:bidi="ar"/>
              </w:rPr>
              <w:t xml:space="preserve"> </w:t>
            </w:r>
            <w:r>
              <w:rPr>
                <w:rStyle w:val="14"/>
                <w:bdr w:val="none" w:color="auto" w:sz="0" w:space="0"/>
                <w:lang w:val="en-US" w:eastAsia="zh-CN" w:bidi="ar"/>
              </w:rPr>
              <w:t>其中：本年财政拨款</w:t>
            </w:r>
          </w:p>
        </w:tc>
        <w:tc>
          <w:tcPr>
            <w:tcW w:w="10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36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上年结转资金</w:t>
            </w:r>
          </w:p>
        </w:tc>
        <w:tc>
          <w:tcPr>
            <w:tcW w:w="10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6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15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3"/>
                <w:bdr w:val="none" w:color="auto" w:sz="0" w:space="0"/>
                <w:lang w:val="en-US" w:eastAsia="zh-CN" w:bidi="ar"/>
              </w:rPr>
              <w:t xml:space="preserve"> </w:t>
            </w:r>
            <w:r>
              <w:rPr>
                <w:rStyle w:val="14"/>
                <w:bdr w:val="none" w:color="auto" w:sz="0" w:space="0"/>
                <w:lang w:val="en-US" w:eastAsia="zh-CN" w:bidi="ar"/>
              </w:rPr>
              <w:t xml:space="preserve">      其他资金</w:t>
            </w:r>
          </w:p>
        </w:tc>
        <w:tc>
          <w:tcPr>
            <w:tcW w:w="10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2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6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527"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年度总体目标完成情况</w:t>
            </w:r>
          </w:p>
        </w:tc>
        <w:tc>
          <w:tcPr>
            <w:tcW w:w="580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331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52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801"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进一步加强我县人才队伍建设，助推“人才强县”战略实施，完成阶段性工作任务，用于人才信息库建立完善，人才引进、培养，以及人才的服务、保障。一是不断更新、充实县内六大类人才信息库和凤台籍在外人才信息库，摸清底数,系统掌握各类人才信息;二是不断加强高层次和急需紧缺人才引进，做好优秀年轻人才教育培训;三是不断推进人才服务保障工作，增强人才荣誉感归属感。</w:t>
            </w:r>
          </w:p>
        </w:tc>
        <w:tc>
          <w:tcPr>
            <w:tcW w:w="3312" w:type="dxa"/>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加强了我县人才队伍建设，助推了“人才强县”战略实施，完成阶段性工作任务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年度绩效指标完成情况</w:t>
            </w: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分值</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得分</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(50分)</w:t>
            </w:r>
          </w:p>
        </w:tc>
        <w:tc>
          <w:tcPr>
            <w:tcW w:w="8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14套人才公寓日常管理和10名高层次人才休假</w:t>
            </w:r>
          </w:p>
        </w:tc>
        <w:tc>
          <w:tcPr>
            <w:tcW w:w="6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7类人才信息库</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13期干部教育培训班和1370名干部网络教育培训</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人才公寓入住审批、水电燃气网络物业费用按时缴纳；县内各领域优秀高层次人才遴选</w:t>
            </w:r>
          </w:p>
        </w:tc>
        <w:tc>
          <w:tcPr>
            <w:tcW w:w="6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主体班8个、专题班5个、安徽干部教育在线学习平台</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按照党政人才、企业经营管理人才、专业技术人才、高技能人才、农村实用人才、社会工作人才和凤台籍在外人才7类梳理</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3493" w:type="dxa"/>
            <w:gridSpan w:val="3"/>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项目完成时间为1年</w:t>
            </w:r>
          </w:p>
        </w:tc>
        <w:tc>
          <w:tcPr>
            <w:tcW w:w="68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89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69" w:type="dxa"/>
            <w:gridSpan w:val="2"/>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根据公寓入住情况，收缴各项费用；根据疗养内容支付费用</w:t>
            </w:r>
          </w:p>
        </w:tc>
        <w:tc>
          <w:tcPr>
            <w:tcW w:w="6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根据培训班次不同支付相应课程教师授课费、食宿费、交通费等费用；网络培训费用不低于每人每年100元</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根据凤台籍在外人才信息摸底奖励办法兑现奖品或奖金</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基本完成</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资金有限，部分奖品未兑现。下步合理安排资金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(30分)</w:t>
            </w:r>
          </w:p>
        </w:tc>
        <w:tc>
          <w:tcPr>
            <w:tcW w:w="8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优秀人才服务保障能够营造全县敬才爱才良好氛围，增强人才政治责任感</w:t>
            </w:r>
          </w:p>
        </w:tc>
        <w:tc>
          <w:tcPr>
            <w:tcW w:w="6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效益程度（显著、明显、一般）</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举办干部教育培训班和网络培训能够提升我县干部人才综合素质和能力水平</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各类人才信息库建设能够掌握我县人才队伍基本情况</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优秀人才服务保障能够激励人才干事创业积极性</w:t>
            </w:r>
          </w:p>
        </w:tc>
        <w:tc>
          <w:tcPr>
            <w:tcW w:w="6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提升程度（较高、明显、一般）</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举办干部教育培训班和网络培训能够增强干部人才服务经济社会发展的本领</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各类人才信息库建设能够为经济社会发展提供人才支撑</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493" w:type="dxa"/>
            <w:gridSpan w:val="3"/>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通过干部教育培训提升干部生态环境保护和绿色发展意识</w:t>
            </w:r>
          </w:p>
        </w:tc>
        <w:tc>
          <w:tcPr>
            <w:tcW w:w="68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89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基本完成</w:t>
            </w:r>
          </w:p>
        </w:tc>
        <w:tc>
          <w:tcPr>
            <w:tcW w:w="46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69" w:type="dxa"/>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干部培训班时间紧任务重，绿色发展意识课程安排较少，下步继续完善课程安排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响指标</w:t>
            </w: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人才公寓和人才疗养活动不断推进人才服务保障，促进我县高层次人才聚集</w:t>
            </w:r>
          </w:p>
        </w:tc>
        <w:tc>
          <w:tcPr>
            <w:tcW w:w="6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影响程度（较高、明显、一般）</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日常工作繁重，人才疗养活动开展力度不够，下步合理安排工作，加大人才疗养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举办干部教育培训班和网络培训能够提升我县干部人才综合素质和能力水平，增强干部人才服务经济社会发展的本领</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9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通过凤台籍在外人才信息摸底，为招商引资、招才引智提供有利保障</w:t>
            </w:r>
          </w:p>
        </w:tc>
        <w:tc>
          <w:tcPr>
            <w:tcW w:w="6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(10分)</w:t>
            </w:r>
          </w:p>
        </w:tc>
        <w:tc>
          <w:tcPr>
            <w:tcW w:w="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3493" w:type="dxa"/>
            <w:gridSpan w:val="3"/>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提高干部人才的满意度</w:t>
            </w:r>
          </w:p>
        </w:tc>
        <w:tc>
          <w:tcPr>
            <w:tcW w:w="6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服务对象满意度达90%以上</w:t>
            </w:r>
          </w:p>
        </w:tc>
        <w:tc>
          <w:tcPr>
            <w:tcW w:w="89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46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645" w:type="dxa"/>
            <w:gridSpan w:val="6"/>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总分</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bCs/>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95</w:t>
            </w:r>
          </w:p>
        </w:tc>
        <w:tc>
          <w:tcPr>
            <w:tcW w:w="136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9640" w:type="dxa"/>
            <w:gridSpan w:val="12"/>
            <w:tcBorders>
              <w:top w:val="single" w:color="000000" w:sz="4" w:space="0"/>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9" w:hRule="atLeast"/>
        </w:trPr>
        <w:tc>
          <w:tcPr>
            <w:tcW w:w="9640" w:type="dxa"/>
            <w:gridSpan w:val="1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9640" w:type="dxa"/>
            <w:gridSpan w:val="12"/>
            <w:tcBorders>
              <w:top w:val="nil"/>
              <w:left w:val="nil"/>
              <w:bottom w:val="nil"/>
              <w:right w:val="nil"/>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3.定量指标若为正向指标（即指标值为≥*），则得分计算方法应用全年实际值/年度指标值</w:t>
            </w:r>
            <w:r>
              <w:rPr>
                <w:rFonts w:hint="eastAsia" w:ascii="宋体" w:hAnsi="宋体" w:eastAsia="宋体" w:cs="宋体"/>
                <w:i w:val="0"/>
                <w:iCs w:val="0"/>
                <w:color w:val="000000"/>
                <w:kern w:val="0"/>
                <w:sz w:val="12"/>
                <w:szCs w:val="12"/>
                <w:u w:val="none"/>
                <w:bdr w:val="none" w:color="auto" w:sz="0" w:space="0"/>
                <w:lang w:val="en-US" w:eastAsia="zh-CN" w:bidi="ar"/>
              </w:rPr>
              <w:t>╳</w:t>
            </w:r>
            <w:r>
              <w:rPr>
                <w:rFonts w:hint="eastAsia" w:ascii="宋体" w:hAnsi="宋体" w:eastAsia="宋体" w:cs="宋体"/>
                <w:i w:val="0"/>
                <w:iCs w:val="0"/>
                <w:color w:val="000000"/>
                <w:kern w:val="0"/>
                <w:sz w:val="18"/>
                <w:szCs w:val="18"/>
                <w:u w:val="none"/>
                <w:bdr w:val="none" w:color="auto" w:sz="0" w:space="0"/>
                <w:lang w:val="en-US" w:eastAsia="zh-CN" w:bidi="ar"/>
              </w:rPr>
              <w:t>该指标分值；若定量指标为反向指标（即指标值为≤*），则得分计算方法应用年度指标值/全年实际值</w:t>
            </w:r>
            <w:r>
              <w:rPr>
                <w:rFonts w:hint="eastAsia" w:ascii="宋体" w:hAnsi="宋体" w:eastAsia="宋体" w:cs="宋体"/>
                <w:i w:val="0"/>
                <w:iCs w:val="0"/>
                <w:color w:val="000000"/>
                <w:kern w:val="0"/>
                <w:sz w:val="12"/>
                <w:szCs w:val="12"/>
                <w:u w:val="none"/>
                <w:bdr w:val="none" w:color="auto" w:sz="0" w:space="0"/>
                <w:lang w:val="en-US" w:eastAsia="zh-CN" w:bidi="ar"/>
              </w:rPr>
              <w:t>╳</w:t>
            </w:r>
            <w:r>
              <w:rPr>
                <w:rFonts w:hint="eastAsia" w:ascii="宋体" w:hAnsi="宋体" w:eastAsia="宋体" w:cs="宋体"/>
                <w:i w:val="0"/>
                <w:iCs w:val="0"/>
                <w:color w:val="000000"/>
                <w:kern w:val="0"/>
                <w:sz w:val="18"/>
                <w:szCs w:val="18"/>
                <w:u w:val="none"/>
                <w:bdr w:val="none" w:color="auto" w:sz="0" w:space="0"/>
                <w:lang w:val="en-US" w:eastAsia="zh-CN" w:bidi="ar"/>
              </w:rPr>
              <w:t>该指标分值；定量指标得分最高不得超过该指标分值上限。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4.评价得分说明：说明全年实际值与年度指标值偏离情况（未达、持平、超额）。</w:t>
            </w:r>
          </w:p>
        </w:tc>
      </w:tr>
    </w:tbl>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color w:val="000000"/>
          <w:sz w:val="32"/>
          <w:szCs w:val="32"/>
        </w:rPr>
      </w:pPr>
      <w:r>
        <w:rPr>
          <w:rFonts w:hint="eastAsia" w:ascii="仿宋_GB2312" w:hAnsi="Calibri" w:eastAsia="仿宋_GB2312" w:cs="仿宋_GB2312"/>
          <w:color w:val="000000"/>
          <w:kern w:val="0"/>
          <w:sz w:val="32"/>
          <w:szCs w:val="32"/>
          <w:lang w:val="en-US" w:eastAsia="zh-CN" w:bidi="ar"/>
        </w:rPr>
        <w:t xml:space="preserve"> </w:t>
      </w:r>
    </w:p>
    <w:p>
      <w:pPr>
        <w:spacing w:line="600" w:lineRule="exact"/>
        <w:ind w:firstLine="600" w:firstLineChars="200"/>
        <w:rPr>
          <w:rFonts w:hint="eastAsia" w:ascii="黑体" w:hAnsi="黑体" w:eastAsia="黑体"/>
        </w:rPr>
        <w:sectPr>
          <w:pgSz w:w="11906" w:h="16838"/>
          <w:pgMar w:top="1928" w:right="1531" w:bottom="1701" w:left="1531" w:header="737" w:footer="850" w:gutter="0"/>
          <w:pgBorders>
            <w:top w:val="none" w:sz="0" w:space="0"/>
            <w:left w:val="none" w:sz="0" w:space="0"/>
            <w:bottom w:val="none" w:sz="0" w:space="0"/>
            <w:right w:val="none" w:sz="0" w:space="0"/>
          </w:pgBorders>
          <w:cols w:space="0" w:num="1"/>
          <w:rtlGutter w:val="0"/>
          <w:docGrid w:type="lines" w:linePitch="421" w:charSpace="0"/>
        </w:sectPr>
      </w:pPr>
    </w:p>
    <w:p>
      <w:pPr>
        <w:spacing w:line="600" w:lineRule="exact"/>
        <w:ind w:firstLine="600" w:firstLineChars="200"/>
        <w:rPr>
          <w:rFonts w:ascii="黑体" w:hAnsi="黑体" w:eastAsia="黑体"/>
        </w:rPr>
      </w:pPr>
      <w:r>
        <w:rPr>
          <w:rFonts w:hint="eastAsia" w:ascii="黑体" w:hAnsi="黑体" w:eastAsia="黑体"/>
        </w:rPr>
        <w:t>四、绩效评价指标分析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（一）项目决策情况</w:t>
      </w:r>
    </w:p>
    <w:p>
      <w:pPr>
        <w:spacing w:line="6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cs="仿宋_GB2312"/>
          <w:i w:val="0"/>
          <w:iCs w:val="0"/>
          <w:caps w:val="0"/>
          <w:color w:val="auto"/>
          <w:spacing w:val="0"/>
          <w:sz w:val="32"/>
          <w:szCs w:val="32"/>
          <w:shd w:val="clear" w:fill="FFFFFF"/>
          <w:lang w:val="en-US" w:eastAsia="zh-CN"/>
        </w:rPr>
        <w:t>县委组织部</w:t>
      </w:r>
      <w:r>
        <w:rPr>
          <w:rFonts w:hint="eastAsia" w:ascii="仿宋_GB2312" w:hAnsi="仿宋_GB2312" w:eastAsia="仿宋_GB2312" w:cs="仿宋_GB2312"/>
          <w:i w:val="0"/>
          <w:iCs w:val="0"/>
          <w:caps w:val="0"/>
          <w:color w:val="auto"/>
          <w:spacing w:val="0"/>
          <w:sz w:val="32"/>
          <w:szCs w:val="32"/>
          <w:shd w:val="clear" w:fill="FFFFFF"/>
          <w:lang w:eastAsia="zh-CN"/>
        </w:rPr>
        <w:t>项目决策在</w:t>
      </w:r>
      <w:r>
        <w:rPr>
          <w:rFonts w:hint="eastAsia" w:ascii="仿宋_GB2312" w:hAnsi="仿宋_GB2312" w:eastAsia="仿宋_GB2312" w:cs="仿宋_GB2312"/>
          <w:i w:val="0"/>
          <w:iCs w:val="0"/>
          <w:caps w:val="0"/>
          <w:color w:val="auto"/>
          <w:spacing w:val="0"/>
          <w:sz w:val="32"/>
          <w:szCs w:val="32"/>
          <w:shd w:val="clear" w:fill="FFFFFF"/>
        </w:rPr>
        <w:t>科学的理论和方法指导下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进行细致深入调查和论证，作出科学决策</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（二）项目过程情况</w:t>
      </w:r>
    </w:p>
    <w:p>
      <w:pPr>
        <w:spacing w:line="600" w:lineRule="exact"/>
        <w:ind w:firstLine="640" w:firstLineChars="200"/>
        <w:outlineLvl w:val="0"/>
        <w:rPr>
          <w:rFonts w:hint="eastAsia" w:ascii="仿宋_GB2312" w:eastAsia="仿宋_GB2312"/>
          <w:sz w:val="32"/>
          <w:szCs w:val="32"/>
          <w:lang w:eastAsia="zh-CN"/>
        </w:rPr>
      </w:pPr>
      <w:r>
        <w:rPr>
          <w:rFonts w:hint="eastAsia" w:ascii="仿宋_GB2312"/>
          <w:sz w:val="32"/>
          <w:szCs w:val="32"/>
          <w:lang w:eastAsia="zh-CN"/>
        </w:rPr>
        <w:t>项目从年初开始，贯穿全年</w:t>
      </w:r>
      <w:r>
        <w:rPr>
          <w:rFonts w:hint="eastAsia" w:ascii="仿宋_GB2312" w:hAnsi="仿宋_GB2312" w:eastAsia="仿宋_GB2312" w:cs="仿宋_GB2312"/>
          <w:i w:val="0"/>
          <w:iCs w:val="0"/>
          <w:caps w:val="0"/>
          <w:color w:val="auto"/>
          <w:spacing w:val="0"/>
          <w:sz w:val="32"/>
          <w:szCs w:val="32"/>
          <w:shd w:val="clear" w:fill="FFFFFF"/>
          <w:lang w:val="en-US" w:eastAsia="zh-CN"/>
        </w:rPr>
        <w:t>加强我县人才队伍建设，助推“人才强县”战略实施，用于人才信息库建立完善，人才引进、培养，以及人才的服务、保障。</w:t>
      </w:r>
      <w:r>
        <w:rPr>
          <w:rFonts w:hint="eastAsia" w:ascii="仿宋_GB2312"/>
          <w:sz w:val="32"/>
          <w:szCs w:val="32"/>
          <w:lang w:eastAsia="zh-CN"/>
        </w:rPr>
        <w:t>年未全面完成年初制定目标任务。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（三）项目产出情况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加强</w:t>
      </w:r>
      <w:r>
        <w:rPr>
          <w:rFonts w:hint="eastAsia" w:ascii="仿宋_GB2312" w:hAnsi="仿宋_GB2312" w:cs="仿宋_GB2312"/>
          <w:i w:val="0"/>
          <w:iCs w:val="0"/>
          <w:caps w:val="0"/>
          <w:color w:val="auto"/>
          <w:spacing w:val="0"/>
          <w:sz w:val="32"/>
          <w:szCs w:val="32"/>
          <w:shd w:val="clear" w:fill="FFFFFF"/>
          <w:lang w:val="en-US" w:eastAsia="zh-CN"/>
        </w:rPr>
        <w:t>了</w:t>
      </w:r>
      <w:r>
        <w:rPr>
          <w:rFonts w:hint="eastAsia" w:ascii="仿宋_GB2312" w:hAnsi="仿宋_GB2312" w:eastAsia="仿宋_GB2312" w:cs="仿宋_GB2312"/>
          <w:i w:val="0"/>
          <w:iCs w:val="0"/>
          <w:caps w:val="0"/>
          <w:color w:val="auto"/>
          <w:spacing w:val="0"/>
          <w:sz w:val="32"/>
          <w:szCs w:val="32"/>
          <w:shd w:val="clear" w:fill="FFFFFF"/>
          <w:lang w:val="en-US" w:eastAsia="zh-CN"/>
        </w:rPr>
        <w:t>我县人才队伍建设，助推</w:t>
      </w:r>
      <w:r>
        <w:rPr>
          <w:rFonts w:hint="eastAsia" w:ascii="仿宋_GB2312" w:hAnsi="仿宋_GB2312" w:cs="仿宋_GB2312"/>
          <w:i w:val="0"/>
          <w:iCs w:val="0"/>
          <w:caps w:val="0"/>
          <w:color w:val="auto"/>
          <w:spacing w:val="0"/>
          <w:sz w:val="32"/>
          <w:szCs w:val="32"/>
          <w:shd w:val="clear" w:fill="FFFFFF"/>
          <w:lang w:val="en-US" w:eastAsia="zh-CN"/>
        </w:rPr>
        <w:t>了</w:t>
      </w:r>
      <w:r>
        <w:rPr>
          <w:rFonts w:hint="eastAsia" w:ascii="仿宋_GB2312" w:hAnsi="仿宋_GB2312" w:eastAsia="仿宋_GB2312" w:cs="仿宋_GB2312"/>
          <w:i w:val="0"/>
          <w:iCs w:val="0"/>
          <w:caps w:val="0"/>
          <w:color w:val="auto"/>
          <w:spacing w:val="0"/>
          <w:sz w:val="32"/>
          <w:szCs w:val="32"/>
          <w:shd w:val="clear" w:fill="FFFFFF"/>
          <w:lang w:val="en-US" w:eastAsia="zh-CN"/>
        </w:rPr>
        <w:t>“人才强县”战略实施，完成阶段性工作任务</w:t>
      </w:r>
      <w:r>
        <w:rPr>
          <w:rFonts w:hint="eastAsia" w:ascii="仿宋_GB2312" w:hAnsi="仿宋_GB2312" w:cs="仿宋_GB2312"/>
          <w:i w:val="0"/>
          <w:iCs w:val="0"/>
          <w:caps w:val="0"/>
          <w:color w:val="auto"/>
          <w:spacing w:val="0"/>
          <w:sz w:val="32"/>
          <w:szCs w:val="32"/>
          <w:shd w:val="clear" w:fill="FFFFFF"/>
          <w:lang w:val="en-US" w:eastAsia="zh-CN"/>
        </w:rPr>
        <w:t>，为全县人才提供</w:t>
      </w:r>
      <w:r>
        <w:rPr>
          <w:rFonts w:hint="eastAsia" w:ascii="仿宋_GB2312" w:hAnsi="仿宋_GB2312" w:eastAsia="仿宋_GB2312" w:cs="仿宋_GB2312"/>
          <w:i w:val="0"/>
          <w:iCs w:val="0"/>
          <w:caps w:val="0"/>
          <w:color w:val="auto"/>
          <w:spacing w:val="0"/>
          <w:sz w:val="32"/>
          <w:szCs w:val="32"/>
          <w:shd w:val="clear" w:fill="FFFFFF"/>
          <w:lang w:val="en-US" w:eastAsia="zh-CN"/>
        </w:rPr>
        <w:t>服务、保障。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（四）项目效益情况</w:t>
      </w:r>
    </w:p>
    <w:p>
      <w:pPr>
        <w:spacing w:line="600" w:lineRule="exact"/>
        <w:ind w:firstLine="640" w:firstLineChars="200"/>
        <w:outlineLvl w:val="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2"/>
          <w:szCs w:val="32"/>
          <w:lang w:eastAsia="zh-CN"/>
        </w:rPr>
        <w:t>通过项目开展，</w:t>
      </w:r>
      <w:r>
        <w:rPr>
          <w:rFonts w:hint="eastAsia" w:ascii="仿宋_GB2312" w:hAnsi="仿宋_GB2312" w:cs="仿宋_GB2312"/>
          <w:sz w:val="32"/>
          <w:szCs w:val="32"/>
          <w:lang w:val="en-US" w:eastAsia="zh-CN"/>
        </w:rPr>
        <w:t>全面提升我县人才工作质效</w:t>
      </w:r>
      <w:r>
        <w:rPr>
          <w:rFonts w:hint="eastAsia" w:ascii="仿宋_GB2312" w:hAnsi="仿宋_GB2312" w:eastAsia="仿宋_GB2312" w:cs="仿宋_GB2312"/>
          <w:i w:val="0"/>
          <w:iCs w:val="0"/>
          <w:color w:val="000000"/>
          <w:kern w:val="0"/>
          <w:sz w:val="32"/>
          <w:szCs w:val="32"/>
          <w:u w:val="none"/>
          <w:lang w:val="en-US" w:eastAsia="zh-CN" w:bidi="ar"/>
        </w:rPr>
        <w:t>。</w:t>
      </w:r>
    </w:p>
    <w:p>
      <w:pPr>
        <w:spacing w:line="600" w:lineRule="exact"/>
        <w:ind w:firstLine="600" w:firstLineChars="200"/>
        <w:outlineLvl w:val="0"/>
        <w:rPr>
          <w:rFonts w:hint="eastAsia" w:ascii="黑体" w:hAnsi="黑体" w:eastAsia="黑体"/>
        </w:rPr>
      </w:pPr>
      <w:r>
        <w:rPr>
          <w:rFonts w:hint="eastAsia" w:ascii="黑体" w:hAnsi="黑体" w:eastAsia="黑体"/>
        </w:rPr>
        <w:t>五、主要经验及做法、存在的问题及原因分析</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存在问题：</w:t>
      </w: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rPr>
        <w:t>绩效评价在目标设定上过于简单，对于绩效考核来讲，目标就是方向，如果在绩效考核目标设定上出现问题、或者是设计不合理势必要影响到绩效考核的全局。</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rPr>
        <w:t>绩效评价在指标设定上存在偏离的现象。绩效考核的指标设定要从单位实际出发，按照科学、合理、公正的标准进行设定方案。在当前绩效考核指标设定上，德能勤绩这种传统的固化思维模式依旧存在，不能紧紧围绕工作重点、偏离实际的现象依旧凸显。</w:t>
      </w:r>
    </w:p>
    <w:p>
      <w:pPr>
        <w:numPr>
          <w:ilvl w:val="0"/>
          <w:numId w:val="1"/>
        </w:numPr>
        <w:spacing w:line="600" w:lineRule="exact"/>
        <w:ind w:firstLine="600" w:firstLineChars="200"/>
        <w:rPr>
          <w:rFonts w:hint="eastAsia" w:ascii="黑体" w:hAnsi="黑体" w:eastAsia="黑体"/>
        </w:rPr>
      </w:pPr>
      <w:r>
        <w:rPr>
          <w:rFonts w:hint="eastAsia" w:ascii="黑体" w:hAnsi="黑体" w:eastAsia="黑体"/>
        </w:rPr>
        <w:t>有关建议</w:t>
      </w:r>
    </w:p>
    <w:p>
      <w:pPr>
        <w:numPr>
          <w:ilvl w:val="0"/>
          <w:numId w:val="0"/>
        </w:numPr>
        <w:spacing w:line="600" w:lineRule="exact"/>
        <w:ind w:firstLine="640" w:firstLineChars="200"/>
        <w:rPr>
          <w:rFonts w:hint="eastAsia" w:ascii="黑体" w:hAnsi="黑体" w:eastAsia="黑体"/>
        </w:rPr>
      </w:pPr>
      <w:r>
        <w:rPr>
          <w:rFonts w:hint="eastAsia" w:ascii="仿宋_GB2312" w:hAnsi="仿宋_GB2312" w:cs="仿宋_GB2312"/>
          <w:sz w:val="32"/>
          <w:szCs w:val="32"/>
          <w:lang w:eastAsia="zh-CN"/>
        </w:rPr>
        <w:t>加强对绩效评价实施主体的培训，最大限度少人为因素，保证评价的公正性。绩效评价的过程是否公正、评价结果是否公平，都与绩效评价实施主体的素质有着必然的联系;要想保证评价的有效性、实现评价有效执行，关键在于提高绩效评价实施主体的素质。要采取切实措施，加强对绩效评价主体的培训力度，端正其思想，坚定其原则、硬化其素质。通过采取培训的方式有效减少主观人为因素、提高掌握绩效评价的实效性，避免一些失误现象。</w:t>
      </w:r>
    </w:p>
    <w:p>
      <w:pPr>
        <w:spacing w:line="600" w:lineRule="exact"/>
        <w:ind w:firstLine="600" w:firstLineChars="200"/>
        <w:rPr>
          <w:rFonts w:hint="eastAsia" w:ascii="黑体" w:hAnsi="黑体" w:eastAsia="黑体"/>
        </w:rPr>
      </w:pPr>
      <w:r>
        <w:rPr>
          <w:rFonts w:hint="eastAsia" w:ascii="黑体" w:hAnsi="黑体" w:eastAsia="黑体"/>
        </w:rPr>
        <w:t>七、其他需要说明的问题</w:t>
      </w:r>
    </w:p>
    <w:p>
      <w:pPr>
        <w:spacing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无</w:t>
      </w:r>
    </w:p>
    <w:p>
      <w:pPr>
        <w:spacing w:line="600" w:lineRule="exact"/>
        <w:rPr>
          <w:rFonts w:hint="eastAsia" w:ascii="仿宋_GB2312" w:hAnsi="仿宋_GB2312" w:eastAsia="仿宋_GB2312" w:cs="仿宋_GB2312"/>
          <w:b w:val="0"/>
          <w:bCs w:val="0"/>
          <w:sz w:val="32"/>
          <w:szCs w:val="32"/>
          <w:lang w:eastAsia="zh-CN"/>
        </w:rPr>
      </w:pPr>
    </w:p>
    <w:p>
      <w:pPr>
        <w:spacing w:line="600" w:lineRule="exact"/>
        <w:rPr>
          <w:rFonts w:hint="eastAsia" w:ascii="仿宋_GB2312" w:hAnsi="仿宋_GB2312" w:eastAsia="仿宋_GB2312" w:cs="仿宋_GB2312"/>
          <w:b w:val="0"/>
          <w:bCs w:val="0"/>
          <w:sz w:val="32"/>
          <w:szCs w:val="32"/>
          <w:lang w:eastAsia="zh-CN"/>
        </w:rPr>
      </w:pPr>
    </w:p>
    <w:p>
      <w:pPr>
        <w:spacing w:line="600" w:lineRule="exact"/>
        <w:ind w:firstLine="640" w:firstLineChars="200"/>
        <w:jc w:val="right"/>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中共凤台县委组织部</w:t>
      </w:r>
    </w:p>
    <w:p>
      <w:pPr>
        <w:spacing w:line="600" w:lineRule="exact"/>
        <w:ind w:firstLine="640" w:firstLineChars="200"/>
        <w:jc w:val="right"/>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2022年8月17日</w:t>
      </w:r>
    </w:p>
    <w:sectPr>
      <w:pgSz w:w="11906" w:h="16838"/>
      <w:pgMar w:top="1928" w:right="1531" w:bottom="1701" w:left="1531" w:header="737" w:footer="850" w:gutter="0"/>
      <w:pgBorders>
        <w:top w:val="none" w:sz="0" w:space="0"/>
        <w:left w:val="none" w:sz="0" w:space="0"/>
        <w:bottom w:val="none" w:sz="0" w:space="0"/>
        <w:right w:val="none" w:sz="0" w:space="0"/>
      </w:pgBorders>
      <w:cols w:space="0" w:num="1"/>
      <w:rtlGutter w:val="0"/>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0A783"/>
    <w:multiLevelType w:val="singleLevel"/>
    <w:tmpl w:val="7F90A78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2JlMzQ1MTA5ZGZlOTg4MGI0N2RmZjkzNDgxZDUifQ=="/>
  </w:docVars>
  <w:rsids>
    <w:rsidRoot w:val="55AE45D4"/>
    <w:rsid w:val="062D49F0"/>
    <w:rsid w:val="237E3EE8"/>
    <w:rsid w:val="27846B0B"/>
    <w:rsid w:val="2A196F08"/>
    <w:rsid w:val="2A8F6FFB"/>
    <w:rsid w:val="30C15385"/>
    <w:rsid w:val="333B1446"/>
    <w:rsid w:val="3641255E"/>
    <w:rsid w:val="36877830"/>
    <w:rsid w:val="45042999"/>
    <w:rsid w:val="47176886"/>
    <w:rsid w:val="48D26B99"/>
    <w:rsid w:val="4B3E5819"/>
    <w:rsid w:val="4D5179FF"/>
    <w:rsid w:val="55AE45D4"/>
    <w:rsid w:val="586A7C3F"/>
    <w:rsid w:val="58D64D6F"/>
    <w:rsid w:val="69136792"/>
    <w:rsid w:val="7BE1679D"/>
    <w:rsid w:val="7F1B4A79"/>
    <w:rsid w:val="7F7E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101"/>
    <w:basedOn w:val="5"/>
    <w:qFormat/>
    <w:uiPriority w:val="0"/>
    <w:rPr>
      <w:rFonts w:hint="eastAsia" w:ascii="宋体" w:hAnsi="宋体" w:eastAsia="宋体" w:cs="宋体"/>
      <w:b/>
      <w:bCs/>
      <w:color w:val="000000"/>
      <w:sz w:val="32"/>
      <w:szCs w:val="32"/>
      <w:u w:val="none"/>
    </w:rPr>
  </w:style>
  <w:style w:type="character" w:customStyle="1" w:styleId="7">
    <w:name w:val="font61"/>
    <w:basedOn w:val="5"/>
    <w:qFormat/>
    <w:uiPriority w:val="0"/>
    <w:rPr>
      <w:rFonts w:hint="eastAsia" w:ascii="宋体" w:hAnsi="宋体" w:eastAsia="宋体" w:cs="宋体"/>
      <w:color w:val="000000"/>
      <w:sz w:val="18"/>
      <w:szCs w:val="18"/>
      <w:u w:val="none"/>
    </w:rPr>
  </w:style>
  <w:style w:type="character" w:customStyle="1" w:styleId="8">
    <w:name w:val="font41"/>
    <w:basedOn w:val="5"/>
    <w:uiPriority w:val="0"/>
    <w:rPr>
      <w:rFonts w:hint="eastAsia" w:ascii="宋体" w:hAnsi="宋体" w:eastAsia="宋体" w:cs="宋体"/>
      <w:color w:val="000000"/>
      <w:sz w:val="32"/>
      <w:szCs w:val="32"/>
      <w:u w:val="none"/>
    </w:rPr>
  </w:style>
  <w:style w:type="character" w:customStyle="1" w:styleId="9">
    <w:name w:val="font11"/>
    <w:basedOn w:val="5"/>
    <w:uiPriority w:val="0"/>
    <w:rPr>
      <w:rFonts w:hint="eastAsia" w:ascii="宋体" w:hAnsi="宋体" w:eastAsia="宋体" w:cs="宋体"/>
      <w:color w:val="000000"/>
      <w:sz w:val="20"/>
      <w:szCs w:val="20"/>
      <w:u w:val="none"/>
    </w:rPr>
  </w:style>
  <w:style w:type="character" w:customStyle="1" w:styleId="10">
    <w:name w:val="font112"/>
    <w:basedOn w:val="5"/>
    <w:uiPriority w:val="0"/>
    <w:rPr>
      <w:rFonts w:hint="eastAsia" w:ascii="宋体" w:hAnsi="宋体" w:eastAsia="宋体" w:cs="宋体"/>
      <w:color w:val="000000"/>
      <w:sz w:val="20"/>
      <w:szCs w:val="20"/>
      <w:u w:val="none"/>
    </w:rPr>
  </w:style>
  <w:style w:type="character" w:customStyle="1" w:styleId="11">
    <w:name w:val="font81"/>
    <w:basedOn w:val="5"/>
    <w:uiPriority w:val="0"/>
    <w:rPr>
      <w:rFonts w:hint="eastAsia" w:ascii="宋体" w:hAnsi="宋体" w:eastAsia="宋体" w:cs="宋体"/>
      <w:color w:val="000000"/>
      <w:sz w:val="18"/>
      <w:szCs w:val="18"/>
      <w:u w:val="none"/>
    </w:rPr>
  </w:style>
  <w:style w:type="character" w:customStyle="1" w:styleId="12">
    <w:name w:val="font131"/>
    <w:basedOn w:val="5"/>
    <w:uiPriority w:val="0"/>
    <w:rPr>
      <w:rFonts w:hint="eastAsia" w:ascii="宋体" w:hAnsi="宋体" w:eastAsia="宋体" w:cs="宋体"/>
      <w:color w:val="000000"/>
      <w:sz w:val="12"/>
      <w:szCs w:val="12"/>
      <w:u w:val="none"/>
    </w:rPr>
  </w:style>
  <w:style w:type="character" w:customStyle="1" w:styleId="13">
    <w:name w:val="font12"/>
    <w:basedOn w:val="5"/>
    <w:uiPriority w:val="0"/>
    <w:rPr>
      <w:rFonts w:hint="eastAsia" w:ascii="宋体" w:hAnsi="宋体" w:eastAsia="宋体" w:cs="宋体"/>
      <w:color w:val="000000"/>
      <w:sz w:val="20"/>
      <w:szCs w:val="20"/>
      <w:u w:val="none"/>
    </w:rPr>
  </w:style>
  <w:style w:type="character" w:customStyle="1" w:styleId="14">
    <w:name w:val="font11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3828</Words>
  <Characters>3929</Characters>
  <Lines>0</Lines>
  <Paragraphs>0</Paragraphs>
  <TotalTime>48</TotalTime>
  <ScaleCrop>false</ScaleCrop>
  <LinksUpToDate>false</LinksUpToDate>
  <CharactersWithSpaces>3967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2021-12-24T08:18:00Z</dcterms:created>
  <dc:creator>胡继猛</dc:creator>
  <cp:lastModifiedBy>阚冰</cp:lastModifiedBy>
  <cp:lastPrinted>2022-08-18T07:04:00Z</cp:lastPrinted>
  <dcterms:modified xsi:type="dcterms:W3CDTF">2022-08-19T03:37:43Z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0B59A3D4C2DE4307A6C9E882287BE51C</vt:lpwstr>
  </property>
</Properties>
</file>