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凤台县妇联</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00" w:firstLineChars="200"/>
        <w:outlineLvl w:val="0"/>
        <w:rPr>
          <w:rFonts w:hint="eastAsia" w:ascii="仿宋_GB2312" w:hAnsi="宋体" w:eastAsia="仿宋_GB2312" w:cs="仿宋_GB2312"/>
          <w:b/>
          <w:bCs/>
          <w:i w:val="0"/>
          <w:iCs w:val="0"/>
          <w:caps w:val="0"/>
          <w:color w:val="333333"/>
          <w:spacing w:val="0"/>
          <w:sz w:val="32"/>
          <w:szCs w:val="32"/>
          <w:shd w:val="clear" w:fill="FFFFFF"/>
        </w:rPr>
      </w:pPr>
      <w:r>
        <w:rPr>
          <w:rFonts w:hint="eastAsia" w:ascii="仿宋_GB2312"/>
        </w:rPr>
        <w:t>（一）</w:t>
      </w:r>
      <w:r>
        <w:rPr>
          <w:rFonts w:ascii="仿宋_GB2312" w:hAnsi="宋体" w:eastAsia="仿宋_GB2312" w:cs="仿宋_GB2312"/>
          <w:b/>
          <w:bCs/>
          <w:i w:val="0"/>
          <w:iCs w:val="0"/>
          <w:caps w:val="0"/>
          <w:color w:val="333333"/>
          <w:spacing w:val="0"/>
          <w:sz w:val="32"/>
          <w:szCs w:val="32"/>
          <w:shd w:val="clear" w:fill="FFFFFF"/>
        </w:rPr>
        <w:t>“</w:t>
      </w:r>
      <w:r>
        <w:rPr>
          <w:rFonts w:hint="eastAsia" w:ascii="仿宋_GB2312" w:hAnsi="宋体" w:cs="仿宋_GB2312"/>
          <w:b/>
          <w:bCs/>
          <w:i w:val="0"/>
          <w:iCs w:val="0"/>
          <w:caps w:val="0"/>
          <w:color w:val="333333"/>
          <w:spacing w:val="0"/>
          <w:sz w:val="32"/>
          <w:szCs w:val="32"/>
          <w:shd w:val="clear" w:fill="FFFFFF"/>
          <w:lang w:eastAsia="zh-CN"/>
        </w:rPr>
        <w:t>妇女专项经费</w:t>
      </w:r>
      <w:r>
        <w:rPr>
          <w:rFonts w:hint="eastAsia" w:ascii="仿宋_GB2312" w:hAnsi="宋体" w:eastAsia="仿宋_GB2312" w:cs="仿宋_GB2312"/>
          <w:b/>
          <w:bCs/>
          <w:i w:val="0"/>
          <w:iCs w:val="0"/>
          <w:caps w:val="0"/>
          <w:color w:val="333333"/>
          <w:spacing w:val="0"/>
          <w:sz w:val="32"/>
          <w:szCs w:val="32"/>
          <w:shd w:val="clear" w:fill="FFFFFF"/>
        </w:rPr>
        <w:t>”项目。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fill="FFFFFF"/>
          <w:lang w:eastAsia="zh-CN"/>
        </w:rPr>
        <w:t>项目概述及内容：项目用于</w:t>
      </w:r>
      <w:r>
        <w:rPr>
          <w:rFonts w:hint="eastAsia" w:ascii="仿宋" w:hAnsi="仿宋" w:eastAsia="仿宋" w:cs="仿宋"/>
          <w:spacing w:val="0"/>
          <w:sz w:val="32"/>
          <w:szCs w:val="32"/>
        </w:rPr>
        <w:t>凝聚妇女群众，着力构建新媒体矩阵，用好“学习强国”“徽姑娘”“淮南女性”“凤台女性”等学习平台等为基础的多元化、信息传播平台，不断发挥妇联新媒体矩阵的聚合影响力，唱响主旋律，把党的主张传递到广大妇女群众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_GB2312"/>
        </w:rPr>
      </w:pPr>
      <w:r>
        <w:rPr>
          <w:rFonts w:hint="eastAsia" w:ascii="仿宋" w:hAnsi="仿宋" w:eastAsia="仿宋" w:cs="仿宋"/>
          <w:i w:val="0"/>
          <w:iCs w:val="0"/>
          <w:caps w:val="0"/>
          <w:color w:val="333333"/>
          <w:spacing w:val="0"/>
          <w:kern w:val="0"/>
          <w:sz w:val="32"/>
          <w:szCs w:val="32"/>
          <w:shd w:val="clear" w:fill="FFFFFF"/>
          <w:lang w:val="en-US" w:eastAsia="zh-CN" w:bidi="ar"/>
        </w:rPr>
        <w:t>年度预算安排。一般公共预算安排32.00万元。</w:t>
      </w:r>
    </w:p>
    <w:p>
      <w:pPr>
        <w:pStyle w:val="9"/>
        <w:keepNext w:val="0"/>
        <w:keepLines w:val="0"/>
        <w:pageBreakBefore w:val="0"/>
        <w:widowControl w:val="0"/>
        <w:numPr>
          <w:ilvl w:val="0"/>
          <w:numId w:val="0"/>
        </w:numPr>
        <w:shd w:val="clear" w:color="auto" w:fill="auto"/>
        <w:tabs>
          <w:tab w:val="left" w:pos="1077"/>
        </w:tabs>
        <w:kinsoku/>
        <w:wordWrap/>
        <w:overflowPunct/>
        <w:topLinePunct w:val="0"/>
        <w:autoSpaceDE w:val="0"/>
        <w:autoSpaceDN/>
        <w:bidi w:val="0"/>
        <w:adjustRightInd/>
        <w:snapToGrid/>
        <w:spacing w:before="0" w:beforeAutospacing="0" w:after="0" w:afterAutospacing="0" w:line="360" w:lineRule="auto"/>
        <w:ind w:right="0" w:rightChars="0" w:firstLine="640" w:firstLineChars="200"/>
        <w:jc w:val="both"/>
        <w:textAlignment w:val="auto"/>
        <w:rPr>
          <w:rFonts w:ascii="仿宋_GB2312"/>
          <w:sz w:val="32"/>
          <w:szCs w:val="32"/>
        </w:rPr>
      </w:pPr>
      <w:r>
        <w:rPr>
          <w:rFonts w:hint="eastAsia" w:ascii="仿宋_GB2312"/>
          <w:sz w:val="32"/>
          <w:szCs w:val="32"/>
        </w:rPr>
        <w:t>项目绩效目标</w:t>
      </w:r>
      <w:r>
        <w:rPr>
          <w:rFonts w:hint="eastAsia" w:ascii="仿宋_GB2312"/>
          <w:sz w:val="32"/>
          <w:szCs w:val="32"/>
          <w:lang w:eastAsia="zh-CN"/>
        </w:rPr>
        <w:t>：</w:t>
      </w:r>
      <w:r>
        <w:rPr>
          <w:rFonts w:hint="eastAsia" w:ascii="仿宋" w:hAnsi="仿宋" w:eastAsia="仿宋" w:cs="仿宋"/>
          <w:spacing w:val="0"/>
          <w:sz w:val="32"/>
          <w:szCs w:val="32"/>
        </w:rPr>
        <w:t>把妇女群众的民生需求作为妇联工作的切入点，大力实施实事工程，真正让广大妇女群众得实惠、普受惠、长受惠。</w:t>
      </w:r>
      <w:r>
        <w:rPr>
          <w:rFonts w:hint="eastAsia" w:ascii="仿宋" w:hAnsi="仿宋" w:eastAsia="仿宋" w:cs="仿宋"/>
          <w:color w:val="000000"/>
          <w:spacing w:val="0"/>
          <w:w w:val="100"/>
          <w:position w:val="0"/>
          <w:sz w:val="32"/>
          <w:szCs w:val="32"/>
        </w:rPr>
        <w:t>围绕实现农业农村现代化的目标, 引导农村创业女性积极发展优势特色产业和乡村新产业新业态， 持续开展美丽家园、垃圾 分类、移风易俗等创建活动，引导农村妇女积极参与农村人居环 境卫生整治，共建美好乡村，共享美好生活。加强《民法典》等法律法规的学习宣传和贯彻落实，</w:t>
      </w:r>
      <w:r>
        <w:rPr>
          <w:rFonts w:hint="eastAsia" w:ascii="仿宋" w:hAnsi="仿宋" w:eastAsia="仿宋" w:cs="仿宋"/>
          <w:spacing w:val="0"/>
          <w:sz w:val="32"/>
          <w:szCs w:val="32"/>
        </w:rPr>
        <w:t>进一步保障妇女儿童合法权益，</w:t>
      </w:r>
      <w:r>
        <w:rPr>
          <w:rStyle w:val="6"/>
          <w:rFonts w:hint="eastAsia" w:ascii="仿宋" w:hAnsi="仿宋" w:eastAsia="仿宋" w:cs="仿宋"/>
          <w:b w:val="0"/>
          <w:bCs w:val="0"/>
          <w:spacing w:val="0"/>
          <w:sz w:val="32"/>
          <w:szCs w:val="32"/>
          <w:lang w:val="en-US" w:eastAsia="zh-CN"/>
        </w:rPr>
        <w:t>开展维权干部和志愿者培训，妇女维权服务热线、妇女儿童维权工作站、基层妇女议事会等阵地作用，畅通妇女维权渠道，提升工作效能。</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绩效评价原则：</w:t>
      </w:r>
      <w:r>
        <w:rPr>
          <w:rFonts w:hint="eastAsia" w:ascii="仿宋_GB2312" w:hAnsi="仿宋_GB2312" w:eastAsia="仿宋_GB2312" w:cs="仿宋_GB2312"/>
          <w:i w:val="0"/>
          <w:iCs w:val="0"/>
          <w:caps w:val="0"/>
          <w:color w:val="333333"/>
          <w:spacing w:val="0"/>
          <w:sz w:val="32"/>
          <w:szCs w:val="32"/>
          <w:shd w:val="clear"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03"/>
        <w:gridCol w:w="1012"/>
        <w:gridCol w:w="1168"/>
        <w:gridCol w:w="2575"/>
        <w:gridCol w:w="1380"/>
        <w:gridCol w:w="728"/>
        <w:gridCol w:w="1200"/>
        <w:gridCol w:w="1418"/>
        <w:gridCol w:w="628"/>
        <w:gridCol w:w="776"/>
        <w:gridCol w:w="1034"/>
        <w:gridCol w:w="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10"/>
                <w:bdr w:val="none" w:color="auto" w:sz="0" w:space="0"/>
                <w:lang w:val="en-US" w:eastAsia="zh-CN" w:bidi="ar"/>
              </w:rPr>
              <w:t>项目支出绩效自评表</w:t>
            </w:r>
            <w:r>
              <w:rPr>
                <w:rStyle w:val="11"/>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000" w:type="pct"/>
            <w:gridSpan w:val="1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2021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925"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妇女专项经费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191" w:type="pct"/>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206"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074"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95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年初预算数</w:t>
            </w:r>
          </w:p>
        </w:tc>
        <w:tc>
          <w:tcPr>
            <w:tcW w:w="71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3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执行率（B/A)</w:t>
            </w:r>
          </w:p>
        </w:tc>
        <w:tc>
          <w:tcPr>
            <w:tcW w:w="2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5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1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31.75</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2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bdr w:val="none" w:color="auto" w:sz="0" w:space="0"/>
                <w:lang w:val="en-US" w:eastAsia="zh-CN" w:bidi="ar"/>
              </w:rPr>
              <w:t xml:space="preserve"> </w:t>
            </w:r>
            <w:r>
              <w:rPr>
                <w:rStyle w:val="13"/>
                <w:bdr w:val="none" w:color="auto" w:sz="0" w:space="0"/>
                <w:lang w:val="en-US" w:eastAsia="zh-CN" w:bidi="ar"/>
              </w:rPr>
              <w:t>其中：本年财政拨款</w:t>
            </w:r>
          </w:p>
        </w:tc>
        <w:tc>
          <w:tcPr>
            <w:tcW w:w="5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1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31.75</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2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上年结转资金</w:t>
            </w:r>
          </w:p>
        </w:tc>
        <w:tc>
          <w:tcPr>
            <w:tcW w:w="51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1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1074"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5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bdr w:val="none" w:color="auto" w:sz="0" w:space="0"/>
                <w:lang w:val="en-US" w:eastAsia="zh-CN" w:bidi="ar"/>
              </w:rPr>
              <w:t xml:space="preserve"> </w:t>
            </w:r>
            <w:r>
              <w:rPr>
                <w:rStyle w:val="13"/>
                <w:bdr w:val="none" w:color="auto" w:sz="0" w:space="0"/>
                <w:lang w:val="en-US" w:eastAsia="zh-CN" w:bidi="ar"/>
              </w:rPr>
              <w:t xml:space="preserve">      其他资金</w:t>
            </w:r>
          </w:p>
        </w:tc>
        <w:tc>
          <w:tcPr>
            <w:tcW w:w="51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1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38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262"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年度总体目标完成情况</w:t>
            </w:r>
          </w:p>
        </w:tc>
        <w:tc>
          <w:tcPr>
            <w:tcW w:w="300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预期目标</w:t>
            </w:r>
          </w:p>
        </w:tc>
        <w:tc>
          <w:tcPr>
            <w:tcW w:w="17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262"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02" w:type="pct"/>
            <w:gridSpan w:val="6"/>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根据年度目标任务计划，推动全县妇女就业创业，维护妇女儿童权益，维护“两纲”及做好监测评估工作。</w:t>
            </w:r>
          </w:p>
        </w:tc>
        <w:tc>
          <w:tcPr>
            <w:tcW w:w="1734" w:type="pct"/>
            <w:gridSpan w:val="5"/>
            <w:tcBorders>
              <w:top w:val="single" w:color="000000" w:sz="4" w:space="0"/>
              <w:left w:val="single" w:color="000000" w:sz="4" w:space="0"/>
              <w:bottom w:val="single" w:color="000000" w:sz="4" w:space="0"/>
              <w:right w:val="single" w:color="000000" w:sz="4" w:space="0"/>
            </w:tcBorders>
            <w:shd w:val="clear"/>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trPr>
        <w:tc>
          <w:tcPr>
            <w:tcW w:w="262" w:type="pct"/>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年度绩效指标完成情况</w:t>
            </w:r>
          </w:p>
        </w:tc>
        <w:tc>
          <w:tcPr>
            <w:tcW w:w="37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年度指标值</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实际完成值</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分值</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得分</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(50分)</w:t>
            </w: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指标1：“两纲”培训班期数</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定量指标</w:t>
            </w:r>
          </w:p>
        </w:tc>
        <w:tc>
          <w:tcPr>
            <w:tcW w:w="528" w:type="pct"/>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指标2：微信平台运行</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达成预期指标</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指标1：高质量完成培训任务</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达成预期指标</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指标1：全年12月完成工作任务。</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定量指标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指标1：全年投入经费32万元</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定量指标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(30分)</w:t>
            </w: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指标1：对困难妇女儿童慰问及关爱</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达成预期指标</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指标1：维护妇女儿童权益认知度</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定量指标</w:t>
            </w:r>
          </w:p>
        </w:tc>
        <w:tc>
          <w:tcPr>
            <w:tcW w:w="528" w:type="pct"/>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生态效益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指标1：增强妇女、儿童环境保护意识</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达成预期指标</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可持续影</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响指标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指标1：妇女儿童事业可持续发展</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定性指标</w:t>
            </w: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达成预期指标</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(10分)</w:t>
            </w:r>
          </w:p>
        </w:tc>
        <w:tc>
          <w:tcPr>
            <w:tcW w:w="4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指标1：群众满意度</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定量指标</w:t>
            </w:r>
          </w:p>
        </w:tc>
        <w:tc>
          <w:tcPr>
            <w:tcW w:w="528" w:type="pct"/>
            <w:tcBorders>
              <w:top w:val="nil"/>
              <w:left w:val="nil"/>
              <w:bottom w:val="nil"/>
              <w:right w:val="nil"/>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指标2：</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62" w:type="pct"/>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4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2818" w:type="pct"/>
            <w:gridSpan w:val="6"/>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总分</w:t>
            </w:r>
          </w:p>
        </w:tc>
        <w:tc>
          <w:tcPr>
            <w:tcW w:w="446" w:type="pct"/>
            <w:tcBorders>
              <w:top w:val="nil"/>
              <w:left w:val="nil"/>
              <w:bottom w:val="nil"/>
              <w:right w:val="nil"/>
            </w:tcBorders>
            <w:shd w:val="clear"/>
            <w:noWrap/>
            <w:vAlign w:val="center"/>
          </w:tcPr>
          <w:p>
            <w:pPr>
              <w:rPr>
                <w:rFonts w:hint="eastAsia" w:ascii="宋体" w:hAnsi="宋体" w:eastAsia="宋体" w:cs="宋体"/>
                <w:i w:val="0"/>
                <w:iCs w:val="0"/>
                <w:color w:val="000000"/>
                <w:sz w:val="20"/>
                <w:szCs w:val="20"/>
                <w:u w:val="none"/>
              </w:rPr>
            </w:pPr>
          </w:p>
        </w:tc>
        <w:tc>
          <w:tcPr>
            <w:tcW w:w="52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2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99</w:t>
            </w:r>
          </w:p>
        </w:tc>
        <w:tc>
          <w:tcPr>
            <w:tcW w:w="68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9" w:hRule="atLeast"/>
        </w:trPr>
        <w:tc>
          <w:tcPr>
            <w:tcW w:w="5000" w:type="pct"/>
            <w:gridSpan w:val="12"/>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注：1</w:t>
            </w:r>
            <w:r>
              <w:rPr>
                <w:rStyle w:val="14"/>
                <w:bdr w:val="none" w:color="auto" w:sz="0" w:space="0"/>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9" w:hRule="atLeast"/>
        </w:trPr>
        <w:tc>
          <w:tcPr>
            <w:tcW w:w="5000" w:type="pct"/>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5000" w:type="pct"/>
            <w:gridSpan w:val="12"/>
            <w:tcBorders>
              <w:top w:val="nil"/>
              <w:left w:val="nil"/>
              <w:bottom w:val="nil"/>
              <w:right w:val="nil"/>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3.定量指标若为正向指标（即指标值为</w:t>
            </w:r>
            <w:r>
              <w:rPr>
                <w:rStyle w:val="14"/>
                <w:bdr w:val="none" w:color="auto" w:sz="0" w:space="0"/>
                <w:lang w:val="en-US" w:eastAsia="zh-CN" w:bidi="ar"/>
              </w:rPr>
              <w:t>≥*），则得分计算方法应用全年实际值/年度指标值</w:t>
            </w:r>
            <w:r>
              <w:rPr>
                <w:rStyle w:val="15"/>
                <w:bdr w:val="none" w:color="auto" w:sz="0" w:space="0"/>
                <w:lang w:val="en-US" w:eastAsia="zh-CN" w:bidi="ar"/>
              </w:rPr>
              <w:t>╳</w:t>
            </w:r>
            <w:r>
              <w:rPr>
                <w:rStyle w:val="14"/>
                <w:bdr w:val="none" w:color="auto" w:sz="0" w:space="0"/>
                <w:lang w:val="en-US" w:eastAsia="zh-CN" w:bidi="ar"/>
              </w:rPr>
              <w:t>该指标分值；若定量指标为反向指标（即指标值为≤*），则得分计算方法应用年度指标值/全年实际值</w:t>
            </w:r>
            <w:r>
              <w:rPr>
                <w:rStyle w:val="15"/>
                <w:bdr w:val="none" w:color="auto" w:sz="0" w:space="0"/>
                <w:lang w:val="en-US" w:eastAsia="zh-CN" w:bidi="ar"/>
              </w:rPr>
              <w:t>╳</w:t>
            </w:r>
            <w:r>
              <w:rPr>
                <w:rStyle w:val="14"/>
                <w:bdr w:val="none" w:color="auto" w:sz="0" w:space="0"/>
                <w:lang w:val="en-US" w:eastAsia="zh-CN" w:bidi="ar"/>
              </w:rPr>
              <w:t>该指标分值；定量指标得分最高不得超过该指标分值上限。</w:t>
            </w:r>
            <w:r>
              <w:rPr>
                <w:rStyle w:val="14"/>
                <w:bdr w:val="none" w:color="auto" w:sz="0" w:space="0"/>
                <w:lang w:val="en-US" w:eastAsia="zh-CN" w:bidi="ar"/>
              </w:rPr>
              <w:br w:type="textWrapping"/>
            </w:r>
            <w:r>
              <w:rPr>
                <w:rStyle w:val="14"/>
                <w:bdr w:val="none" w:color="auto" w:sz="0" w:space="0"/>
                <w:lang w:val="en-US" w:eastAsia="zh-CN" w:bidi="ar"/>
              </w:rPr>
              <w:t xml:space="preserve">    4.评价得分说明：说明全年实际值与年度指标值偏离情况（未达、持平、超额）。</w:t>
            </w:r>
          </w:p>
        </w:tc>
      </w:tr>
    </w:tbl>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仿宋_GB2312"/>
          <w:sz w:val="32"/>
          <w:szCs w:val="32"/>
        </w:rPr>
      </w:pPr>
      <w:r>
        <w:rPr>
          <w:rFonts w:hint="eastAsia" w:ascii="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cs="仿宋_GB2312"/>
          <w:i w:val="0"/>
          <w:iCs w:val="0"/>
          <w:caps w:val="0"/>
          <w:color w:val="333333"/>
          <w:spacing w:val="0"/>
          <w:sz w:val="32"/>
          <w:szCs w:val="32"/>
          <w:shd w:val="clear" w:fill="FFFFFF"/>
          <w:lang w:eastAsia="zh-CN"/>
        </w:rPr>
        <w:t>县妇联</w:t>
      </w:r>
      <w:r>
        <w:rPr>
          <w:rFonts w:hint="eastAsia" w:ascii="仿宋_GB2312" w:hAnsi="仿宋_GB2312" w:eastAsia="仿宋_GB2312" w:cs="仿宋_GB2312"/>
          <w:i w:val="0"/>
          <w:iCs w:val="0"/>
          <w:caps w:val="0"/>
          <w:color w:val="333333"/>
          <w:spacing w:val="0"/>
          <w:sz w:val="32"/>
          <w:szCs w:val="32"/>
          <w:shd w:val="clear" w:fill="FFFFFF"/>
          <w:lang w:eastAsia="zh-CN"/>
        </w:rPr>
        <w:t>项目决策在</w:t>
      </w:r>
      <w:r>
        <w:rPr>
          <w:rFonts w:hint="eastAsia" w:ascii="仿宋_GB2312" w:hAnsi="仿宋_GB2312" w:eastAsia="仿宋_GB2312" w:cs="仿宋_GB2312"/>
          <w:i w:val="0"/>
          <w:iCs w:val="0"/>
          <w:caps w:val="0"/>
          <w:color w:val="333333"/>
          <w:spacing w:val="0"/>
          <w:sz w:val="32"/>
          <w:szCs w:val="32"/>
          <w:shd w:val="clear" w:fill="FFFFFF"/>
        </w:rPr>
        <w:t>科学的理论和方法指导下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333333"/>
          <w:spacing w:val="0"/>
          <w:sz w:val="32"/>
          <w:szCs w:val="32"/>
          <w:shd w:val="clear" w:fill="FFFFFF"/>
          <w:lang w:eastAsia="zh-CN"/>
        </w:rPr>
        <w:t>。</w:t>
      </w:r>
    </w:p>
    <w:p>
      <w:pPr>
        <w:spacing w:line="600" w:lineRule="exact"/>
        <w:ind w:firstLine="640" w:firstLineChars="200"/>
        <w:outlineLvl w:val="0"/>
        <w:rPr>
          <w:rFonts w:hint="eastAsia" w:ascii="仿宋_GB2312"/>
          <w:sz w:val="32"/>
          <w:szCs w:val="32"/>
        </w:rPr>
      </w:pPr>
      <w:r>
        <w:rPr>
          <w:rFonts w:hint="eastAsia" w:ascii="仿宋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项目从年初开始，贯穿全年开展维护女儿童权益工作。年未全面完成年初制定目标任务。</w:t>
      </w:r>
    </w:p>
    <w:p>
      <w:pPr>
        <w:spacing w:line="600" w:lineRule="exact"/>
        <w:ind w:firstLine="640" w:firstLineChars="200"/>
        <w:outlineLvl w:val="0"/>
        <w:rPr>
          <w:rFonts w:hint="eastAsia" w:ascii="仿宋_GB2312"/>
          <w:sz w:val="32"/>
          <w:szCs w:val="32"/>
        </w:rPr>
      </w:pPr>
      <w:r>
        <w:rPr>
          <w:rFonts w:hint="eastAsia" w:ascii="仿宋_GB2312"/>
          <w:sz w:val="32"/>
          <w:szCs w:val="32"/>
        </w:rPr>
        <w:t>（三）项目产出情况。</w:t>
      </w:r>
    </w:p>
    <w:p>
      <w:pPr>
        <w:spacing w:line="600" w:lineRule="exact"/>
        <w:ind w:firstLine="640" w:firstLineChars="200"/>
        <w:outlineLvl w:val="0"/>
        <w:rPr>
          <w:rFonts w:hint="eastAsia" w:ascii="仿宋_GB2312" w:hAnsi="仿宋_GB2312" w:cs="仿宋_GB2312"/>
          <w:i w:val="0"/>
          <w:iCs w:val="0"/>
          <w:color w:val="000000"/>
          <w:kern w:val="0"/>
          <w:sz w:val="32"/>
          <w:szCs w:val="32"/>
          <w:u w:val="none"/>
          <w:lang w:val="en-US" w:eastAsia="zh-CN" w:bidi="ar"/>
        </w:rPr>
      </w:pPr>
      <w:r>
        <w:rPr>
          <w:rFonts w:hint="eastAsia" w:ascii="仿宋_GB2312" w:hAnsi="仿宋_GB2312" w:cs="仿宋_GB2312"/>
          <w:i w:val="0"/>
          <w:iCs w:val="0"/>
          <w:color w:val="000000"/>
          <w:kern w:val="0"/>
          <w:sz w:val="32"/>
          <w:szCs w:val="32"/>
          <w:u w:val="none"/>
          <w:lang w:val="en-US" w:eastAsia="zh-CN" w:bidi="ar"/>
        </w:rPr>
        <w:t>妇女专项</w:t>
      </w:r>
      <w:r>
        <w:rPr>
          <w:rFonts w:hint="eastAsia" w:ascii="仿宋_GB2312" w:hAnsi="仿宋_GB2312" w:eastAsia="仿宋_GB2312" w:cs="仿宋_GB2312"/>
          <w:i w:val="0"/>
          <w:iCs w:val="0"/>
          <w:color w:val="000000"/>
          <w:kern w:val="0"/>
          <w:sz w:val="32"/>
          <w:szCs w:val="32"/>
          <w:u w:val="none"/>
          <w:lang w:val="en-US" w:eastAsia="zh-CN" w:bidi="ar"/>
        </w:rPr>
        <w:t>工作开展，</w:t>
      </w:r>
      <w:r>
        <w:rPr>
          <w:rFonts w:hint="eastAsia" w:ascii="仿宋_GB2312" w:hAnsi="仿宋_GB2312" w:cs="仿宋_GB2312"/>
          <w:i w:val="0"/>
          <w:iCs w:val="0"/>
          <w:color w:val="000000"/>
          <w:kern w:val="0"/>
          <w:sz w:val="32"/>
          <w:szCs w:val="32"/>
          <w:u w:val="none"/>
          <w:lang w:val="en-US" w:eastAsia="zh-CN" w:bidi="ar"/>
        </w:rPr>
        <w:t>使广大妇女儿童权益受到保护，提升妇女儿童地位和幸福感。</w:t>
      </w:r>
    </w:p>
    <w:p>
      <w:pPr>
        <w:spacing w:line="600" w:lineRule="exact"/>
        <w:ind w:firstLine="640" w:firstLineChars="200"/>
        <w:outlineLvl w:val="0"/>
        <w:rPr>
          <w:rFonts w:hint="eastAsia" w:ascii="仿宋_GB2312"/>
          <w:sz w:val="32"/>
          <w:szCs w:val="32"/>
        </w:rPr>
      </w:pPr>
      <w:r>
        <w:rPr>
          <w:rFonts w:hint="eastAsia" w:ascii="仿宋_GB2312"/>
          <w:sz w:val="32"/>
          <w:szCs w:val="32"/>
        </w:rPr>
        <w:t>（四）项目效益情况。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eastAsia="仿宋_GB2312" w:cs="仿宋_GB2312"/>
          <w:i w:val="0"/>
          <w:iCs w:val="0"/>
          <w:color w:val="000000"/>
          <w:kern w:val="0"/>
          <w:sz w:val="32"/>
          <w:szCs w:val="32"/>
          <w:u w:val="none"/>
          <w:lang w:val="en-US" w:eastAsia="zh-CN" w:bidi="ar"/>
        </w:rPr>
        <w:t>提升全社会</w:t>
      </w:r>
      <w:r>
        <w:rPr>
          <w:rFonts w:hint="eastAsia" w:ascii="仿宋_GB2312" w:hAnsi="仿宋_GB2312" w:cs="仿宋_GB2312"/>
          <w:i w:val="0"/>
          <w:iCs w:val="0"/>
          <w:color w:val="000000"/>
          <w:kern w:val="0"/>
          <w:sz w:val="32"/>
          <w:szCs w:val="32"/>
          <w:u w:val="none"/>
          <w:lang w:val="en-US" w:eastAsia="zh-CN" w:bidi="ar"/>
        </w:rPr>
        <w:t>妇女儿童权益，保障妇女儿童工作健康持续发展。</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eastAsia="zh-CN"/>
        </w:rPr>
        <w:t>凤台县妇女联合会</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2022年8月</w:t>
      </w:r>
      <w:bookmarkStart w:id="0" w:name="_GoBack"/>
      <w:bookmarkEnd w:id="0"/>
      <w:r>
        <w:rPr>
          <w:rFonts w:hint="eastAsia" w:ascii="仿宋_GB2312" w:hAnsi="仿宋_GB2312" w:cs="仿宋_GB2312"/>
          <w:b w:val="0"/>
          <w:bCs w:val="0"/>
          <w:sz w:val="32"/>
          <w:szCs w:val="32"/>
          <w:lang w:val="en-US" w:eastAsia="zh-CN"/>
        </w:rPr>
        <w:t>22日</w:t>
      </w: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2JlMzQ1MTA5ZGZlOTg4MGI0N2RmZjkzNDgxZDUifQ=="/>
  </w:docVars>
  <w:rsids>
    <w:rsidRoot w:val="55AE45D4"/>
    <w:rsid w:val="02CC49C1"/>
    <w:rsid w:val="16497FC0"/>
    <w:rsid w:val="18E158F8"/>
    <w:rsid w:val="237E3EE8"/>
    <w:rsid w:val="2A196F08"/>
    <w:rsid w:val="2A8F6FFB"/>
    <w:rsid w:val="30C15385"/>
    <w:rsid w:val="36877830"/>
    <w:rsid w:val="45042999"/>
    <w:rsid w:val="48D26B99"/>
    <w:rsid w:val="4B3E5819"/>
    <w:rsid w:val="4D5179FF"/>
    <w:rsid w:val="55AE45D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customStyle="1" w:styleId="7">
    <w:name w:val="font101"/>
    <w:basedOn w:val="5"/>
    <w:qFormat/>
    <w:uiPriority w:val="0"/>
    <w:rPr>
      <w:rFonts w:hint="eastAsia" w:ascii="宋体" w:hAnsi="宋体" w:eastAsia="宋体" w:cs="宋体"/>
      <w:b/>
      <w:bCs/>
      <w:color w:val="000000"/>
      <w:sz w:val="32"/>
      <w:szCs w:val="32"/>
      <w:u w:val="none"/>
    </w:rPr>
  </w:style>
  <w:style w:type="character" w:customStyle="1" w:styleId="8">
    <w:name w:val="font61"/>
    <w:basedOn w:val="5"/>
    <w:qFormat/>
    <w:uiPriority w:val="0"/>
    <w:rPr>
      <w:rFonts w:hint="eastAsia" w:ascii="宋体" w:hAnsi="宋体" w:eastAsia="宋体" w:cs="宋体"/>
      <w:color w:val="000000"/>
      <w:sz w:val="18"/>
      <w:szCs w:val="18"/>
      <w:u w:val="none"/>
    </w:rPr>
  </w:style>
  <w:style w:type="paragraph" w:customStyle="1" w:styleId="9">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font81"/>
    <w:basedOn w:val="5"/>
    <w:uiPriority w:val="0"/>
    <w:rPr>
      <w:rFonts w:hint="eastAsia" w:ascii="宋体" w:hAnsi="宋体" w:eastAsia="宋体" w:cs="宋体"/>
      <w:b/>
      <w:bCs/>
      <w:color w:val="000000"/>
      <w:sz w:val="32"/>
      <w:szCs w:val="32"/>
      <w:u w:val="none"/>
    </w:rPr>
  </w:style>
  <w:style w:type="character" w:customStyle="1" w:styleId="11">
    <w:name w:val="font41"/>
    <w:basedOn w:val="5"/>
    <w:uiPriority w:val="0"/>
    <w:rPr>
      <w:rFonts w:hint="eastAsia" w:ascii="宋体" w:hAnsi="宋体" w:eastAsia="宋体" w:cs="宋体"/>
      <w:color w:val="000000"/>
      <w:sz w:val="32"/>
      <w:szCs w:val="32"/>
      <w:u w:val="none"/>
    </w:rPr>
  </w:style>
  <w:style w:type="character" w:customStyle="1" w:styleId="12">
    <w:name w:val="font21"/>
    <w:basedOn w:val="5"/>
    <w:uiPriority w:val="0"/>
    <w:rPr>
      <w:rFonts w:hint="eastAsia" w:ascii="宋体" w:hAnsi="宋体" w:eastAsia="宋体" w:cs="宋体"/>
      <w:color w:val="000000"/>
      <w:sz w:val="20"/>
      <w:szCs w:val="20"/>
      <w:u w:val="none"/>
    </w:rPr>
  </w:style>
  <w:style w:type="character" w:customStyle="1" w:styleId="13">
    <w:name w:val="font131"/>
    <w:basedOn w:val="5"/>
    <w:uiPriority w:val="0"/>
    <w:rPr>
      <w:rFonts w:hint="eastAsia" w:ascii="宋体" w:hAnsi="宋体" w:eastAsia="宋体" w:cs="宋体"/>
      <w:color w:val="000000"/>
      <w:sz w:val="20"/>
      <w:szCs w:val="20"/>
      <w:u w:val="none"/>
    </w:rPr>
  </w:style>
  <w:style w:type="character" w:customStyle="1" w:styleId="14">
    <w:name w:val="font121"/>
    <w:basedOn w:val="5"/>
    <w:uiPriority w:val="0"/>
    <w:rPr>
      <w:rFonts w:hint="eastAsia" w:ascii="宋体" w:hAnsi="宋体" w:eastAsia="宋体" w:cs="宋体"/>
      <w:color w:val="000000"/>
      <w:sz w:val="18"/>
      <w:szCs w:val="18"/>
      <w:u w:val="none"/>
    </w:rPr>
  </w:style>
  <w:style w:type="character" w:customStyle="1" w:styleId="15">
    <w:name w:val="font151"/>
    <w:basedOn w:val="5"/>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3606</Words>
  <Characters>3700</Characters>
  <Lines>0</Lines>
  <Paragraphs>0</Paragraphs>
  <TotalTime>5</TotalTime>
  <ScaleCrop>false</ScaleCrop>
  <LinksUpToDate>false</LinksUpToDate>
  <CharactersWithSpaces>3738</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张学周</cp:lastModifiedBy>
  <dcterms:modified xsi:type="dcterms:W3CDTF">2022-08-22T02:39:59Z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04BED3BC0CB44C6892AC76BE114280C5</vt:lpwstr>
  </property>
</Properties>
</file>