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附件5</w:t>
      </w:r>
    </w:p>
    <w:p>
      <w:pPr>
        <w:jc w:val="center"/>
        <w:rPr>
          <w:rFonts w:ascii="Arial" w:hAnsi="Arial" w:eastAsia="宋体" w:cs="Arial"/>
          <w:b/>
          <w:bCs/>
          <w:sz w:val="36"/>
          <w:szCs w:val="36"/>
        </w:rPr>
      </w:pPr>
      <w:r>
        <w:rPr>
          <w:rFonts w:hint="eastAsia" w:ascii="宋体" w:hAnsi="宋体" w:eastAsia="宋体" w:cs="Arial"/>
          <w:b/>
          <w:bCs/>
          <w:sz w:val="36"/>
          <w:szCs w:val="36"/>
          <w:lang w:eastAsia="zh-CN"/>
        </w:rPr>
        <w:t>凤台县委政法委</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02" w:firstLineChars="200"/>
        <w:outlineLvl w:val="0"/>
        <w:rPr>
          <w:rFonts w:hint="eastAsia" w:ascii="仿宋_GB2312" w:hAnsi="宋体" w:eastAsia="仿宋_GB2312" w:cs="仿宋_GB2312"/>
          <w:b/>
          <w:bCs/>
          <w:i w:val="0"/>
          <w:iCs w:val="0"/>
          <w:caps w:val="0"/>
          <w:color w:val="333333"/>
          <w:spacing w:val="0"/>
          <w:sz w:val="32"/>
          <w:szCs w:val="32"/>
          <w:shd w:val="clear" w:fill="FFFFFF"/>
        </w:rPr>
      </w:pPr>
      <w:r>
        <w:rPr>
          <w:rFonts w:hint="eastAsia" w:ascii="仿宋_GB2312"/>
          <w:b/>
          <w:bCs/>
        </w:rPr>
        <w:t>（一）</w:t>
      </w:r>
      <w:r>
        <w:rPr>
          <w:rFonts w:hint="eastAsia" w:ascii="仿宋" w:hAnsi="仿宋" w:eastAsia="仿宋" w:cs="仿宋"/>
          <w:b/>
          <w:bCs/>
          <w:i w:val="0"/>
          <w:iCs w:val="0"/>
          <w:caps w:val="0"/>
          <w:color w:val="333333"/>
          <w:spacing w:val="0"/>
          <w:sz w:val="32"/>
          <w:szCs w:val="32"/>
          <w:shd w:val="clear" w:fill="FFFFFF"/>
          <w:lang w:eastAsia="zh-CN"/>
        </w:rPr>
        <w:t>“</w:t>
      </w:r>
      <w:r>
        <w:rPr>
          <w:rFonts w:hint="eastAsia" w:ascii="仿宋" w:hAnsi="仿宋" w:eastAsia="仿宋" w:cs="仿宋"/>
          <w:b/>
          <w:bCs/>
          <w:i w:val="0"/>
          <w:iCs w:val="0"/>
          <w:caps w:val="0"/>
          <w:color w:val="333333"/>
          <w:spacing w:val="0"/>
          <w:sz w:val="32"/>
          <w:szCs w:val="32"/>
          <w:shd w:val="clear" w:fill="FFFFFF"/>
          <w:lang w:val="en-US" w:eastAsia="zh-CN"/>
        </w:rPr>
        <w:t>社会治安综合治理工作经费</w:t>
      </w:r>
      <w:r>
        <w:rPr>
          <w:rFonts w:hint="eastAsia" w:ascii="仿宋" w:hAnsi="仿宋" w:eastAsia="仿宋" w:cs="仿宋"/>
          <w:b/>
          <w:bCs/>
          <w:i w:val="0"/>
          <w:iCs w:val="0"/>
          <w:caps w:val="0"/>
          <w:color w:val="333333"/>
          <w:spacing w:val="0"/>
          <w:sz w:val="32"/>
          <w:szCs w:val="32"/>
          <w:shd w:val="clear" w:fill="FFFFFF"/>
          <w:lang w:eastAsia="zh-CN"/>
        </w:rPr>
        <w:t>”项目。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jc w:val="both"/>
        <w:textAlignment w:val="auto"/>
        <w:rPr>
          <w:rFonts w:hint="eastAsia" w:ascii="仿宋_GB2312"/>
        </w:rPr>
      </w:pPr>
      <w:r>
        <w:rPr>
          <w:rFonts w:hint="eastAsia" w:ascii="仿宋" w:hAnsi="仿宋" w:eastAsia="仿宋" w:cs="仿宋"/>
          <w:i w:val="0"/>
          <w:iCs w:val="0"/>
          <w:caps w:val="0"/>
          <w:color w:val="333333"/>
          <w:spacing w:val="0"/>
          <w:sz w:val="32"/>
          <w:szCs w:val="32"/>
          <w:shd w:val="clear" w:fill="FFFFFF"/>
          <w:lang w:eastAsia="zh-CN"/>
        </w:rPr>
        <w:t>项目概述及内容：社会治安综合治理工作紧紧围绕中央、省、市关于加强和创新社会管理的决策部署要求，扎实开展平安创建工作，加强社会治理创新，打造共建共治的社会治理格局，创建和谐稳定的社会环境。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rPr>
        <w:t>项目绩效目标</w:t>
      </w:r>
      <w:r>
        <w:rPr>
          <w:rFonts w:hint="eastAsia" w:ascii="仿宋_GB2312"/>
          <w:sz w:val="32"/>
          <w:szCs w:val="32"/>
          <w:lang w:eastAsia="zh-CN"/>
        </w:rPr>
        <w:t>：社会治安综合治理工作紧紧围绕中央、省、市决策部署，扎实开展平安创建工作，加强社会治理创新，打造共建共治的社会治理格局，创建和谐稳定的社会环境。</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（二）绩效评价原则、评价指标体系、评价方法、评价标准等。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绩效评价原则：</w:t>
      </w:r>
      <w:r>
        <w:rPr>
          <w:rFonts w:hint="eastAsia" w:ascii="仿宋_GB2312" w:hAnsi="仿宋_GB2312" w:eastAsia="仿宋_GB2312" w:cs="仿宋_GB2312"/>
          <w:i w:val="0"/>
          <w:iCs w:val="0"/>
          <w:caps w:val="0"/>
          <w:color w:val="333333"/>
          <w:spacing w:val="0"/>
          <w:sz w:val="32"/>
          <w:szCs w:val="32"/>
          <w:shd w:val="clear" w:fill="FFFFFF"/>
        </w:rPr>
        <w:t>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  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一是准备创段，成立项目评价领导小组，制定工作计划。二是评价工作执行阶段，</w:t>
      </w:r>
      <w:r>
        <w:rPr>
          <w:rFonts w:hint="eastAsia" w:ascii="仿宋_GB2312" w:hAnsi="仿宋_GB2312" w:eastAsia="仿宋_GB2312" w:cs="仿宋_GB2312"/>
          <w:sz w:val="32"/>
          <w:szCs w:val="32"/>
          <w:lang w:val="en-US" w:eastAsia="zh-CN"/>
        </w:rPr>
        <w:t xml:space="preserve"> 按照评价方案收集相关数据，开展问卷调查和调研，开展资金使用情况调查。三是评价报告撰写，根据前期调研，查看资料撰写评价报告。</w:t>
      </w: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sectPr>
          <w:pgSz w:w="11906" w:h="16838"/>
          <w:pgMar w:top="1928" w:right="1531" w:bottom="1701" w:left="1531" w:header="737" w:footer="851" w:gutter="0"/>
          <w:cols w:space="720" w:num="1"/>
          <w:docGrid w:type="lines" w:linePitch="408" w:charSpace="0"/>
        </w:sectPr>
      </w:pPr>
    </w:p>
    <w:p>
      <w:pPr>
        <w:spacing w:line="600" w:lineRule="exact"/>
        <w:ind w:firstLine="600" w:firstLineChars="200"/>
        <w:rPr>
          <w:rFonts w:hint="eastAsia" w:ascii="黑体" w:hAnsi="黑体" w:eastAsia="黑体"/>
        </w:rPr>
      </w:pPr>
      <w:r>
        <w:rPr>
          <w:rFonts w:hint="eastAsia" w:ascii="黑体" w:hAnsi="黑体" w:eastAsia="黑体"/>
        </w:rPr>
        <w:t>三、综合评价情况及评价结论</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sz w:val="32"/>
          <w:szCs w:val="32"/>
        </w:rPr>
      </w:pPr>
      <w:r>
        <w:rPr>
          <w:rFonts w:hint="eastAsia" w:ascii="仿宋_GB2312" w:hAnsi="Calibri" w:eastAsia="仿宋_GB2312" w:cs="仿宋_GB2312"/>
          <w:color w:val="000000"/>
          <w:kern w:val="0"/>
          <w:sz w:val="32"/>
          <w:szCs w:val="32"/>
          <w:lang w:val="en-US" w:eastAsia="zh-CN" w:bidi="ar"/>
        </w:rPr>
        <w:t xml:space="preserve">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2"/>
        <w:gridCol w:w="1058"/>
        <w:gridCol w:w="1219"/>
        <w:gridCol w:w="2701"/>
        <w:gridCol w:w="1447"/>
        <w:gridCol w:w="763"/>
        <w:gridCol w:w="953"/>
        <w:gridCol w:w="1254"/>
        <w:gridCol w:w="652"/>
        <w:gridCol w:w="811"/>
        <w:gridCol w:w="1077"/>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8"/>
                <w:lang w:val="en-US" w:eastAsia="zh-CN" w:bidi="ar"/>
              </w:rPr>
              <w:t>项目支出绩效自评表</w:t>
            </w:r>
            <w:r>
              <w:rPr>
                <w:rStyle w:val="9"/>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0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社会治安综合治理工作经费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1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凤台县政法委</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25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凤台县政法委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9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 xml:space="preserve"> </w:t>
            </w:r>
            <w:r>
              <w:rPr>
                <w:rStyle w:val="11"/>
                <w:lang w:val="en-US" w:eastAsia="zh-CN" w:bidi="ar"/>
              </w:rPr>
              <w:t>其中：本年财政拨款</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105万</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 xml:space="preserve"> </w:t>
            </w:r>
            <w:r>
              <w:rPr>
                <w:rStyle w:val="11"/>
                <w:lang w:val="en-US" w:eastAsia="zh-CN" w:bidi="ar"/>
              </w:rPr>
              <w:t xml:space="preserve">      其他资金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24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303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72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目标1：综治宣传、校园周边治理等办公经费、印制宣传资料、培训费等;                                                                       目标2：全县245个村（社区）排查矛盾纠纷，组织社区巡逻，加强群防群治。                                                                         目标3：县综治中心标准化建设、人员工资，补贴及日常工作运转。     </w:t>
            </w:r>
          </w:p>
        </w:tc>
        <w:tc>
          <w:tcPr>
            <w:tcW w:w="172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指标1：全年12个月</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指标2：分四个季度进保障</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指标1：县综治中心标准化建设、人员工资，补贴及日常工作运转。</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指标2：全县245个村（社区）排查矛盾纠纷，组织社区巡逻，加强群防群治。</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指标1：项目完成时间为1年</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指标2：经费支出1年度</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指标1：人均1元（全县按60万人口计算）</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w:t>
            </w:r>
            <w:r>
              <w:rPr>
                <w:rStyle w:val="12"/>
                <w:rFonts w:hAnsi="宋体"/>
                <w:lang w:val="en-US" w:eastAsia="zh-CN" w:bidi="ar"/>
              </w:rPr>
              <w:t>单位成本预算数</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指标1：促进全县经济发展，为招商引资创造良好经济环境。</w:t>
            </w:r>
          </w:p>
        </w:tc>
        <w:tc>
          <w:tcPr>
            <w:tcW w:w="3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效益程度（显著、明显、一般）</w:t>
            </w:r>
          </w:p>
        </w:tc>
        <w:tc>
          <w:tcPr>
            <w:tcW w:w="46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显著</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指标1：为社会、经济、民生发展提供助力。提升群众满意度、安全感。</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提升程度（较高、明显、一般）</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显著</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指标1：工作中减少纸张浪费和文件制定。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响指标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指标1：夯实我县基础建设，持续为经济发展助力。</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影响程度（较高、明显、一般）</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较高</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8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指标1：提高群众的满意度、安全感。保障人民群众生命财产安全。</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服务对象满意度达90%以上</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90%以上</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920" w:type="pct"/>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3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000" w:type="pct"/>
            <w:gridSpan w:val="12"/>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3"/>
                <w:lang w:val="en-US" w:eastAsia="zh-CN" w:bidi="ar"/>
              </w:rPr>
              <w:t>注：1</w:t>
            </w:r>
            <w:r>
              <w:rPr>
                <w:rStyle w:val="14"/>
                <w:lang w:val="en-US" w:eastAsia="zh-CN" w:bidi="ar"/>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12"/>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3"/>
                <w:lang w:val="en-US" w:eastAsia="zh-CN" w:bidi="ar"/>
              </w:rPr>
              <w:t xml:space="preserve">    3.定量指标若为正向指标（即指标值为</w:t>
            </w:r>
            <w:r>
              <w:rPr>
                <w:rStyle w:val="14"/>
                <w:lang w:val="en-US" w:eastAsia="zh-CN" w:bidi="ar"/>
              </w:rPr>
              <w:t>≥*），则得分计算方法应用全年实际值/年度指标值</w:t>
            </w:r>
            <w:r>
              <w:rPr>
                <w:rStyle w:val="15"/>
                <w:lang w:val="en-US" w:eastAsia="zh-CN" w:bidi="ar"/>
              </w:rPr>
              <w:t>╳</w:t>
            </w:r>
            <w:r>
              <w:rPr>
                <w:rStyle w:val="14"/>
                <w:lang w:val="en-US" w:eastAsia="zh-CN" w:bidi="ar"/>
              </w:rPr>
              <w:t>该指标分值；若定量指标为反向指标（即指标值为≤*），则得分计算方法应用年度指标值/全年实际值</w:t>
            </w:r>
            <w:r>
              <w:rPr>
                <w:rStyle w:val="15"/>
                <w:lang w:val="en-US" w:eastAsia="zh-CN" w:bidi="ar"/>
              </w:rPr>
              <w:t>╳</w:t>
            </w:r>
            <w:r>
              <w:rPr>
                <w:rStyle w:val="14"/>
                <w:lang w:val="en-US" w:eastAsia="zh-CN" w:bidi="ar"/>
              </w:rPr>
              <w:t>该指标分值；定量指标得分最高不得超过该指标分值上限。</w:t>
            </w:r>
            <w:r>
              <w:rPr>
                <w:rStyle w:val="14"/>
                <w:lang w:val="en-US" w:eastAsia="zh-CN" w:bidi="ar"/>
              </w:rPr>
              <w:br w:type="textWrapping"/>
            </w:r>
            <w:r>
              <w:rPr>
                <w:rStyle w:val="14"/>
                <w:lang w:val="en-US" w:eastAsia="zh-CN" w:bidi="ar"/>
              </w:rPr>
              <w:t xml:space="preserve">    4.评价得分说明：说明全年实际值与年度指标值偏离情况（未达、持平、超额）。</w:t>
            </w:r>
          </w:p>
        </w:tc>
      </w:tr>
    </w:tbl>
    <w:p>
      <w:pPr>
        <w:spacing w:line="600" w:lineRule="exact"/>
        <w:ind w:firstLine="600" w:firstLineChars="200"/>
        <w:rPr>
          <w:rFonts w:hint="eastAsia" w:ascii="黑体" w:hAnsi="黑体" w:eastAsia="黑体"/>
        </w:rPr>
        <w:sectPr>
          <w:pgSz w:w="16838" w:h="11906" w:orient="landscape"/>
          <w:pgMar w:top="1531" w:right="1928" w:bottom="1531" w:left="1701" w:header="737" w:footer="850" w:gutter="0"/>
          <w:cols w:space="0" w:num="1"/>
          <w:rtlGutter w:val="0"/>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hint="eastAsia" w:ascii="仿宋_GB2312"/>
          <w:sz w:val="32"/>
          <w:szCs w:val="32"/>
        </w:rPr>
      </w:pPr>
      <w:r>
        <w:rPr>
          <w:rFonts w:hint="eastAsia" w:ascii="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cs="仿宋_GB2312"/>
          <w:i w:val="0"/>
          <w:iCs w:val="0"/>
          <w:caps w:val="0"/>
          <w:color w:val="333333"/>
          <w:spacing w:val="0"/>
          <w:sz w:val="32"/>
          <w:szCs w:val="32"/>
          <w:shd w:val="clear" w:fill="FFFFFF"/>
          <w:lang w:eastAsia="zh-CN"/>
        </w:rPr>
        <w:t>县委政法委</w:t>
      </w:r>
      <w:r>
        <w:rPr>
          <w:rFonts w:hint="eastAsia" w:ascii="仿宋_GB2312" w:hAnsi="仿宋_GB2312" w:eastAsia="仿宋_GB2312" w:cs="仿宋_GB2312"/>
          <w:i w:val="0"/>
          <w:iCs w:val="0"/>
          <w:caps w:val="0"/>
          <w:color w:val="333333"/>
          <w:spacing w:val="0"/>
          <w:sz w:val="32"/>
          <w:szCs w:val="32"/>
          <w:shd w:val="clear" w:fill="FFFFFF"/>
          <w:lang w:eastAsia="zh-CN"/>
        </w:rPr>
        <w:t>项目决策在</w:t>
      </w:r>
      <w:r>
        <w:rPr>
          <w:rFonts w:hint="eastAsia" w:ascii="仿宋_GB2312" w:hAnsi="仿宋_GB2312" w:eastAsia="仿宋_GB2312" w:cs="仿宋_GB2312"/>
          <w:i w:val="0"/>
          <w:iCs w:val="0"/>
          <w:caps w:val="0"/>
          <w:color w:val="333333"/>
          <w:spacing w:val="0"/>
          <w:sz w:val="32"/>
          <w:szCs w:val="32"/>
          <w:shd w:val="clear" w:fill="FFFFFF"/>
        </w:rPr>
        <w:t>科学的理论和方法指导下</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进行细致深入调查和论证，作出科学决策</w:t>
      </w:r>
      <w:r>
        <w:rPr>
          <w:rFonts w:hint="eastAsia" w:ascii="仿宋_GB2312" w:hAnsi="仿宋_GB2312" w:eastAsia="仿宋_GB2312" w:cs="仿宋_GB2312"/>
          <w:i w:val="0"/>
          <w:iCs w:val="0"/>
          <w:caps w:val="0"/>
          <w:color w:val="333333"/>
          <w:spacing w:val="0"/>
          <w:sz w:val="32"/>
          <w:szCs w:val="32"/>
          <w:shd w:val="clear" w:fill="FFFFFF"/>
          <w:lang w:eastAsia="zh-CN"/>
        </w:rPr>
        <w:t>。</w:t>
      </w:r>
    </w:p>
    <w:p>
      <w:pPr>
        <w:spacing w:line="600" w:lineRule="exact"/>
        <w:ind w:firstLine="640" w:firstLineChars="200"/>
        <w:outlineLvl w:val="0"/>
        <w:rPr>
          <w:rFonts w:hint="eastAsia" w:ascii="仿宋_GB2312"/>
          <w:sz w:val="32"/>
          <w:szCs w:val="32"/>
        </w:rPr>
      </w:pPr>
      <w:r>
        <w:rPr>
          <w:rFonts w:hint="eastAsia" w:ascii="仿宋_GB2312"/>
          <w:sz w:val="32"/>
          <w:szCs w:val="32"/>
        </w:rPr>
        <w:t>（二）项目过程情况。</w:t>
      </w:r>
    </w:p>
    <w:p>
      <w:pPr>
        <w:spacing w:line="600" w:lineRule="exact"/>
        <w:ind w:firstLine="640" w:firstLineChars="200"/>
        <w:outlineLvl w:val="0"/>
        <w:rPr>
          <w:rFonts w:hint="eastAsia" w:ascii="仿宋_GB2312" w:eastAsia="仿宋_GB2312"/>
          <w:sz w:val="32"/>
          <w:szCs w:val="32"/>
          <w:lang w:eastAsia="zh-CN"/>
        </w:rPr>
      </w:pPr>
      <w:r>
        <w:rPr>
          <w:rFonts w:hint="eastAsia" w:ascii="仿宋_GB2312"/>
          <w:sz w:val="32"/>
          <w:szCs w:val="32"/>
          <w:lang w:eastAsia="zh-CN"/>
        </w:rPr>
        <w:t>项目从年初开始，贯穿全年开展社会治安综合治理工作，平安创建工作。年未全面完成年初制定目标任务。</w:t>
      </w:r>
    </w:p>
    <w:p>
      <w:pPr>
        <w:spacing w:line="600" w:lineRule="exact"/>
        <w:ind w:firstLine="640" w:firstLineChars="200"/>
        <w:outlineLvl w:val="0"/>
        <w:rPr>
          <w:rFonts w:hint="eastAsia" w:ascii="仿宋_GB2312"/>
          <w:sz w:val="32"/>
          <w:szCs w:val="32"/>
        </w:rPr>
      </w:pPr>
      <w:r>
        <w:rPr>
          <w:rFonts w:hint="eastAsia" w:ascii="仿宋_GB2312"/>
          <w:sz w:val="32"/>
          <w:szCs w:val="32"/>
        </w:rPr>
        <w:t>（三）项目产出情况。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cs="仿宋_GB2312"/>
          <w:i w:val="0"/>
          <w:iCs w:val="0"/>
          <w:color w:val="000000"/>
          <w:kern w:val="0"/>
          <w:sz w:val="32"/>
          <w:szCs w:val="32"/>
          <w:u w:val="none"/>
          <w:lang w:val="en-US" w:eastAsia="zh-CN" w:bidi="ar"/>
        </w:rPr>
        <w:t>项目</w:t>
      </w:r>
      <w:r>
        <w:rPr>
          <w:rFonts w:hint="eastAsia" w:ascii="仿宋_GB2312" w:hAnsi="仿宋_GB2312" w:eastAsia="仿宋_GB2312" w:cs="仿宋_GB2312"/>
          <w:i w:val="0"/>
          <w:iCs w:val="0"/>
          <w:color w:val="000000"/>
          <w:kern w:val="0"/>
          <w:sz w:val="32"/>
          <w:szCs w:val="32"/>
          <w:u w:val="none"/>
          <w:lang w:val="en-US" w:eastAsia="zh-CN" w:bidi="ar"/>
        </w:rPr>
        <w:t>促进全县经济发展，为招商引资创造良好经济环境。为社会、经济、民生发展提供助力。提升群众满意度、安全感。</w:t>
      </w:r>
    </w:p>
    <w:p>
      <w:pPr>
        <w:spacing w:line="600" w:lineRule="exact"/>
        <w:ind w:firstLine="640" w:firstLineChars="200"/>
        <w:outlineLvl w:val="0"/>
        <w:rPr>
          <w:rFonts w:hint="eastAsia" w:ascii="仿宋_GB2312"/>
          <w:sz w:val="32"/>
          <w:szCs w:val="32"/>
        </w:rPr>
      </w:pPr>
      <w:r>
        <w:rPr>
          <w:rFonts w:hint="eastAsia" w:ascii="仿宋_GB2312"/>
          <w:sz w:val="32"/>
          <w:szCs w:val="32"/>
        </w:rPr>
        <w:t>（四）项目效益情况。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sz w:val="32"/>
          <w:szCs w:val="32"/>
          <w:lang w:eastAsia="zh-CN"/>
        </w:rPr>
        <w:t>通过项目开展，</w:t>
      </w:r>
      <w:r>
        <w:rPr>
          <w:rFonts w:hint="eastAsia" w:ascii="仿宋_GB2312" w:hAnsi="仿宋_GB2312" w:eastAsia="仿宋_GB2312" w:cs="仿宋_GB2312"/>
          <w:i w:val="0"/>
          <w:iCs w:val="0"/>
          <w:color w:val="000000"/>
          <w:kern w:val="0"/>
          <w:sz w:val="32"/>
          <w:szCs w:val="32"/>
          <w:u w:val="none"/>
          <w:lang w:val="en-US" w:eastAsia="zh-CN" w:bidi="ar"/>
        </w:rPr>
        <w:t>夯实我县基础建设，持续为经济发展助力。</w:t>
      </w:r>
    </w:p>
    <w:p>
      <w:pPr>
        <w:spacing w:line="600" w:lineRule="exact"/>
        <w:ind w:firstLine="600" w:firstLineChars="200"/>
        <w:outlineLvl w:val="0"/>
        <w:rPr>
          <w:rFonts w:hint="eastAsia"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eastAsia="zh-CN"/>
        </w:rPr>
        <w:t>第一，</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2"/>
          <w:szCs w:val="32"/>
          <w:lang w:eastAsia="zh-CN"/>
        </w:rPr>
        <w:t>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hint="eastAsia" w:ascii="黑体" w:hAnsi="黑体" w:eastAsia="黑体"/>
        </w:rPr>
      </w:pPr>
      <w:r>
        <w:rPr>
          <w:rFonts w:hint="eastAsia" w:ascii="黑体" w:hAnsi="黑体" w:eastAsia="黑体"/>
        </w:rPr>
        <w:t>六、有关建议</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left="0" w:leftChars="0"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left="0" w:leftChars="0" w:firstLine="640" w:firstLineChars="200"/>
        <w:rPr>
          <w:rFonts w:hint="eastAsia" w:ascii="黑体" w:hAnsi="黑体" w:eastAsia="黑体"/>
        </w:rPr>
      </w:pPr>
      <w:r>
        <w:rPr>
          <w:rFonts w:hint="eastAsia" w:ascii="仿宋_GB2312" w:hAnsi="仿宋_GB2312" w:cs="仿宋_GB2312"/>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jc w:val="right"/>
        <w:rPr>
          <w:rFonts w:hint="eastAsia" w:ascii="仿宋_GB2312" w:hAnsi="仿宋_GB2312" w:cs="仿宋_GB2312"/>
          <w:b w:val="0"/>
          <w:bCs w:val="0"/>
          <w:sz w:val="32"/>
          <w:szCs w:val="32"/>
          <w:lang w:eastAsia="zh-CN"/>
        </w:rPr>
      </w:pPr>
      <w:r>
        <w:rPr>
          <w:rFonts w:hint="eastAsia" w:ascii="仿宋_GB2312" w:hAnsi="仿宋_GB2312" w:cs="仿宋_GB2312"/>
          <w:b w:val="0"/>
          <w:bCs w:val="0"/>
          <w:sz w:val="32"/>
          <w:szCs w:val="32"/>
          <w:lang w:eastAsia="zh-CN"/>
        </w:rPr>
        <w:t>凤台县委政法委</w:t>
      </w:r>
    </w:p>
    <w:p>
      <w:pPr>
        <w:spacing w:line="600" w:lineRule="exact"/>
        <w:ind w:firstLine="640" w:firstLineChars="200"/>
        <w:jc w:val="right"/>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2022年8月22</w:t>
      </w:r>
      <w:bookmarkStart w:id="0" w:name="_GoBack"/>
      <w:bookmarkEnd w:id="0"/>
      <w:r>
        <w:rPr>
          <w:rFonts w:hint="eastAsia" w:ascii="仿宋_GB2312" w:hAnsi="仿宋_GB2312" w:cs="仿宋_GB2312"/>
          <w:b w:val="0"/>
          <w:bCs w:val="0"/>
          <w:sz w:val="32"/>
          <w:szCs w:val="32"/>
          <w:lang w:val="en-US" w:eastAsia="zh-CN"/>
        </w:rPr>
        <w:t>日</w:t>
      </w:r>
    </w:p>
    <w:sectPr>
      <w:pgSz w:w="11906" w:h="16838"/>
      <w:pgMar w:top="1928" w:right="1531" w:bottom="1701" w:left="1531" w:header="737" w:footer="850"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2JlMzQ1MTA5ZGZlOTg4MGI0N2RmZjkzNDgxZDUifQ=="/>
  </w:docVars>
  <w:rsids>
    <w:rsidRoot w:val="55AE45D4"/>
    <w:rsid w:val="03307D65"/>
    <w:rsid w:val="180036D0"/>
    <w:rsid w:val="237E3EE8"/>
    <w:rsid w:val="2A196F08"/>
    <w:rsid w:val="2A8F6FFB"/>
    <w:rsid w:val="30C15385"/>
    <w:rsid w:val="36877830"/>
    <w:rsid w:val="45042999"/>
    <w:rsid w:val="48D26B99"/>
    <w:rsid w:val="4B3E5819"/>
    <w:rsid w:val="4D5179FF"/>
    <w:rsid w:val="55AE45D4"/>
    <w:rsid w:val="69136792"/>
    <w:rsid w:val="7F1B4A79"/>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01"/>
    <w:basedOn w:val="5"/>
    <w:qFormat/>
    <w:uiPriority w:val="0"/>
    <w:rPr>
      <w:rFonts w:hint="eastAsia" w:ascii="宋体" w:hAnsi="宋体" w:eastAsia="宋体" w:cs="宋体"/>
      <w:b/>
      <w:bCs/>
      <w:color w:val="000000"/>
      <w:sz w:val="32"/>
      <w:szCs w:val="32"/>
      <w:u w:val="none"/>
    </w:rPr>
  </w:style>
  <w:style w:type="character" w:customStyle="1" w:styleId="7">
    <w:name w:val="font61"/>
    <w:basedOn w:val="5"/>
    <w:qFormat/>
    <w:uiPriority w:val="0"/>
    <w:rPr>
      <w:rFonts w:hint="eastAsia" w:ascii="宋体" w:hAnsi="宋体" w:eastAsia="宋体" w:cs="宋体"/>
      <w:color w:val="000000"/>
      <w:sz w:val="18"/>
      <w:szCs w:val="18"/>
      <w:u w:val="none"/>
    </w:rPr>
  </w:style>
  <w:style w:type="character" w:customStyle="1" w:styleId="8">
    <w:name w:val="font121"/>
    <w:basedOn w:val="5"/>
    <w:qFormat/>
    <w:uiPriority w:val="0"/>
    <w:rPr>
      <w:rFonts w:hint="eastAsia" w:ascii="宋体" w:hAnsi="宋体" w:eastAsia="宋体" w:cs="宋体"/>
      <w:b/>
      <w:bCs/>
      <w:color w:val="000000"/>
      <w:sz w:val="32"/>
      <w:szCs w:val="32"/>
      <w:u w:val="none"/>
    </w:rPr>
  </w:style>
  <w:style w:type="character" w:customStyle="1" w:styleId="9">
    <w:name w:val="font31"/>
    <w:basedOn w:val="5"/>
    <w:qFormat/>
    <w:uiPriority w:val="0"/>
    <w:rPr>
      <w:rFonts w:hint="eastAsia" w:ascii="宋体" w:hAnsi="宋体" w:eastAsia="宋体" w:cs="宋体"/>
      <w:color w:val="000000"/>
      <w:sz w:val="32"/>
      <w:szCs w:val="32"/>
      <w:u w:val="none"/>
    </w:rPr>
  </w:style>
  <w:style w:type="character" w:customStyle="1" w:styleId="10">
    <w:name w:val="font21"/>
    <w:basedOn w:val="5"/>
    <w:qFormat/>
    <w:uiPriority w:val="0"/>
    <w:rPr>
      <w:rFonts w:hint="eastAsia" w:ascii="宋体" w:hAnsi="宋体" w:eastAsia="宋体" w:cs="宋体"/>
      <w:color w:val="000000"/>
      <w:sz w:val="20"/>
      <w:szCs w:val="20"/>
      <w:u w:val="none"/>
    </w:rPr>
  </w:style>
  <w:style w:type="character" w:customStyle="1" w:styleId="11">
    <w:name w:val="font01"/>
    <w:basedOn w:val="5"/>
    <w:qFormat/>
    <w:uiPriority w:val="0"/>
    <w:rPr>
      <w:rFonts w:hint="eastAsia" w:ascii="宋体" w:hAnsi="宋体" w:eastAsia="宋体" w:cs="宋体"/>
      <w:color w:val="000000"/>
      <w:sz w:val="20"/>
      <w:szCs w:val="20"/>
      <w:u w:val="none"/>
    </w:rPr>
  </w:style>
  <w:style w:type="character" w:customStyle="1" w:styleId="12">
    <w:name w:val="font81"/>
    <w:basedOn w:val="5"/>
    <w:qFormat/>
    <w:uiPriority w:val="0"/>
    <w:rPr>
      <w:rFonts w:hint="eastAsia" w:ascii="仿宋_GB2312" w:eastAsia="仿宋_GB2312" w:cs="仿宋_GB2312"/>
      <w:color w:val="000000"/>
      <w:sz w:val="20"/>
      <w:szCs w:val="20"/>
      <w:u w:val="none"/>
    </w:rPr>
  </w:style>
  <w:style w:type="character" w:customStyle="1" w:styleId="13">
    <w:name w:val="font91"/>
    <w:basedOn w:val="5"/>
    <w:qFormat/>
    <w:uiPriority w:val="0"/>
    <w:rPr>
      <w:rFonts w:hint="eastAsia" w:ascii="宋体" w:hAnsi="宋体" w:eastAsia="宋体" w:cs="宋体"/>
      <w:color w:val="000000"/>
      <w:sz w:val="18"/>
      <w:szCs w:val="18"/>
      <w:u w:val="none"/>
    </w:rPr>
  </w:style>
  <w:style w:type="character" w:customStyle="1" w:styleId="14">
    <w:name w:val="font131"/>
    <w:basedOn w:val="5"/>
    <w:qFormat/>
    <w:uiPriority w:val="0"/>
    <w:rPr>
      <w:rFonts w:hint="eastAsia" w:ascii="宋体" w:hAnsi="宋体" w:eastAsia="宋体" w:cs="宋体"/>
      <w:color w:val="000000"/>
      <w:sz w:val="18"/>
      <w:szCs w:val="18"/>
      <w:u w:val="none"/>
    </w:rPr>
  </w:style>
  <w:style w:type="character" w:customStyle="1" w:styleId="15">
    <w:name w:val="font141"/>
    <w:basedOn w:val="5"/>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3573</Words>
  <Characters>3663</Characters>
  <Lines>0</Lines>
  <Paragraphs>0</Paragraphs>
  <TotalTime>4</TotalTime>
  <ScaleCrop>false</ScaleCrop>
  <LinksUpToDate>false</LinksUpToDate>
  <CharactersWithSpaces>3701</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张学周</cp:lastModifiedBy>
  <dcterms:modified xsi:type="dcterms:W3CDTF">2022-08-22T08:42:52Z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68ADEA3E50AD4DD6B647B168F27779E3</vt:lpwstr>
  </property>
</Properties>
</file>