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ascii="Arial" w:hAnsi="Arial" w:eastAsia="宋体" w:cs="Arial"/>
          <w:b/>
          <w:bCs/>
          <w:sz w:val="36"/>
          <w:szCs w:val="36"/>
        </w:rPr>
      </w:pPr>
      <w:r>
        <w:rPr>
          <w:rFonts w:hint="eastAsia" w:ascii="宋体" w:hAnsi="宋体" w:eastAsia="宋体" w:cs="Arial"/>
          <w:b/>
          <w:bCs/>
          <w:sz w:val="36"/>
          <w:szCs w:val="36"/>
          <w:lang w:eastAsia="zh-CN"/>
        </w:rPr>
        <w:t>凤台县</w:t>
      </w:r>
      <w:r>
        <w:rPr>
          <w:rFonts w:hint="eastAsia" w:ascii="宋体" w:hAnsi="宋体" w:eastAsia="宋体" w:cs="Arial"/>
          <w:b/>
          <w:bCs/>
          <w:sz w:val="36"/>
          <w:szCs w:val="36"/>
          <w:lang w:val="en-US" w:eastAsia="zh-CN"/>
        </w:rPr>
        <w:t>招商服务中心</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00" w:firstLineChars="200"/>
        <w:outlineLvl w:val="0"/>
        <w:rPr>
          <w:rFonts w:hint="eastAsia" w:ascii="仿宋_GB2312" w:hAnsi="宋体" w:eastAsia="仿宋_GB2312" w:cs="仿宋_GB2312"/>
          <w:b/>
          <w:bCs/>
          <w:i w:val="0"/>
          <w:iCs w:val="0"/>
          <w:caps w:val="0"/>
          <w:color w:val="333333"/>
          <w:spacing w:val="0"/>
          <w:sz w:val="32"/>
          <w:szCs w:val="32"/>
          <w:shd w:val="clear" w:fill="FFFFFF"/>
        </w:rPr>
      </w:pPr>
      <w:r>
        <w:rPr>
          <w:rFonts w:hint="eastAsia" w:ascii="仿宋_GB2312"/>
        </w:rPr>
        <w:t>（一）</w:t>
      </w:r>
      <w:r>
        <w:rPr>
          <w:rFonts w:ascii="仿宋_GB2312" w:hAnsi="宋体" w:eastAsia="仿宋_GB2312" w:cs="仿宋_GB2312"/>
          <w:b/>
          <w:bCs/>
          <w:i w:val="0"/>
          <w:iCs w:val="0"/>
          <w:caps w:val="0"/>
          <w:color w:val="333333"/>
          <w:spacing w:val="0"/>
          <w:sz w:val="32"/>
          <w:szCs w:val="32"/>
          <w:shd w:val="clear" w:fill="FFFFFF"/>
        </w:rPr>
        <w:t>“</w:t>
      </w:r>
      <w:r>
        <w:rPr>
          <w:rFonts w:hint="eastAsia" w:ascii="仿宋_GB2312" w:hAnsi="宋体" w:cs="仿宋_GB2312"/>
          <w:b/>
          <w:bCs/>
          <w:i w:val="0"/>
          <w:iCs w:val="0"/>
          <w:caps w:val="0"/>
          <w:color w:val="333333"/>
          <w:spacing w:val="0"/>
          <w:sz w:val="32"/>
          <w:szCs w:val="32"/>
          <w:shd w:val="clear" w:fill="FFFFFF"/>
          <w:lang w:val="en-US" w:eastAsia="zh-CN"/>
        </w:rPr>
        <w:t>3个小分队工作经费</w:t>
      </w:r>
      <w:r>
        <w:rPr>
          <w:rFonts w:hint="eastAsia" w:ascii="仿宋_GB2312" w:hAnsi="宋体" w:eastAsia="仿宋_GB2312" w:cs="仿宋_GB2312"/>
          <w:b/>
          <w:bCs/>
          <w:i w:val="0"/>
          <w:iCs w:val="0"/>
          <w:caps w:val="0"/>
          <w:color w:val="333333"/>
          <w:spacing w:val="0"/>
          <w:sz w:val="32"/>
          <w:szCs w:val="32"/>
          <w:shd w:val="clear" w:fill="FFFFFF"/>
        </w:rPr>
        <w:t>”项目。</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项目概述及内容：</w:t>
      </w:r>
      <w:r>
        <w:rPr>
          <w:rFonts w:hint="eastAsia" w:ascii="仿宋" w:hAnsi="仿宋" w:eastAsia="仿宋" w:cs="仿宋"/>
          <w:i w:val="0"/>
          <w:iCs w:val="0"/>
          <w:caps w:val="0"/>
          <w:color w:val="333333"/>
          <w:spacing w:val="0"/>
          <w:sz w:val="32"/>
          <w:szCs w:val="32"/>
          <w:shd w:val="clear" w:fill="FFFFFF"/>
        </w:rPr>
        <w:t>用于驻点工作组日常开展招商引资工作，完成年度工作计划，通过项目实施，进一步优化招商队伍，锻炼培养干部，宣传推介凤台，围绕我县重点产业招大引强，实施精准招商，推动一批优质项目落户。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立项依据。《中共凤台县委办公室  凤台县人民政府办公室关于组建县招商团的通知》（凤办秘〔2021〕15号）、《关于组建长三角驻点招商组的通知》（凤组字〔2021〕11号）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default" w:ascii="宋体" w:hAnsi="宋体" w:eastAsia="宋体" w:cs="宋体"/>
          <w:i w:val="0"/>
          <w:iCs w:val="0"/>
          <w:caps w:val="0"/>
          <w:color w:val="333333"/>
          <w:spacing w:val="0"/>
          <w:sz w:val="24"/>
          <w:szCs w:val="24"/>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实施主体：凤台县招商服务中心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firstLine="640" w:firstLineChars="200"/>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起止时间。2021年1月至2021年12月。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640"/>
        <w:jc w:val="both"/>
        <w:textAlignment w:val="auto"/>
        <w:rPr>
          <w:rFonts w:hint="eastAsia" w:ascii="仿宋_GB2312"/>
        </w:rPr>
      </w:pPr>
      <w:r>
        <w:rPr>
          <w:rFonts w:hint="eastAsia" w:ascii="仿宋" w:hAnsi="仿宋" w:eastAsia="仿宋" w:cs="仿宋"/>
          <w:i w:val="0"/>
          <w:iCs w:val="0"/>
          <w:caps w:val="0"/>
          <w:color w:val="333333"/>
          <w:spacing w:val="0"/>
          <w:kern w:val="0"/>
          <w:sz w:val="32"/>
          <w:szCs w:val="32"/>
          <w:shd w:val="clear" w:fill="FFFFFF"/>
          <w:lang w:val="en-US" w:eastAsia="zh-CN" w:bidi="ar"/>
        </w:rPr>
        <w:t>年度预算安排。一般公共预算安排160万元。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rPr>
        <w:t>项目绩效目标</w:t>
      </w:r>
      <w:r>
        <w:rPr>
          <w:rFonts w:hint="eastAsia" w:ascii="仿宋_GB2312"/>
          <w:sz w:val="32"/>
          <w:szCs w:val="32"/>
          <w:lang w:eastAsia="zh-CN"/>
        </w:rPr>
        <w:t>：宣传推介凤台投资环境，扩大我县知名度和影响力，促进我县经济发展、提升城市竞争力。</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（二）绩效评价原则、评价指标体系（附表说明）、评价方法、评价标准等。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绩效评价原则：</w:t>
      </w:r>
      <w:r>
        <w:rPr>
          <w:rFonts w:hint="eastAsia" w:ascii="仿宋_GB2312" w:hAnsi="仿宋_GB2312" w:eastAsia="仿宋_GB2312" w:cs="仿宋_GB2312"/>
          <w:i w:val="0"/>
          <w:iCs w:val="0"/>
          <w:caps w:val="0"/>
          <w:color w:val="333333"/>
          <w:spacing w:val="0"/>
          <w:sz w:val="32"/>
          <w:szCs w:val="32"/>
          <w:shd w:val="clear" w:fill="FFFFFF"/>
        </w:rPr>
        <w:t>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一是准备创段，成立项目评价领导小组，制定工作计划。二是评价工作执行阶段，</w:t>
      </w:r>
      <w:r>
        <w:rPr>
          <w:rFonts w:hint="eastAsia" w:ascii="仿宋_GB2312" w:hAnsi="仿宋_GB2312" w:eastAsia="仿宋_GB2312" w:cs="仿宋_GB2312"/>
          <w:sz w:val="32"/>
          <w:szCs w:val="32"/>
          <w:lang w:val="en-US" w:eastAsia="zh-CN"/>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rPr>
          <w:rFonts w:hint="eastAsia" w:ascii="黑体" w:hAnsi="黑体" w:eastAsia="黑体"/>
        </w:rPr>
      </w:pPr>
      <w:r>
        <w:rPr>
          <w:rFonts w:hint="eastAsia" w:ascii="黑体" w:hAnsi="黑体" w:eastAsia="黑体"/>
        </w:rPr>
        <w:t>三、综合评价情况及评价结论</w:t>
      </w:r>
    </w:p>
    <w:tbl>
      <w:tblPr>
        <w:tblStyle w:val="4"/>
        <w:tblW w:w="5000" w:type="pct"/>
        <w:tblInd w:w="0" w:type="dxa"/>
        <w:shd w:val="clear" w:color="auto" w:fill="auto"/>
        <w:tblLayout w:type="autofit"/>
        <w:tblCellMar>
          <w:top w:w="0" w:type="dxa"/>
          <w:left w:w="0" w:type="dxa"/>
          <w:bottom w:w="0" w:type="dxa"/>
          <w:right w:w="0" w:type="dxa"/>
        </w:tblCellMar>
      </w:tblPr>
      <w:tblGrid>
        <w:gridCol w:w="1195"/>
        <w:gridCol w:w="1196"/>
        <w:gridCol w:w="1209"/>
        <w:gridCol w:w="1199"/>
        <w:gridCol w:w="1204"/>
        <w:gridCol w:w="1202"/>
        <w:gridCol w:w="1199"/>
        <w:gridCol w:w="1202"/>
        <w:gridCol w:w="1202"/>
        <w:gridCol w:w="1202"/>
        <w:gridCol w:w="1223"/>
      </w:tblGrid>
      <w:tr>
        <w:tblPrEx>
          <w:tblCellMar>
            <w:top w:w="0" w:type="dxa"/>
            <w:left w:w="0" w:type="dxa"/>
            <w:bottom w:w="0" w:type="dxa"/>
            <w:right w:w="0" w:type="dxa"/>
          </w:tblCellMar>
        </w:tblPrEx>
        <w:trPr>
          <w:trHeight w:val="408" w:hRule="atLeast"/>
        </w:trPr>
        <w:tc>
          <w:tcPr>
            <w:tcW w:w="5000" w:type="pct"/>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r>
              <w:rPr>
                <w:rStyle w:val="12"/>
                <w:lang w:val="en-US" w:eastAsia="zh-CN" w:bidi="ar"/>
              </w:rPr>
              <w:t xml:space="preserve"> </w:t>
            </w:r>
          </w:p>
        </w:tc>
      </w:tr>
      <w:tr>
        <w:tblPrEx>
          <w:shd w:val="clear" w:color="auto" w:fill="auto"/>
          <w:tblCellMar>
            <w:top w:w="0" w:type="dxa"/>
            <w:left w:w="0" w:type="dxa"/>
            <w:bottom w:w="0" w:type="dxa"/>
            <w:right w:w="0" w:type="dxa"/>
          </w:tblCellMar>
        </w:tblPrEx>
        <w:trPr>
          <w:trHeight w:val="288" w:hRule="atLeast"/>
        </w:trPr>
        <w:tc>
          <w:tcPr>
            <w:tcW w:w="5000" w:type="pct"/>
            <w:gridSpan w:val="11"/>
            <w:tcBorders>
              <w:top w:val="nil"/>
              <w:left w:val="nil"/>
              <w:bottom w:val="single" w:color="000000" w:sz="4" w:space="0"/>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shd w:val="clear" w:color="auto" w:fill="auto"/>
          <w:tblCellMar>
            <w:top w:w="0" w:type="dxa"/>
            <w:left w:w="0" w:type="dxa"/>
            <w:bottom w:w="0" w:type="dxa"/>
            <w:right w:w="0" w:type="dxa"/>
          </w:tblCellMar>
        </w:tblPrEx>
        <w:trPr>
          <w:trHeight w:val="288"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638" w:type="pct"/>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3个小分队工作经费</w:t>
            </w:r>
          </w:p>
        </w:tc>
      </w:tr>
      <w:tr>
        <w:tblPrEx>
          <w:shd w:val="clear" w:color="auto" w:fill="auto"/>
          <w:tblCellMar>
            <w:top w:w="0" w:type="dxa"/>
            <w:left w:w="0" w:type="dxa"/>
            <w:bottom w:w="0" w:type="dxa"/>
            <w:right w:w="0" w:type="dxa"/>
          </w:tblCellMar>
        </w:tblPrEx>
        <w:trPr>
          <w:trHeight w:val="288" w:hRule="atLeast"/>
        </w:trPr>
        <w:tc>
          <w:tcPr>
            <w:tcW w:w="1361"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1362"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凤台县招商服务中心</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823" w:type="pct"/>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凤台县招商服务中心</w:t>
            </w:r>
          </w:p>
        </w:tc>
      </w:tr>
      <w:tr>
        <w:tblPrEx>
          <w:tblCellMar>
            <w:top w:w="0" w:type="dxa"/>
            <w:left w:w="0" w:type="dxa"/>
            <w:bottom w:w="0" w:type="dxa"/>
            <w:right w:w="0" w:type="dxa"/>
          </w:tblCellMar>
        </w:tblPrEx>
        <w:trPr>
          <w:trHeight w:val="480" w:hRule="atLeast"/>
        </w:trPr>
        <w:tc>
          <w:tcPr>
            <w:tcW w:w="136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480"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158.42</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100</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99</w:t>
            </w:r>
          </w:p>
        </w:tc>
      </w:tr>
      <w:tr>
        <w:tblPrEx>
          <w:tblCellMar>
            <w:top w:w="0" w:type="dxa"/>
            <w:left w:w="0" w:type="dxa"/>
            <w:bottom w:w="0" w:type="dxa"/>
            <w:right w:w="0" w:type="dxa"/>
          </w:tblCellMar>
        </w:tblPrEx>
        <w:trPr>
          <w:trHeight w:val="720"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其中：本年财政拨款</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158.42</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480" w:hRule="atLeast"/>
        </w:trPr>
        <w:tc>
          <w:tcPr>
            <w:tcW w:w="136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288"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w:t>
            </w:r>
          </w:p>
        </w:tc>
        <w:tc>
          <w:tcPr>
            <w:tcW w:w="2270"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2276"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实际完成情况综述</w:t>
            </w:r>
          </w:p>
        </w:tc>
      </w:tr>
      <w:tr>
        <w:tblPrEx>
          <w:shd w:val="clear" w:color="auto" w:fill="auto"/>
          <w:tblCellMar>
            <w:top w:w="0" w:type="dxa"/>
            <w:left w:w="0" w:type="dxa"/>
            <w:bottom w:w="0" w:type="dxa"/>
            <w:right w:w="0" w:type="dxa"/>
          </w:tblCellMar>
        </w:tblPrEx>
        <w:trPr>
          <w:trHeight w:val="108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0"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用于驻点工作组日常开展招商引资工作，完成年度工作计划，通过项目实施，进一步优化招商队伍，锻炼培养干部，宣传推介凤台，围绕我县重点产业招大引强，实施精准招商，推动一批优质项目落户。</w:t>
            </w:r>
          </w:p>
        </w:tc>
        <w:tc>
          <w:tcPr>
            <w:tcW w:w="2276"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完成驻点工作组日常开展招商引资工作，完成年度工作计划，通过项目实施，进一步优化招商队伍，锻炼培养干部，宣传推介凤台，围绕我县重点产业招大引强，实施精准招商，推动一批优质项目落户。</w:t>
            </w:r>
          </w:p>
        </w:tc>
      </w:tr>
      <w:tr>
        <w:tblPrEx>
          <w:tblCellMar>
            <w:top w:w="0" w:type="dxa"/>
            <w:left w:w="0" w:type="dxa"/>
            <w:bottom w:w="0" w:type="dxa"/>
            <w:right w:w="0" w:type="dxa"/>
          </w:tblCellMar>
        </w:tblPrEx>
        <w:trPr>
          <w:trHeight w:val="48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年度绩效指标完成情况</w:t>
            </w:r>
          </w:p>
        </w:tc>
        <w:tc>
          <w:tcPr>
            <w:tcW w:w="45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5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偏差原因分析及改进措施</w:t>
            </w:r>
          </w:p>
        </w:tc>
      </w:tr>
      <w:tr>
        <w:tblPrEx>
          <w:shd w:val="clear" w:color="auto" w:fill="auto"/>
          <w:tblCellMar>
            <w:top w:w="0" w:type="dxa"/>
            <w:left w:w="0" w:type="dxa"/>
            <w:bottom w:w="0" w:type="dxa"/>
            <w:right w:w="0" w:type="dxa"/>
          </w:tblCellMar>
        </w:tblPrEx>
        <w:trPr>
          <w:trHeight w:val="54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(50分)</w:t>
            </w: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指标1：每月报送招商信息</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指标2：全年邀请来凤考察企业至少30次</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全年新签约项目至少8项</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907"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指标1：访商邀商符合组建方案相关要求</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指标2：引进新签约项目符合组建方案相关要求</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项目计划完成时间</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小分队工作经费160万元</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158.42</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158.42</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aps w:val="0"/>
                <w:color w:val="000000"/>
                <w:spacing w:val="0"/>
                <w:sz w:val="16"/>
                <w:szCs w:val="16"/>
                <w:shd w:val="clear" w:fill="FFFFFF"/>
              </w:rPr>
              <w:t>按照实际工作需要实施资金拨付工作。下一步将进一步督促资金使用范围和力度。</w:t>
            </w: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(30分)</w:t>
            </w: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对促进我县经济发展、提升城市竞争力的影响程度</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1亿元</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宣传推介凤台投资环境，扩大我县知名度和影响力</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招商引资企业必须达到环保部门检验标准</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响指标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对宣传我县投资环境，吸引外地企业来凤投资的影响程度</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(10分)</w:t>
            </w: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90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外来投资企业满意度</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8"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 w:hRule="atLeast"/>
        </w:trPr>
        <w:tc>
          <w:tcPr>
            <w:tcW w:w="2269" w:type="pct"/>
            <w:gridSpan w:val="5"/>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100</w:t>
            </w:r>
            <w:bookmarkStart w:id="0" w:name="_GoBack"/>
            <w:bookmarkEnd w:id="0"/>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b/>
                <w:i w:val="0"/>
                <w:color w:val="000000"/>
                <w:sz w:val="20"/>
                <w:szCs w:val="20"/>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99</w:t>
            </w:r>
          </w:p>
        </w:tc>
        <w:tc>
          <w:tcPr>
            <w:tcW w:w="91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rPr>
            </w:pPr>
          </w:p>
        </w:tc>
      </w:tr>
      <w:tr>
        <w:tblPrEx>
          <w:tblCellMar>
            <w:top w:w="0" w:type="dxa"/>
            <w:left w:w="0" w:type="dxa"/>
            <w:bottom w:w="0" w:type="dxa"/>
            <w:right w:w="0" w:type="dxa"/>
          </w:tblCellMar>
        </w:tblPrEx>
        <w:trPr>
          <w:trHeight w:val="288" w:hRule="atLeast"/>
        </w:trPr>
        <w:tc>
          <w:tcPr>
            <w:tcW w:w="5000" w:type="pct"/>
            <w:gridSpan w:val="11"/>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注：1</w:t>
            </w:r>
            <w:r>
              <w:rPr>
                <w:rStyle w:val="13"/>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CellMar>
            <w:top w:w="0" w:type="dxa"/>
            <w:left w:w="0" w:type="dxa"/>
            <w:bottom w:w="0" w:type="dxa"/>
            <w:right w:w="0" w:type="dxa"/>
          </w:tblCellMar>
        </w:tblPrEx>
        <w:trPr>
          <w:trHeight w:val="288" w:hRule="atLeast"/>
        </w:trPr>
        <w:tc>
          <w:tcPr>
            <w:tcW w:w="5000" w:type="pct"/>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2.定性指标根据指标完成情况分为：达成预期指标、部分达成预期指标并具有一定效果、未达成预期指标且效果较差三档，分别按照该指标对应分值区间100-80%(含80%)、80-60%(含50%)、60-0%合理确定分值。</w:t>
            </w:r>
          </w:p>
        </w:tc>
      </w:tr>
      <w:tr>
        <w:tblPrEx>
          <w:tblCellMar>
            <w:top w:w="0" w:type="dxa"/>
            <w:left w:w="0" w:type="dxa"/>
            <w:bottom w:w="0" w:type="dxa"/>
            <w:right w:w="0" w:type="dxa"/>
          </w:tblCellMar>
        </w:tblPrEx>
        <w:trPr>
          <w:trHeight w:val="288" w:hRule="atLeast"/>
        </w:trPr>
        <w:tc>
          <w:tcPr>
            <w:tcW w:w="5000" w:type="pct"/>
            <w:gridSpan w:val="11"/>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3.定量指标若为正向指标（即指标值为</w:t>
            </w:r>
            <w:r>
              <w:rPr>
                <w:rStyle w:val="13"/>
                <w:lang w:val="en-US" w:eastAsia="zh-CN" w:bidi="ar"/>
              </w:rPr>
              <w:t>≥*），则得分计算方法应用全年实际值/年度指标值</w:t>
            </w:r>
            <w:r>
              <w:rPr>
                <w:rFonts w:hint="eastAsia" w:ascii="宋体" w:hAnsi="宋体" w:eastAsia="宋体" w:cs="宋体"/>
                <w:i w:val="0"/>
                <w:color w:val="000000"/>
                <w:kern w:val="0"/>
                <w:sz w:val="12"/>
                <w:szCs w:val="12"/>
                <w:u w:val="none"/>
                <w:lang w:val="en-US" w:eastAsia="zh-CN" w:bidi="ar"/>
              </w:rPr>
              <w:t>╳</w:t>
            </w:r>
            <w:r>
              <w:rPr>
                <w:rStyle w:val="13"/>
                <w:lang w:val="en-US" w:eastAsia="zh-CN" w:bidi="ar"/>
              </w:rPr>
              <w:t>该指标分值；若定量指标为反向指标（即指标值为≤*），则得分计算方法应用年度指标值/全年实际值</w:t>
            </w:r>
            <w:r>
              <w:rPr>
                <w:rFonts w:hint="eastAsia" w:ascii="宋体" w:hAnsi="宋体" w:eastAsia="宋体" w:cs="宋体"/>
                <w:i w:val="0"/>
                <w:color w:val="000000"/>
                <w:kern w:val="0"/>
                <w:sz w:val="12"/>
                <w:szCs w:val="12"/>
                <w:u w:val="none"/>
                <w:lang w:val="en-US" w:eastAsia="zh-CN" w:bidi="ar"/>
              </w:rPr>
              <w:t>╳</w:t>
            </w:r>
            <w:r>
              <w:rPr>
                <w:rStyle w:val="13"/>
                <w:lang w:val="en-US" w:eastAsia="zh-CN" w:bidi="ar"/>
              </w:rPr>
              <w:t>该指标分值；定量指标得分最高不得超过该指标分值上限。</w:t>
            </w:r>
            <w:r>
              <w:rPr>
                <w:rStyle w:val="13"/>
                <w:lang w:val="en-US" w:eastAsia="zh-CN" w:bidi="ar"/>
              </w:rPr>
              <w:br w:type="textWrapping"/>
            </w:r>
            <w:r>
              <w:rPr>
                <w:rStyle w:val="13"/>
                <w:lang w:val="en-US" w:eastAsia="zh-CN" w:bidi="ar"/>
              </w:rPr>
              <w:t xml:space="preserve">    4.评价得分说明：说明全年实际值与年度指标值偏离情况（未达、持平、超额）。</w:t>
            </w:r>
          </w:p>
        </w:tc>
      </w:tr>
    </w:tbl>
    <w:p>
      <w:pPr>
        <w:spacing w:line="600" w:lineRule="exact"/>
        <w:ind w:firstLine="600" w:firstLineChars="200"/>
        <w:rPr>
          <w:rFonts w:hint="eastAsia" w:ascii="黑体" w:hAnsi="黑体" w:eastAsia="黑体"/>
        </w:rPr>
        <w:sectPr>
          <w:pgSz w:w="16838" w:h="11906" w:orient="landscape"/>
          <w:pgMar w:top="1531" w:right="1928" w:bottom="1531" w:left="1701" w:header="737" w:footer="850" w:gutter="0"/>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hint="eastAsia" w:ascii="仿宋_GB2312"/>
          <w:sz w:val="32"/>
          <w:szCs w:val="32"/>
        </w:rPr>
      </w:pPr>
      <w:r>
        <w:rPr>
          <w:rFonts w:hint="eastAsia" w:ascii="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cs="仿宋_GB2312"/>
          <w:i w:val="0"/>
          <w:iCs w:val="0"/>
          <w:caps w:val="0"/>
          <w:color w:val="333333"/>
          <w:spacing w:val="0"/>
          <w:sz w:val="32"/>
          <w:szCs w:val="32"/>
          <w:shd w:val="clear" w:fill="FFFFFF"/>
          <w:lang w:eastAsia="zh-CN"/>
        </w:rPr>
        <w:t>县</w:t>
      </w:r>
      <w:r>
        <w:rPr>
          <w:rFonts w:hint="eastAsia" w:ascii="仿宋_GB2312" w:hAnsi="仿宋_GB2312" w:cs="仿宋_GB2312"/>
          <w:i w:val="0"/>
          <w:iCs w:val="0"/>
          <w:caps w:val="0"/>
          <w:color w:val="333333"/>
          <w:spacing w:val="0"/>
          <w:sz w:val="32"/>
          <w:szCs w:val="32"/>
          <w:shd w:val="clear" w:fill="FFFFFF"/>
          <w:lang w:val="en-US" w:eastAsia="zh-CN"/>
        </w:rPr>
        <w:t>招商服务中心</w:t>
      </w:r>
      <w:r>
        <w:rPr>
          <w:rFonts w:hint="eastAsia" w:ascii="仿宋_GB2312" w:hAnsi="仿宋_GB2312" w:eastAsia="仿宋_GB2312" w:cs="仿宋_GB2312"/>
          <w:i w:val="0"/>
          <w:iCs w:val="0"/>
          <w:caps w:val="0"/>
          <w:color w:val="333333"/>
          <w:spacing w:val="0"/>
          <w:sz w:val="32"/>
          <w:szCs w:val="32"/>
          <w:shd w:val="clear" w:fill="FFFFFF"/>
          <w:lang w:eastAsia="zh-CN"/>
        </w:rPr>
        <w:t>项目决策在</w:t>
      </w:r>
      <w:r>
        <w:rPr>
          <w:rFonts w:hint="eastAsia" w:ascii="仿宋_GB2312" w:hAnsi="仿宋_GB2312" w:eastAsia="仿宋_GB2312" w:cs="仿宋_GB2312"/>
          <w:i w:val="0"/>
          <w:iCs w:val="0"/>
          <w:caps w:val="0"/>
          <w:color w:val="333333"/>
          <w:spacing w:val="0"/>
          <w:sz w:val="32"/>
          <w:szCs w:val="32"/>
          <w:shd w:val="clear" w:fill="FFFFFF"/>
        </w:rPr>
        <w:t>科学的理论和方法指导下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进行细致深入调查和论证，作出科学决策</w:t>
      </w:r>
      <w:r>
        <w:rPr>
          <w:rFonts w:hint="eastAsia" w:ascii="仿宋_GB2312" w:hAnsi="仿宋_GB2312" w:eastAsia="仿宋_GB2312" w:cs="仿宋_GB2312"/>
          <w:i w:val="0"/>
          <w:iCs w:val="0"/>
          <w:caps w:val="0"/>
          <w:color w:val="333333"/>
          <w:spacing w:val="0"/>
          <w:sz w:val="32"/>
          <w:szCs w:val="32"/>
          <w:shd w:val="clear" w:fill="FFFFFF"/>
          <w:lang w:eastAsia="zh-CN"/>
        </w:rPr>
        <w:t>。</w:t>
      </w:r>
    </w:p>
    <w:p>
      <w:pPr>
        <w:spacing w:line="600" w:lineRule="exact"/>
        <w:ind w:firstLine="640" w:firstLineChars="200"/>
        <w:outlineLvl w:val="0"/>
        <w:rPr>
          <w:rFonts w:hint="eastAsia" w:ascii="仿宋_GB2312"/>
          <w:sz w:val="32"/>
          <w:szCs w:val="32"/>
        </w:rPr>
      </w:pPr>
      <w:r>
        <w:rPr>
          <w:rFonts w:hint="eastAsia" w:ascii="仿宋_GB2312"/>
          <w:sz w:val="32"/>
          <w:szCs w:val="32"/>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项目从年初开始，贯穿全年开展</w:t>
      </w:r>
      <w:r>
        <w:rPr>
          <w:rFonts w:hint="eastAsia" w:ascii="仿宋_GB2312"/>
          <w:sz w:val="32"/>
          <w:szCs w:val="32"/>
          <w:lang w:val="en-US" w:eastAsia="zh-CN"/>
        </w:rPr>
        <w:t>招商引资政策</w:t>
      </w:r>
      <w:r>
        <w:rPr>
          <w:rFonts w:hint="eastAsia" w:ascii="仿宋_GB2312"/>
          <w:sz w:val="32"/>
          <w:szCs w:val="32"/>
          <w:lang w:eastAsia="zh-CN"/>
        </w:rPr>
        <w:t>宣传、</w:t>
      </w:r>
      <w:r>
        <w:rPr>
          <w:rFonts w:hint="eastAsia" w:ascii="仿宋_GB2312"/>
          <w:sz w:val="32"/>
          <w:szCs w:val="32"/>
          <w:lang w:val="en-US" w:eastAsia="zh-CN"/>
        </w:rPr>
        <w:t>项目洽谈</w:t>
      </w:r>
      <w:r>
        <w:rPr>
          <w:rFonts w:hint="eastAsia" w:ascii="仿宋_GB2312"/>
          <w:sz w:val="32"/>
          <w:szCs w:val="32"/>
          <w:lang w:eastAsia="zh-CN"/>
        </w:rPr>
        <w:t>、</w:t>
      </w:r>
      <w:r>
        <w:rPr>
          <w:rFonts w:hint="eastAsia" w:ascii="仿宋_GB2312"/>
          <w:sz w:val="32"/>
          <w:szCs w:val="32"/>
          <w:lang w:val="en-US" w:eastAsia="zh-CN"/>
        </w:rPr>
        <w:t>项目落地</w:t>
      </w:r>
      <w:r>
        <w:rPr>
          <w:rFonts w:hint="eastAsia" w:ascii="仿宋_GB2312"/>
          <w:sz w:val="32"/>
          <w:szCs w:val="32"/>
          <w:lang w:eastAsia="zh-CN"/>
        </w:rPr>
        <w:t>。年未全面完成年初制定目标任务。</w:t>
      </w:r>
    </w:p>
    <w:p>
      <w:pPr>
        <w:spacing w:line="600" w:lineRule="exact"/>
        <w:ind w:firstLine="640" w:firstLineChars="200"/>
        <w:outlineLvl w:val="0"/>
        <w:rPr>
          <w:rFonts w:hint="eastAsia" w:ascii="仿宋_GB2312"/>
          <w:sz w:val="32"/>
          <w:szCs w:val="32"/>
        </w:rPr>
      </w:pPr>
      <w:r>
        <w:rPr>
          <w:rFonts w:hint="eastAsia" w:ascii="仿宋_GB2312"/>
          <w:sz w:val="32"/>
          <w:szCs w:val="32"/>
        </w:rPr>
        <w:t>（三）项目产出情况。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对促进我县经济发展、提升城市竞争力的影响程度，完成新引进项目单位资金</w:t>
      </w:r>
      <w:r>
        <w:rPr>
          <w:rFonts w:hint="eastAsia" w:ascii="仿宋_GB2312" w:hAnsi="仿宋_GB2312" w:cs="仿宋_GB2312"/>
          <w:i w:val="0"/>
          <w:iCs w:val="0"/>
          <w:color w:val="000000"/>
          <w:kern w:val="0"/>
          <w:sz w:val="32"/>
          <w:szCs w:val="32"/>
          <w:u w:val="none"/>
          <w:lang w:val="en-US" w:eastAsia="zh-CN" w:bidi="ar"/>
        </w:rPr>
        <w:t>，宣传推介凤台投资环境，扩大我县知名度和影响力。</w:t>
      </w:r>
    </w:p>
    <w:p>
      <w:pPr>
        <w:spacing w:line="600" w:lineRule="exact"/>
        <w:ind w:firstLine="640" w:firstLineChars="200"/>
        <w:outlineLvl w:val="0"/>
        <w:rPr>
          <w:rFonts w:hint="eastAsia" w:ascii="仿宋_GB2312"/>
          <w:sz w:val="32"/>
          <w:szCs w:val="32"/>
        </w:rPr>
      </w:pPr>
      <w:r>
        <w:rPr>
          <w:rFonts w:hint="eastAsia" w:ascii="仿宋_GB2312"/>
          <w:sz w:val="32"/>
          <w:szCs w:val="32"/>
        </w:rPr>
        <w:t>（四）项目效益情况。</w:t>
      </w:r>
    </w:p>
    <w:p>
      <w:pPr>
        <w:spacing w:line="600" w:lineRule="exact"/>
        <w:ind w:firstLine="640" w:firstLineChars="200"/>
        <w:outlineLvl w:val="0"/>
        <w:rPr>
          <w:rFonts w:hint="default"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sz w:val="32"/>
          <w:szCs w:val="32"/>
          <w:lang w:eastAsia="zh-CN"/>
        </w:rPr>
        <w:t>通过项目开展，</w:t>
      </w:r>
      <w:r>
        <w:rPr>
          <w:rFonts w:hint="eastAsia" w:ascii="仿宋_GB2312" w:hAnsi="仿宋_GB2312" w:cs="仿宋_GB2312"/>
          <w:sz w:val="32"/>
          <w:szCs w:val="32"/>
          <w:lang w:val="en-US" w:eastAsia="zh-CN"/>
        </w:rPr>
        <w:t>对我县重大项目落地，</w:t>
      </w:r>
      <w:r>
        <w:rPr>
          <w:rFonts w:hint="eastAsia" w:ascii="仿宋_GB2312" w:hAnsi="仿宋_GB2312" w:eastAsia="仿宋_GB2312" w:cs="仿宋_GB2312"/>
          <w:i w:val="0"/>
          <w:iCs w:val="0"/>
          <w:color w:val="000000"/>
          <w:kern w:val="0"/>
          <w:sz w:val="32"/>
          <w:szCs w:val="32"/>
          <w:u w:val="none"/>
          <w:lang w:val="en-US" w:eastAsia="zh-CN" w:bidi="ar"/>
        </w:rPr>
        <w:t>促进我县经济发展、提升城市竞争力</w:t>
      </w:r>
      <w:r>
        <w:rPr>
          <w:rFonts w:hint="eastAsia" w:ascii="仿宋_GB2312" w:hAnsi="仿宋_GB2312" w:cs="仿宋_GB2312"/>
          <w:i w:val="0"/>
          <w:iCs w:val="0"/>
          <w:color w:val="000000"/>
          <w:kern w:val="0"/>
          <w:sz w:val="32"/>
          <w:szCs w:val="32"/>
          <w:u w:val="none"/>
          <w:lang w:val="en-US" w:eastAsia="zh-CN" w:bidi="ar"/>
        </w:rPr>
        <w:t>。</w:t>
      </w:r>
    </w:p>
    <w:p>
      <w:pPr>
        <w:spacing w:line="600" w:lineRule="exact"/>
        <w:ind w:firstLine="600" w:firstLineChars="200"/>
        <w:outlineLvl w:val="0"/>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left="0" w:leftChars="0" w:firstLine="640" w:firstLineChars="200"/>
        <w:rPr>
          <w:rFonts w:hint="eastAsia" w:ascii="黑体" w:hAnsi="黑体" w:eastAsia="黑体"/>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eastAsia="zh-CN"/>
        </w:rPr>
        <w:t>凤台县</w:t>
      </w:r>
      <w:r>
        <w:rPr>
          <w:rFonts w:hint="eastAsia" w:ascii="仿宋_GB2312" w:hAnsi="仿宋_GB2312" w:cs="仿宋_GB2312"/>
          <w:b w:val="0"/>
          <w:bCs w:val="0"/>
          <w:sz w:val="32"/>
          <w:szCs w:val="32"/>
          <w:lang w:val="en-US" w:eastAsia="zh-CN"/>
        </w:rPr>
        <w:t>招商服务中心</w:t>
      </w:r>
    </w:p>
    <w:p>
      <w:pPr>
        <w:spacing w:line="600" w:lineRule="exact"/>
        <w:ind w:firstLine="640" w:firstLineChars="200"/>
        <w:jc w:val="right"/>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2022年8月15日</w:t>
      </w:r>
    </w:p>
    <w:sectPr>
      <w:pgSz w:w="11906" w:h="16838"/>
      <w:pgMar w:top="1928" w:right="1531" w:bottom="1701" w:left="153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2JlMzQ1MTA5ZGZlOTg4MGI0N2RmZjkzNDgxZDUifQ=="/>
  </w:docVars>
  <w:rsids>
    <w:rsidRoot w:val="55AE45D4"/>
    <w:rsid w:val="039E1AED"/>
    <w:rsid w:val="0A725E29"/>
    <w:rsid w:val="13162D47"/>
    <w:rsid w:val="237E3EE8"/>
    <w:rsid w:val="2A196F08"/>
    <w:rsid w:val="2A8F6FFB"/>
    <w:rsid w:val="30C15385"/>
    <w:rsid w:val="364D610A"/>
    <w:rsid w:val="36877830"/>
    <w:rsid w:val="3C0A3849"/>
    <w:rsid w:val="45042999"/>
    <w:rsid w:val="460F10A6"/>
    <w:rsid w:val="48D26B99"/>
    <w:rsid w:val="4B3E5819"/>
    <w:rsid w:val="4D5179FF"/>
    <w:rsid w:val="55AE45D4"/>
    <w:rsid w:val="69136792"/>
    <w:rsid w:val="7F1B4A79"/>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01"/>
    <w:basedOn w:val="5"/>
    <w:qFormat/>
    <w:uiPriority w:val="0"/>
    <w:rPr>
      <w:rFonts w:hint="eastAsia" w:ascii="宋体" w:hAnsi="宋体" w:eastAsia="宋体" w:cs="宋体"/>
      <w:b/>
      <w:bCs/>
      <w:color w:val="000000"/>
      <w:sz w:val="32"/>
      <w:szCs w:val="32"/>
      <w:u w:val="none"/>
    </w:rPr>
  </w:style>
  <w:style w:type="character" w:customStyle="1" w:styleId="7">
    <w:name w:val="font61"/>
    <w:basedOn w:val="5"/>
    <w:qFormat/>
    <w:uiPriority w:val="0"/>
    <w:rPr>
      <w:rFonts w:hint="eastAsia" w:ascii="宋体" w:hAnsi="宋体" w:eastAsia="宋体" w:cs="宋体"/>
      <w:color w:val="000000"/>
      <w:sz w:val="18"/>
      <w:szCs w:val="18"/>
      <w:u w:val="none"/>
    </w:rPr>
  </w:style>
  <w:style w:type="character" w:customStyle="1" w:styleId="8">
    <w:name w:val="font51"/>
    <w:basedOn w:val="5"/>
    <w:uiPriority w:val="0"/>
    <w:rPr>
      <w:rFonts w:hint="eastAsia" w:ascii="宋体" w:hAnsi="宋体" w:eastAsia="宋体" w:cs="宋体"/>
      <w:color w:val="000000"/>
      <w:sz w:val="32"/>
      <w:szCs w:val="32"/>
      <w:u w:val="none"/>
    </w:rPr>
  </w:style>
  <w:style w:type="character" w:customStyle="1" w:styleId="9">
    <w:name w:val="font122"/>
    <w:basedOn w:val="5"/>
    <w:qFormat/>
    <w:uiPriority w:val="0"/>
    <w:rPr>
      <w:rFonts w:hint="eastAsia" w:ascii="宋体" w:hAnsi="宋体" w:eastAsia="宋体" w:cs="宋体"/>
      <w:color w:val="000000"/>
      <w:sz w:val="20"/>
      <w:szCs w:val="20"/>
      <w:u w:val="none"/>
    </w:rPr>
  </w:style>
  <w:style w:type="character" w:customStyle="1" w:styleId="10">
    <w:name w:val="font131"/>
    <w:basedOn w:val="5"/>
    <w:qFormat/>
    <w:uiPriority w:val="0"/>
    <w:rPr>
      <w:rFonts w:hint="eastAsia" w:ascii="宋体" w:hAnsi="宋体" w:eastAsia="宋体" w:cs="宋体"/>
      <w:color w:val="000000"/>
      <w:sz w:val="18"/>
      <w:szCs w:val="18"/>
      <w:u w:val="none"/>
    </w:rPr>
  </w:style>
  <w:style w:type="character" w:customStyle="1" w:styleId="11">
    <w:name w:val="font111"/>
    <w:basedOn w:val="5"/>
    <w:qFormat/>
    <w:uiPriority w:val="0"/>
    <w:rPr>
      <w:rFonts w:hint="eastAsia" w:ascii="宋体" w:hAnsi="宋体" w:eastAsia="宋体" w:cs="宋体"/>
      <w:color w:val="000000"/>
      <w:sz w:val="12"/>
      <w:szCs w:val="12"/>
      <w:u w:val="none"/>
    </w:rPr>
  </w:style>
  <w:style w:type="character" w:customStyle="1" w:styleId="12">
    <w:name w:val="font91"/>
    <w:basedOn w:val="5"/>
    <w:uiPriority w:val="0"/>
    <w:rPr>
      <w:rFonts w:hint="eastAsia" w:ascii="宋体" w:hAnsi="宋体" w:eastAsia="宋体" w:cs="宋体"/>
      <w:color w:val="000000"/>
      <w:sz w:val="32"/>
      <w:szCs w:val="32"/>
      <w:u w:val="none"/>
    </w:rPr>
  </w:style>
  <w:style w:type="character" w:customStyle="1" w:styleId="13">
    <w:name w:val="font12"/>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3828</Words>
  <Characters>3929</Characters>
  <Lines>0</Lines>
  <Paragraphs>0</Paragraphs>
  <TotalTime>2</TotalTime>
  <ScaleCrop>false</ScaleCrop>
  <LinksUpToDate>false</LinksUpToDate>
  <CharactersWithSpaces>3967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阿竹</cp:lastModifiedBy>
  <dcterms:modified xsi:type="dcterms:W3CDTF">2022-08-22T10:15:43Z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0DF22E6707F4449F93F36103C85D3159</vt:lpwstr>
  </property>
</Properties>
</file>