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lang w:val="en-US" w:eastAsia="zh-CN"/>
        </w:rPr>
      </w:pPr>
      <w:r>
        <w:rPr>
          <w:rFonts w:hint="eastAsia" w:ascii="黑体" w:hAnsi="黑体" w:eastAsia="黑体"/>
          <w:lang w:val="en-US" w:eastAsia="zh-CN"/>
        </w:rPr>
        <w:t>附件5</w:t>
      </w:r>
    </w:p>
    <w:p>
      <w:pPr>
        <w:jc w:val="center"/>
        <w:rPr>
          <w:rFonts w:ascii="Arial" w:hAnsi="Arial" w:eastAsia="宋体" w:cs="Arial"/>
          <w:b/>
          <w:bCs/>
          <w:sz w:val="36"/>
          <w:szCs w:val="36"/>
        </w:rPr>
      </w:pPr>
      <w:r>
        <w:rPr>
          <w:rFonts w:hint="eastAsia" w:ascii="宋体" w:hAnsi="宋体" w:eastAsia="宋体" w:cs="Arial"/>
          <w:b/>
          <w:bCs/>
          <w:sz w:val="36"/>
          <w:szCs w:val="36"/>
          <w:lang w:eastAsia="zh-CN"/>
        </w:rPr>
        <w:t>凤台县</w:t>
      </w:r>
      <w:r>
        <w:rPr>
          <w:rFonts w:hint="eastAsia" w:ascii="宋体" w:hAnsi="宋体" w:eastAsia="宋体" w:cs="Arial"/>
          <w:b/>
          <w:bCs/>
          <w:sz w:val="36"/>
          <w:szCs w:val="36"/>
          <w:lang w:val="en-US" w:eastAsia="zh-CN"/>
        </w:rPr>
        <w:t>数据资源管理</w:t>
      </w:r>
      <w:r>
        <w:rPr>
          <w:rFonts w:hint="eastAsia" w:ascii="宋体" w:hAnsi="宋体" w:eastAsia="宋体" w:cs="Arial"/>
          <w:b/>
          <w:bCs/>
          <w:sz w:val="36"/>
          <w:szCs w:val="36"/>
          <w:lang w:eastAsia="zh-CN"/>
        </w:rPr>
        <w:t>局</w:t>
      </w:r>
      <w:r>
        <w:rPr>
          <w:rFonts w:hint="eastAsia" w:ascii="宋体" w:hAnsi="宋体" w:eastAsia="宋体" w:cs="Arial"/>
          <w:b/>
          <w:bCs/>
          <w:sz w:val="36"/>
          <w:szCs w:val="36"/>
        </w:rPr>
        <w:t>项目支出</w:t>
      </w:r>
      <w:r>
        <w:rPr>
          <w:rFonts w:ascii="宋体" w:hAnsi="宋体" w:eastAsia="宋体" w:cs="Arial"/>
          <w:b/>
          <w:bCs/>
          <w:sz w:val="36"/>
          <w:szCs w:val="36"/>
        </w:rPr>
        <w:t>绩效</w:t>
      </w:r>
      <w:r>
        <w:rPr>
          <w:rFonts w:hint="eastAsia" w:ascii="宋体" w:hAnsi="宋体" w:eastAsia="宋体" w:cs="Arial"/>
          <w:b/>
          <w:bCs/>
          <w:sz w:val="36"/>
          <w:szCs w:val="36"/>
        </w:rPr>
        <w:t>评价报告</w:t>
      </w:r>
    </w:p>
    <w:p>
      <w:pPr>
        <w:jc w:val="center"/>
        <w:rPr>
          <w:rFonts w:ascii="仿宋_GB2312"/>
          <w:szCs w:val="30"/>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窗口人员公务费</w:t>
      </w:r>
      <w:r>
        <w:rPr>
          <w:rFonts w:hint="eastAsia" w:ascii="楷体_GB2312" w:hAnsi="楷体_GB2312" w:eastAsia="楷体_GB2312" w:cs="楷体_GB2312"/>
          <w:sz w:val="32"/>
          <w:szCs w:val="32"/>
          <w:lang w:eastAsia="zh-CN"/>
        </w:rPr>
        <w:t>”项目。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sz w:val="32"/>
          <w:szCs w:val="32"/>
          <w:lang w:eastAsia="zh-CN"/>
        </w:rPr>
      </w:pPr>
      <w:r>
        <w:rPr>
          <w:rFonts w:hint="eastAsia" w:ascii="仿宋_GB2312"/>
          <w:sz w:val="32"/>
          <w:szCs w:val="32"/>
          <w:lang w:eastAsia="zh-CN"/>
        </w:rPr>
        <w:t>项目概述及内容：用于新政务服务中心日常办公费用支出，保障政务服务中心工作人员完成工作任务，为办事群众提供优质办事条件，保障各单位办公设备正常运行，为服务群众提供保障。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sz w:val="32"/>
          <w:szCs w:val="32"/>
          <w:lang w:eastAsia="zh-CN"/>
        </w:rPr>
      </w:pPr>
      <w:r>
        <w:rPr>
          <w:rFonts w:hint="eastAsia" w:ascii="仿宋_GB2312"/>
          <w:sz w:val="32"/>
          <w:szCs w:val="32"/>
          <w:lang w:val="en-US" w:eastAsia="zh-CN"/>
        </w:rPr>
        <w:t>立项依据：</w:t>
      </w:r>
      <w:bookmarkStart w:id="0" w:name="_GoBack"/>
      <w:bookmarkEnd w:id="0"/>
      <w:r>
        <w:rPr>
          <w:rFonts w:hint="eastAsia" w:ascii="仿宋_GB2312"/>
          <w:sz w:val="32"/>
          <w:szCs w:val="32"/>
          <w:lang w:val="en-US" w:eastAsia="zh-CN"/>
        </w:rPr>
        <w:t>《互联网＋政务服务＋快递战略合作协议》、《安徽州来律所法律顾问合同书》、《中国电信天翼领航网络无忧信息化服务合作协议》、《互联网专线业务租用合同》、《技术咨询服务合同》等。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sz w:val="32"/>
          <w:szCs w:val="32"/>
          <w:lang w:eastAsia="zh-CN"/>
        </w:rPr>
      </w:pPr>
      <w:r>
        <w:rPr>
          <w:rFonts w:hint="eastAsia" w:ascii="仿宋_GB2312"/>
          <w:sz w:val="32"/>
          <w:szCs w:val="32"/>
          <w:lang w:val="en-US" w:eastAsia="zh-CN"/>
        </w:rPr>
        <w:t>实施主体：凤台县数据资源管理局。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sz w:val="32"/>
          <w:szCs w:val="32"/>
          <w:lang w:eastAsia="zh-CN"/>
        </w:rPr>
      </w:pPr>
      <w:r>
        <w:rPr>
          <w:rFonts w:hint="eastAsia" w:ascii="仿宋_GB2312"/>
          <w:sz w:val="32"/>
          <w:szCs w:val="32"/>
          <w:lang w:val="en-US" w:eastAsia="zh-CN"/>
        </w:rPr>
        <w:t>起止时间：2021年1月至2021年12月。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sz w:val="32"/>
          <w:szCs w:val="32"/>
          <w:lang w:eastAsia="zh-CN"/>
        </w:rPr>
      </w:pPr>
      <w:r>
        <w:rPr>
          <w:rFonts w:hint="eastAsia" w:ascii="仿宋_GB2312"/>
          <w:sz w:val="32"/>
          <w:szCs w:val="32"/>
          <w:lang w:val="en-US" w:eastAsia="zh-CN"/>
        </w:rPr>
        <w:t>年度预算安排：一般公共预算安排88.2万元。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sz w:val="32"/>
          <w:szCs w:val="32"/>
        </w:rPr>
      </w:pPr>
      <w:r>
        <w:rPr>
          <w:rFonts w:hint="eastAsia" w:ascii="仿宋_GB2312"/>
          <w:sz w:val="32"/>
          <w:szCs w:val="32"/>
        </w:rPr>
        <w:t>项目绩效目标</w:t>
      </w:r>
      <w:r>
        <w:rPr>
          <w:rFonts w:hint="eastAsia" w:ascii="仿宋_GB2312"/>
          <w:sz w:val="32"/>
          <w:szCs w:val="32"/>
          <w:lang w:eastAsia="zh-CN"/>
        </w:rPr>
        <w:t>：新政务服务中心日常办公费用支出保障政务服务中心工作人员完成工作任务，为办事群众提供优质办事条件，保障单位办公设备正常运行，为服务群众提供保障。</w:t>
      </w:r>
    </w:p>
    <w:p>
      <w:pPr>
        <w:spacing w:line="600" w:lineRule="exact"/>
        <w:ind w:firstLine="600" w:firstLineChars="200"/>
        <w:rPr>
          <w:rFonts w:ascii="黑体" w:hAnsi="黑体" w:eastAsia="黑体"/>
        </w:rPr>
      </w:pPr>
      <w:r>
        <w:rPr>
          <w:rFonts w:hint="eastAsia" w:ascii="黑体" w:hAnsi="黑体" w:eastAsia="黑体"/>
        </w:rPr>
        <w:t>二、绩效评价工作开展情况</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（一）绩效评价目的、对象和范围。</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加强预算绩效管理，强化支出责任，建立科学、合理的财政支出绩效评价管理体系，提高财政资金使用效益。范围为财政预算单位。</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（二）绩效评价原则、评价指标体系（附表说明）、评价方法、评价标准等。</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绩效评价原则：科学公正。绩效评价应当运用科学合理的方法，按照规范的程序，对项目绩效进行客观、公正的反映。 统筹兼顾。单位自评应由项目单位自主实施，即“谁支出、谁自评”。部门评价和财政评价应在单位自评的基础上开展，必要时可委托第三方机构实施。  激励约束。绩效评价结果应与预算安排、政策调整、改进管理实质性挂钩，体现奖优罚劣和激励相容导向，有效要安排、低效要压减、无效要问责。  公开透明。绩效评价结果应依法依规公开，并自觉接受社会监督。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标准：绩效评价标准通常包括:计划标准，计划标准是指以预先制定的目标、计划、预算、定额等数据作为评价的标准。行业标准，行业标准是指参照国家公布的行业指标数据制定的评标准。历史标准，历史标准是指参照同类指标的历史数据制定的评价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绩效评价方法：绩效评价方法主要采用成本效益分析法、比较法、因素分析法、最低成本法、公众评判法等。</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（三）绩效评价工作过程。</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一是准备创段，成立项目评价领导小组，制定工作计划。二是评价工作执行阶段，</w:t>
      </w:r>
      <w:r>
        <w:rPr>
          <w:rFonts w:hint="eastAsia" w:ascii="仿宋_GB2312" w:hAnsi="仿宋_GB2312" w:eastAsia="仿宋_GB2312" w:cs="仿宋_GB2312"/>
          <w:sz w:val="32"/>
          <w:szCs w:val="32"/>
          <w:lang w:val="en-US" w:eastAsia="zh-CN"/>
        </w:rPr>
        <w:t xml:space="preserve"> 按照评价方案收集相关数据，开展问卷调查和调研，开展资金使用情况调查。三是评价报告撰写，根据前期调研，查看资料撰写评价报告。</w:t>
      </w: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ind w:firstLine="600" w:firstLineChars="200"/>
        <w:rPr>
          <w:rFonts w:hint="eastAsia" w:ascii="黑体" w:hAnsi="黑体" w:eastAsia="黑体"/>
        </w:rPr>
      </w:pPr>
    </w:p>
    <w:p>
      <w:pPr>
        <w:spacing w:line="600" w:lineRule="exact"/>
        <w:rPr>
          <w:rFonts w:hint="eastAsia" w:ascii="黑体" w:hAnsi="黑体" w:eastAsia="黑体"/>
        </w:rPr>
        <w:sectPr>
          <w:pgSz w:w="11906" w:h="16838"/>
          <w:pgMar w:top="1928" w:right="1531" w:bottom="1701" w:left="1531" w:header="737" w:footer="851" w:gutter="0"/>
          <w:cols w:space="720" w:num="1"/>
          <w:docGrid w:type="lines" w:linePitch="408" w:charSpace="0"/>
        </w:sectPr>
      </w:pPr>
    </w:p>
    <w:p>
      <w:pPr>
        <w:spacing w:line="600" w:lineRule="exact"/>
        <w:ind w:firstLine="600" w:firstLineChars="200"/>
        <w:rPr>
          <w:rFonts w:hint="eastAsia" w:ascii="黑体" w:hAnsi="黑体" w:eastAsia="黑体"/>
        </w:rPr>
      </w:pPr>
      <w:r>
        <w:rPr>
          <w:rFonts w:hint="eastAsia" w:ascii="黑体" w:hAnsi="黑体" w:eastAsia="黑体"/>
        </w:rPr>
        <w:t>三、综合评价情况及评价结论</w:t>
      </w:r>
    </w:p>
    <w:tbl>
      <w:tblPr>
        <w:tblStyle w:val="5"/>
        <w:tblW w:w="134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0"/>
        <w:gridCol w:w="964"/>
        <w:gridCol w:w="1132"/>
        <w:gridCol w:w="1335"/>
        <w:gridCol w:w="1335"/>
        <w:gridCol w:w="1335"/>
        <w:gridCol w:w="1020"/>
        <w:gridCol w:w="1112"/>
        <w:gridCol w:w="1112"/>
        <w:gridCol w:w="853"/>
        <w:gridCol w:w="983"/>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13425" w:type="dxa"/>
            <w:gridSpan w:val="12"/>
            <w:tcBorders>
              <w:top w:val="nil"/>
              <w:left w:val="nil"/>
              <w:bottom w:val="nil"/>
              <w:right w:val="nil"/>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Style w:val="8"/>
                <w:lang w:val="en-US" w:eastAsia="zh-CN" w:bidi="ar"/>
              </w:rPr>
              <w:t>项目支出绩效自评表</w:t>
            </w:r>
            <w:r>
              <w:rPr>
                <w:rStyle w:val="9"/>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3425" w:type="dxa"/>
            <w:gridSpan w:val="12"/>
            <w:tcBorders>
              <w:top w:val="nil"/>
              <w:left w:val="nil"/>
              <w:bottom w:val="single" w:color="000000" w:sz="4" w:space="0"/>
              <w:right w:val="nil"/>
            </w:tcBorders>
            <w:textDirection w:val="lrTb"/>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    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322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0199" w:type="dxa"/>
            <w:gridSpan w:val="9"/>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窗口人员公务费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3226"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5025" w:type="dxa"/>
            <w:gridSpan w:val="4"/>
            <w:tcBorders>
              <w:top w:val="single" w:color="000000" w:sz="4" w:space="0"/>
              <w:left w:val="single" w:color="000000" w:sz="4" w:space="0"/>
              <w:bottom w:val="single" w:color="000000" w:sz="4" w:space="0"/>
              <w:right w:val="single" w:color="000000" w:sz="4" w:space="0"/>
            </w:tcBorders>
            <w:textDirection w:val="lrTb"/>
            <w:vAlign w:val="center"/>
          </w:tcPr>
          <w:p>
            <w:pPr>
              <w:rPr>
                <w:rFonts w:hint="eastAsia" w:ascii="宋体" w:hAnsi="宋体" w:eastAsia="宋体" w:cs="宋体"/>
                <w:i w:val="0"/>
                <w:iCs w:val="0"/>
                <w:color w:val="000000"/>
                <w:sz w:val="20"/>
                <w:szCs w:val="20"/>
                <w:u w:val="none"/>
              </w:rPr>
            </w:pP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4062" w:type="dxa"/>
            <w:gridSpan w:val="4"/>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凤台县数据资源管理局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3226" w:type="dxa"/>
            <w:gridSpan w:val="3"/>
            <w:vMerge w:val="restart"/>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年初预算数</w:t>
            </w:r>
          </w:p>
        </w:tc>
        <w:tc>
          <w:tcPr>
            <w:tcW w:w="235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222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85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98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执行率（B/A)</w:t>
            </w:r>
          </w:p>
        </w:tc>
        <w:tc>
          <w:tcPr>
            <w:tcW w:w="111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3226" w:type="dxa"/>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88.2</w:t>
            </w:r>
          </w:p>
        </w:tc>
        <w:tc>
          <w:tcPr>
            <w:tcW w:w="235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88.2</w:t>
            </w:r>
          </w:p>
        </w:tc>
        <w:tc>
          <w:tcPr>
            <w:tcW w:w="222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88.2</w:t>
            </w:r>
          </w:p>
        </w:tc>
        <w:tc>
          <w:tcPr>
            <w:tcW w:w="85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8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1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3226" w:type="dxa"/>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 xml:space="preserve"> </w:t>
            </w:r>
            <w:r>
              <w:rPr>
                <w:rStyle w:val="11"/>
                <w:lang w:val="en-US" w:eastAsia="zh-CN" w:bidi="ar"/>
              </w:rPr>
              <w:t>其中：本年财政拨款</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88.2</w:t>
            </w:r>
          </w:p>
        </w:tc>
        <w:tc>
          <w:tcPr>
            <w:tcW w:w="235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88.2</w:t>
            </w:r>
          </w:p>
        </w:tc>
        <w:tc>
          <w:tcPr>
            <w:tcW w:w="222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88.2</w:t>
            </w:r>
          </w:p>
        </w:tc>
        <w:tc>
          <w:tcPr>
            <w:tcW w:w="85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8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1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3226" w:type="dxa"/>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上年结转资金</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rPr>
                <w:rFonts w:hint="eastAsia" w:ascii="宋体" w:hAnsi="宋体" w:eastAsia="宋体" w:cs="宋体"/>
                <w:i w:val="0"/>
                <w:iCs w:val="0"/>
                <w:color w:val="000000"/>
                <w:sz w:val="20"/>
                <w:szCs w:val="20"/>
                <w:u w:val="none"/>
              </w:rPr>
            </w:pPr>
          </w:p>
        </w:tc>
        <w:tc>
          <w:tcPr>
            <w:tcW w:w="235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c>
          <w:tcPr>
            <w:tcW w:w="222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c>
          <w:tcPr>
            <w:tcW w:w="85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83" w:type="dxa"/>
            <w:tcBorders>
              <w:top w:val="single" w:color="000000" w:sz="4" w:space="0"/>
              <w:left w:val="single" w:color="000000" w:sz="4" w:space="0"/>
              <w:bottom w:val="single" w:color="000000" w:sz="4" w:space="0"/>
              <w:right w:val="single" w:color="000000" w:sz="4" w:space="0"/>
            </w:tcBorders>
            <w:textDirection w:val="lrTb"/>
            <w:vAlign w:val="center"/>
          </w:tcPr>
          <w:p>
            <w:pPr>
              <w:jc w:val="left"/>
              <w:rPr>
                <w:rFonts w:hint="eastAsia" w:ascii="宋体" w:hAnsi="宋体" w:eastAsia="宋体" w:cs="宋体"/>
                <w:i w:val="0"/>
                <w:iCs w:val="0"/>
                <w:color w:val="000000"/>
                <w:sz w:val="20"/>
                <w:szCs w:val="20"/>
                <w:u w:val="none"/>
              </w:rPr>
            </w:pPr>
          </w:p>
        </w:tc>
        <w:tc>
          <w:tcPr>
            <w:tcW w:w="111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3226" w:type="dxa"/>
            <w:gridSpan w:val="3"/>
            <w:vMerge w:val="continue"/>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0"/>
                <w:lang w:val="en-US" w:eastAsia="zh-CN" w:bidi="ar"/>
              </w:rPr>
              <w:t xml:space="preserve"> </w:t>
            </w:r>
            <w:r>
              <w:rPr>
                <w:rStyle w:val="11"/>
                <w:lang w:val="en-US" w:eastAsia="zh-CN" w:bidi="ar"/>
              </w:rPr>
              <w:t xml:space="preserve">  其他资金</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rPr>
                <w:rFonts w:hint="eastAsia" w:ascii="宋体" w:hAnsi="宋体" w:eastAsia="宋体" w:cs="宋体"/>
                <w:i w:val="0"/>
                <w:iCs w:val="0"/>
                <w:color w:val="000000"/>
                <w:sz w:val="20"/>
                <w:szCs w:val="20"/>
                <w:u w:val="none"/>
              </w:rPr>
            </w:pPr>
          </w:p>
        </w:tc>
        <w:tc>
          <w:tcPr>
            <w:tcW w:w="2355"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c>
          <w:tcPr>
            <w:tcW w:w="2224"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c>
          <w:tcPr>
            <w:tcW w:w="85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983" w:type="dxa"/>
            <w:tcBorders>
              <w:top w:val="single" w:color="000000" w:sz="4" w:space="0"/>
              <w:left w:val="single" w:color="000000" w:sz="4" w:space="0"/>
              <w:bottom w:val="single" w:color="000000" w:sz="4" w:space="0"/>
              <w:right w:val="single" w:color="000000" w:sz="4" w:space="0"/>
            </w:tcBorders>
            <w:textDirection w:val="lrTb"/>
            <w:vAlign w:val="center"/>
          </w:tcPr>
          <w:p>
            <w:pPr>
              <w:jc w:val="left"/>
              <w:rPr>
                <w:rFonts w:hint="eastAsia" w:ascii="宋体" w:hAnsi="宋体" w:eastAsia="宋体" w:cs="宋体"/>
                <w:i w:val="0"/>
                <w:iCs w:val="0"/>
                <w:color w:val="000000"/>
                <w:sz w:val="20"/>
                <w:szCs w:val="20"/>
                <w:u w:val="none"/>
              </w:rPr>
            </w:pPr>
          </w:p>
        </w:tc>
        <w:tc>
          <w:tcPr>
            <w:tcW w:w="111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1130" w:type="dxa"/>
            <w:vMerge w:val="restart"/>
            <w:tcBorders>
              <w:top w:val="single" w:color="000000" w:sz="4" w:space="0"/>
              <w:left w:val="single" w:color="000000" w:sz="4" w:space="0"/>
              <w:bottom w:val="nil"/>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年度总体目标完成情况</w:t>
            </w:r>
          </w:p>
        </w:tc>
        <w:tc>
          <w:tcPr>
            <w:tcW w:w="7121" w:type="dxa"/>
            <w:gridSpan w:val="6"/>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预期目标</w:t>
            </w:r>
          </w:p>
        </w:tc>
        <w:tc>
          <w:tcPr>
            <w:tcW w:w="5174" w:type="dxa"/>
            <w:gridSpan w:val="5"/>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40" w:hRule="atLeast"/>
        </w:trPr>
        <w:tc>
          <w:tcPr>
            <w:tcW w:w="1130" w:type="dxa"/>
            <w:vMerge w:val="continue"/>
            <w:tcBorders>
              <w:top w:val="single" w:color="000000" w:sz="4" w:space="0"/>
              <w:left w:val="single" w:color="000000" w:sz="4" w:space="0"/>
              <w:bottom w:val="nil"/>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c>
          <w:tcPr>
            <w:tcW w:w="7121" w:type="dxa"/>
            <w:gridSpan w:val="6"/>
            <w:tcBorders>
              <w:top w:val="single" w:color="000000" w:sz="4" w:space="0"/>
              <w:left w:val="single" w:color="000000" w:sz="4" w:space="0"/>
              <w:bottom w:val="single" w:color="000000" w:sz="4" w:space="0"/>
              <w:right w:val="single" w:color="000000" w:sz="4" w:space="0"/>
            </w:tcBorders>
            <w:textDirection w:val="lrTb"/>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目标1：负责新政务服务中心日常办公费用支出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目标2：保障政务服务中心工作人员完成工作任务，为办事群众提供优质办事条件，保障各单位办公设备正常运行，为服务群众提供保障。</w:t>
            </w:r>
          </w:p>
        </w:tc>
        <w:tc>
          <w:tcPr>
            <w:tcW w:w="5174" w:type="dxa"/>
            <w:gridSpan w:val="5"/>
            <w:tcBorders>
              <w:top w:val="single" w:color="000000" w:sz="4" w:space="0"/>
              <w:left w:val="single" w:color="000000" w:sz="4" w:space="0"/>
              <w:bottom w:val="single" w:color="000000" w:sz="4" w:space="0"/>
              <w:right w:val="single" w:color="000000" w:sz="4" w:space="0"/>
            </w:tcBorders>
            <w:textDirection w:val="lrTb"/>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保障了新政务服务中心日常办公费用支出；保障了政务服务中心工作人员完成工作任务，为办事群众提供优质办事条件及各单位办公设备正常运行，为服务群众提供保障。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trPr>
        <w:tc>
          <w:tcPr>
            <w:tcW w:w="1130"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年度绩效指标完成情况</w:t>
            </w:r>
          </w:p>
        </w:tc>
        <w:tc>
          <w:tcPr>
            <w:tcW w:w="96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13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4005"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0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实际完成值</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85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c>
          <w:tcPr>
            <w:tcW w:w="2097"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113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eastAsia="宋体" w:cs="宋体"/>
                <w:i w:val="0"/>
                <w:iCs w:val="0"/>
                <w:color w:val="000000"/>
                <w:sz w:val="20"/>
                <w:szCs w:val="20"/>
                <w:u w:val="none"/>
              </w:rPr>
            </w:pPr>
          </w:p>
        </w:tc>
        <w:tc>
          <w:tcPr>
            <w:tcW w:w="964"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(50分)</w:t>
            </w:r>
          </w:p>
        </w:tc>
        <w:tc>
          <w:tcPr>
            <w:tcW w:w="113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4005"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指标1：指标1：全年12个月保障日常开支</w:t>
            </w:r>
          </w:p>
        </w:tc>
        <w:tc>
          <w:tcPr>
            <w:tcW w:w="10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097"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13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c>
          <w:tcPr>
            <w:tcW w:w="1132"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4005"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指标1：人员公用经费支出严格按照相关制度规定执行</w:t>
            </w:r>
          </w:p>
        </w:tc>
        <w:tc>
          <w:tcPr>
            <w:tcW w:w="10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定性指标</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达成预期指标</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5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097"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13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c>
          <w:tcPr>
            <w:tcW w:w="1132"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c>
          <w:tcPr>
            <w:tcW w:w="4005"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指标2：满足各单位进驻人员工作需要，保障工作正常运转，为完成工作任务提供保障</w:t>
            </w:r>
          </w:p>
        </w:tc>
        <w:tc>
          <w:tcPr>
            <w:tcW w:w="10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定性指标</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达成预期指标</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5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097"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13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c>
          <w:tcPr>
            <w:tcW w:w="113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4005"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指标1：经费支出时间</w:t>
            </w:r>
          </w:p>
        </w:tc>
        <w:tc>
          <w:tcPr>
            <w:tcW w:w="10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097"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13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c>
          <w:tcPr>
            <w:tcW w:w="113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4005"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指标1：每月人员公用经费</w:t>
            </w:r>
          </w:p>
        </w:tc>
        <w:tc>
          <w:tcPr>
            <w:tcW w:w="10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097"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13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eastAsia="宋体" w:cs="宋体"/>
                <w:i w:val="0"/>
                <w:iCs w:val="0"/>
                <w:color w:val="000000"/>
                <w:sz w:val="20"/>
                <w:szCs w:val="20"/>
                <w:u w:val="none"/>
              </w:rPr>
            </w:pPr>
          </w:p>
        </w:tc>
        <w:tc>
          <w:tcPr>
            <w:tcW w:w="964"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(30分)</w:t>
            </w:r>
          </w:p>
        </w:tc>
        <w:tc>
          <w:tcPr>
            <w:tcW w:w="113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4005"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指标1：人员的公用经费支出为机关各单位进驻政务服务中心工作的正常运转提供保障</w:t>
            </w:r>
          </w:p>
        </w:tc>
        <w:tc>
          <w:tcPr>
            <w:tcW w:w="10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定性指标</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达成预期指标</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097"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13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c>
          <w:tcPr>
            <w:tcW w:w="113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4005"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指标1：为群众在政务服务中心办事提供方便，为企业办事提供基本保障</w:t>
            </w:r>
          </w:p>
        </w:tc>
        <w:tc>
          <w:tcPr>
            <w:tcW w:w="10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定性指标</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达成预期指标</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097"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13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c>
          <w:tcPr>
            <w:tcW w:w="113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4005"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指标1：在窗口人员公务费支出中，提倡节约，切实保障绿水青山生态环境</w:t>
            </w:r>
          </w:p>
        </w:tc>
        <w:tc>
          <w:tcPr>
            <w:tcW w:w="10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定性指标</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达成预期指标</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097"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13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c>
          <w:tcPr>
            <w:tcW w:w="113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响指标</w:t>
            </w:r>
          </w:p>
        </w:tc>
        <w:tc>
          <w:tcPr>
            <w:tcW w:w="4005"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指标1：为全社会健康可持续发展提供保障</w:t>
            </w:r>
          </w:p>
        </w:tc>
        <w:tc>
          <w:tcPr>
            <w:tcW w:w="10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可持续发展</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达成预期指标</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097"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13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eastAsia="宋体" w:cs="宋体"/>
                <w:i w:val="0"/>
                <w:iCs w:val="0"/>
                <w:color w:val="000000"/>
                <w:sz w:val="20"/>
                <w:szCs w:val="20"/>
                <w:u w:val="none"/>
              </w:rPr>
            </w:pPr>
          </w:p>
        </w:tc>
        <w:tc>
          <w:tcPr>
            <w:tcW w:w="964"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(10分)</w:t>
            </w:r>
          </w:p>
        </w:tc>
        <w:tc>
          <w:tcPr>
            <w:tcW w:w="1132"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满意度指标</w:t>
            </w:r>
          </w:p>
        </w:tc>
        <w:tc>
          <w:tcPr>
            <w:tcW w:w="4005"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指标1：指标1：为各单位进驻人员提供保障，提高进驻人员办事效率，进一步提高服务对象满意度</w:t>
            </w:r>
          </w:p>
        </w:tc>
        <w:tc>
          <w:tcPr>
            <w:tcW w:w="10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097"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113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eastAsia="宋体" w:cs="宋体"/>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c>
          <w:tcPr>
            <w:tcW w:w="1132"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c>
          <w:tcPr>
            <w:tcW w:w="4005" w:type="dxa"/>
            <w:gridSpan w:val="3"/>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指标2：为群众提供办事条件及服务保障</w:t>
            </w:r>
          </w:p>
        </w:tc>
        <w:tc>
          <w:tcPr>
            <w:tcW w:w="102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097"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31" w:type="dxa"/>
            <w:gridSpan w:val="6"/>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color w:val="000000"/>
                <w:kern w:val="0"/>
                <w:sz w:val="20"/>
                <w:szCs w:val="20"/>
                <w:u w:val="none"/>
                <w:lang w:val="en-US" w:eastAsia="zh-CN" w:bidi="ar"/>
              </w:rPr>
              <w:t>总分</w:t>
            </w:r>
          </w:p>
        </w:tc>
        <w:tc>
          <w:tcPr>
            <w:tcW w:w="1020" w:type="dxa"/>
            <w:tcBorders>
              <w:top w:val="single" w:color="000000" w:sz="4" w:space="0"/>
              <w:left w:val="single" w:color="000000" w:sz="4" w:space="0"/>
              <w:bottom w:val="single" w:color="000000" w:sz="4" w:space="0"/>
              <w:right w:val="single" w:color="000000" w:sz="4" w:space="0"/>
            </w:tcBorders>
            <w:textDirection w:val="lrTb"/>
            <w:vAlign w:val="center"/>
          </w:tcPr>
          <w:p>
            <w:pPr>
              <w:rPr>
                <w:rFonts w:hint="eastAsia" w:ascii="宋体" w:hAnsi="宋体" w:eastAsia="宋体" w:cs="宋体"/>
                <w:i w:val="0"/>
                <w:iCs w:val="0"/>
                <w:color w:val="000000"/>
                <w:sz w:val="20"/>
                <w:szCs w:val="20"/>
                <w:u w:val="none"/>
              </w:rPr>
            </w:pP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rPr>
                <w:rFonts w:hint="eastAsia" w:ascii="宋体" w:hAnsi="宋体" w:eastAsia="宋体" w:cs="宋体"/>
                <w:i w:val="0"/>
                <w:iCs w:val="0"/>
                <w:color w:val="000000"/>
                <w:sz w:val="20"/>
                <w:szCs w:val="20"/>
                <w:u w:val="none"/>
              </w:rPr>
            </w:pPr>
          </w:p>
        </w:tc>
        <w:tc>
          <w:tcPr>
            <w:tcW w:w="111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c>
          <w:tcPr>
            <w:tcW w:w="85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c>
          <w:tcPr>
            <w:tcW w:w="2097" w:type="dxa"/>
            <w:gridSpan w:val="2"/>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9" w:hRule="atLeast"/>
        </w:trPr>
        <w:tc>
          <w:tcPr>
            <w:tcW w:w="13425" w:type="dxa"/>
            <w:gridSpan w:val="12"/>
            <w:tcBorders>
              <w:top w:val="single" w:color="000000" w:sz="4" w:space="0"/>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7"/>
                <w:lang w:val="en-US" w:eastAsia="zh-CN" w:bidi="ar"/>
              </w:rPr>
              <w:t>注：1</w:t>
            </w:r>
            <w:r>
              <w:rPr>
                <w:rFonts w:hint="eastAsia" w:ascii="宋体" w:hAnsi="宋体" w:eastAsia="宋体" w:cs="宋体"/>
                <w:i w:val="0"/>
                <w:iCs w:val="0"/>
                <w:color w:val="000000"/>
                <w:kern w:val="0"/>
                <w:sz w:val="18"/>
                <w:szCs w:val="18"/>
                <w:u w:val="none"/>
                <w:lang w:val="en-US" w:eastAsia="zh-CN" w:bidi="ar"/>
              </w:rPr>
              <w:t>.一级指标分值统一设置为：产出指标50分、效益指标30分、服务对象满意度指标10分、预算资金执行率10分。如有特殊情况，上述权重可做适当调整，但加总后应等于100分。各部门根据各项指标重要程度确定三级指标的分值。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3425" w:type="dxa"/>
            <w:gridSpan w:val="12"/>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0" w:hRule="atLeast"/>
        </w:trPr>
        <w:tc>
          <w:tcPr>
            <w:tcW w:w="13425" w:type="dxa"/>
            <w:gridSpan w:val="12"/>
            <w:tcBorders>
              <w:top w:val="nil"/>
              <w:left w:val="nil"/>
              <w:bottom w:val="nil"/>
              <w:right w:val="nil"/>
            </w:tcBorders>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3.定量指标若为正向指标（即指标值为≥*），则得分计算方法应用全年实际值/年度指标值</w:t>
            </w:r>
            <w:r>
              <w:rPr>
                <w:rFonts w:hint="eastAsia" w:ascii="宋体" w:hAnsi="宋体" w:eastAsia="宋体" w:cs="宋体"/>
                <w:i w:val="0"/>
                <w:iCs w:val="0"/>
                <w:color w:val="000000"/>
                <w:kern w:val="0"/>
                <w:sz w:val="12"/>
                <w:szCs w:val="12"/>
                <w:u w:val="none"/>
                <w:lang w:val="en-US" w:eastAsia="zh-CN" w:bidi="ar"/>
              </w:rPr>
              <w:t>╳</w:t>
            </w:r>
            <w:r>
              <w:rPr>
                <w:rFonts w:hint="eastAsia" w:ascii="宋体" w:hAnsi="宋体" w:eastAsia="宋体" w:cs="宋体"/>
                <w:i w:val="0"/>
                <w:iCs w:val="0"/>
                <w:color w:val="000000"/>
                <w:kern w:val="0"/>
                <w:sz w:val="18"/>
                <w:szCs w:val="18"/>
                <w:u w:val="none"/>
                <w:lang w:val="en-US" w:eastAsia="zh-CN" w:bidi="ar"/>
              </w:rPr>
              <w:t>该指标分值；若定量指标为反向指标（即指标值为≤*），则得分计算方法应用年度指标值/全年实际值</w:t>
            </w:r>
            <w:r>
              <w:rPr>
                <w:rFonts w:hint="eastAsia" w:ascii="宋体" w:hAnsi="宋体" w:eastAsia="宋体" w:cs="宋体"/>
                <w:i w:val="0"/>
                <w:iCs w:val="0"/>
                <w:color w:val="000000"/>
                <w:kern w:val="0"/>
                <w:sz w:val="12"/>
                <w:szCs w:val="12"/>
                <w:u w:val="none"/>
                <w:lang w:val="en-US" w:eastAsia="zh-CN" w:bidi="ar"/>
              </w:rPr>
              <w:t>╳</w:t>
            </w:r>
            <w:r>
              <w:rPr>
                <w:rFonts w:hint="eastAsia" w:ascii="宋体" w:hAnsi="宋体" w:eastAsia="宋体" w:cs="宋体"/>
                <w:i w:val="0"/>
                <w:iCs w:val="0"/>
                <w:color w:val="000000"/>
                <w:kern w:val="0"/>
                <w:sz w:val="18"/>
                <w:szCs w:val="18"/>
                <w:u w:val="none"/>
                <w:lang w:val="en-US" w:eastAsia="zh-CN" w:bidi="ar"/>
              </w:rPr>
              <w:t>该指标分值；定量指标得分最高不得超过该指标分值上限。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4.评价得分说明：说明全年实际值与年度指标值偏离情况（未达、持平、超额）。</w:t>
            </w:r>
          </w:p>
        </w:tc>
      </w:tr>
    </w:tbl>
    <w:p>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color w:val="000000"/>
          <w:sz w:val="32"/>
          <w:szCs w:val="32"/>
        </w:rPr>
      </w:pPr>
      <w:r>
        <w:rPr>
          <w:rFonts w:hint="eastAsia" w:ascii="仿宋_GB2312" w:hAnsi="Calibri" w:eastAsia="仿宋_GB2312" w:cs="仿宋_GB2312"/>
          <w:color w:val="000000"/>
          <w:kern w:val="0"/>
          <w:sz w:val="32"/>
          <w:szCs w:val="32"/>
          <w:lang w:val="en-US" w:eastAsia="zh-CN" w:bidi="ar"/>
        </w:rPr>
        <w:t xml:space="preserve"> </w:t>
      </w:r>
    </w:p>
    <w:p>
      <w:pPr>
        <w:spacing w:line="600" w:lineRule="exact"/>
        <w:ind w:firstLine="600" w:firstLineChars="200"/>
        <w:rPr>
          <w:rFonts w:hint="eastAsia" w:ascii="黑体" w:hAnsi="黑体" w:eastAsia="黑体"/>
        </w:rPr>
        <w:sectPr>
          <w:pgSz w:w="16838" w:h="11906" w:orient="landscape"/>
          <w:pgMar w:top="1531" w:right="1928" w:bottom="1531" w:left="1701" w:header="737" w:footer="850" w:gutter="0"/>
          <w:cols w:space="0" w:num="1"/>
          <w:rtlGutter w:val="0"/>
          <w:docGrid w:type="lines" w:linePitch="421" w:charSpace="0"/>
        </w:sectPr>
      </w:pPr>
    </w:p>
    <w:p>
      <w:pPr>
        <w:spacing w:line="600" w:lineRule="exact"/>
        <w:ind w:firstLine="600" w:firstLineChars="200"/>
        <w:rPr>
          <w:rFonts w:ascii="黑体" w:hAnsi="黑体" w:eastAsia="黑体"/>
        </w:rPr>
      </w:pPr>
      <w:r>
        <w:rPr>
          <w:rFonts w:hint="eastAsia" w:ascii="黑体" w:hAnsi="黑体" w:eastAsia="黑体"/>
        </w:rPr>
        <w:t>四、绩效评价指标分析</w:t>
      </w:r>
    </w:p>
    <w:p>
      <w:pPr>
        <w:spacing w:line="600" w:lineRule="exact"/>
        <w:ind w:firstLine="640" w:firstLineChars="200"/>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（一）项目决策情况。</w:t>
      </w:r>
    </w:p>
    <w:p>
      <w:pPr>
        <w:spacing w:line="600" w:lineRule="exact"/>
        <w:ind w:firstLine="640" w:firstLineChars="200"/>
        <w:outlineLvl w:val="0"/>
        <w:rPr>
          <w:rFonts w:hint="eastAsia" w:ascii="仿宋_GB2312"/>
          <w:sz w:val="32"/>
          <w:szCs w:val="32"/>
          <w:lang w:val="en-US" w:eastAsia="zh-CN"/>
        </w:rPr>
      </w:pPr>
      <w:r>
        <w:rPr>
          <w:rFonts w:hint="eastAsia" w:ascii="仿宋_GB2312"/>
          <w:sz w:val="32"/>
          <w:szCs w:val="32"/>
          <w:lang w:eastAsia="zh-CN"/>
        </w:rPr>
        <w:t>县</w:t>
      </w:r>
      <w:r>
        <w:rPr>
          <w:rFonts w:hint="eastAsia" w:ascii="仿宋_GB2312"/>
          <w:sz w:val="32"/>
          <w:szCs w:val="32"/>
          <w:lang w:val="en-US" w:eastAsia="zh-CN"/>
        </w:rPr>
        <w:t>数据资源管理局</w:t>
      </w:r>
      <w:r>
        <w:rPr>
          <w:rFonts w:hint="eastAsia" w:ascii="仿宋_GB2312"/>
          <w:sz w:val="32"/>
          <w:szCs w:val="32"/>
          <w:lang w:eastAsia="zh-CN"/>
        </w:rPr>
        <w:t>项目决策在科学的理论和方法指导下，进行细致深入调查和论证，作出科学决策。</w:t>
      </w:r>
    </w:p>
    <w:p>
      <w:pPr>
        <w:spacing w:line="600" w:lineRule="exact"/>
        <w:ind w:firstLine="640" w:firstLineChars="200"/>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（二）项目过程情况。</w:t>
      </w:r>
    </w:p>
    <w:p>
      <w:pPr>
        <w:spacing w:line="600" w:lineRule="exact"/>
        <w:ind w:firstLine="640" w:firstLineChars="200"/>
        <w:outlineLvl w:val="0"/>
        <w:rPr>
          <w:rFonts w:hint="eastAsia" w:ascii="仿宋_GB2312" w:eastAsia="仿宋_GB2312"/>
          <w:sz w:val="32"/>
          <w:szCs w:val="32"/>
          <w:lang w:eastAsia="zh-CN"/>
        </w:rPr>
      </w:pPr>
      <w:r>
        <w:rPr>
          <w:rFonts w:hint="eastAsia" w:ascii="仿宋_GB2312"/>
          <w:sz w:val="32"/>
          <w:szCs w:val="32"/>
          <w:lang w:eastAsia="zh-CN"/>
        </w:rPr>
        <w:t>项目从年初开始，贯穿全年开展</w:t>
      </w:r>
      <w:r>
        <w:rPr>
          <w:rFonts w:hint="eastAsia" w:ascii="仿宋_GB2312"/>
          <w:sz w:val="32"/>
          <w:szCs w:val="32"/>
          <w:lang w:val="en-US" w:eastAsia="zh-CN"/>
        </w:rPr>
        <w:t>日常办公工作需要</w:t>
      </w:r>
      <w:r>
        <w:rPr>
          <w:rFonts w:hint="eastAsia" w:ascii="仿宋_GB2312"/>
          <w:sz w:val="32"/>
          <w:szCs w:val="32"/>
          <w:lang w:eastAsia="zh-CN"/>
        </w:rPr>
        <w:t>。年未全面完成年初制定目标任务。</w:t>
      </w:r>
    </w:p>
    <w:p>
      <w:pPr>
        <w:spacing w:line="600" w:lineRule="exact"/>
        <w:ind w:firstLine="640" w:firstLineChars="200"/>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（三）项目产出情况。</w:t>
      </w:r>
    </w:p>
    <w:p>
      <w:pPr>
        <w:spacing w:line="600" w:lineRule="exact"/>
        <w:ind w:firstLine="640" w:firstLineChars="200"/>
        <w:outlineLvl w:val="0"/>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满足各单位进驻人员工作需要，保障工作正常运转，为完成工作任务提供保障</w:t>
      </w:r>
      <w:r>
        <w:rPr>
          <w:rFonts w:hint="eastAsia" w:ascii="仿宋_GB2312" w:hAnsi="仿宋_GB2312" w:cs="仿宋_GB2312"/>
          <w:i w:val="0"/>
          <w:iCs w:val="0"/>
          <w:color w:val="000000"/>
          <w:kern w:val="0"/>
          <w:sz w:val="32"/>
          <w:szCs w:val="32"/>
          <w:u w:val="none"/>
          <w:lang w:val="en-US" w:eastAsia="zh-CN" w:bidi="ar"/>
        </w:rPr>
        <w:t>，为群众在政务服务中心办事提供方便，为企业办事提供基本保障。</w:t>
      </w:r>
    </w:p>
    <w:p>
      <w:pPr>
        <w:spacing w:line="600" w:lineRule="exact"/>
        <w:ind w:firstLine="640" w:firstLineChars="200"/>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（四）项目效益情况。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sz w:val="32"/>
          <w:szCs w:val="32"/>
          <w:lang w:eastAsia="zh-CN"/>
        </w:rPr>
      </w:pPr>
      <w:r>
        <w:rPr>
          <w:rFonts w:hint="eastAsia" w:ascii="仿宋_GB2312" w:hAnsi="仿宋_GB2312" w:eastAsia="仿宋_GB2312" w:cs="仿宋_GB2312"/>
          <w:sz w:val="32"/>
          <w:szCs w:val="32"/>
          <w:lang w:eastAsia="zh-CN"/>
        </w:rPr>
        <w:t>通过项目开展，</w:t>
      </w:r>
      <w:r>
        <w:rPr>
          <w:rFonts w:hint="eastAsia" w:ascii="仿宋_GB2312"/>
          <w:sz w:val="32"/>
          <w:szCs w:val="32"/>
          <w:lang w:eastAsia="zh-CN"/>
        </w:rPr>
        <w:t>保障单位办公设备正常运行，保障政务服务中心工作人员完成工作任务，为办事群众提供优质办事条件，为服务群众提供保障。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rPr>
      </w:pPr>
      <w:r>
        <w:rPr>
          <w:rFonts w:hint="eastAsia" w:ascii="黑体" w:hAnsi="黑体" w:eastAsia="黑体"/>
        </w:rPr>
        <w:t>五、主要经验及做法、存在的问题及原因分析</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存在问题：</w:t>
      </w:r>
      <w:r>
        <w:rPr>
          <w:rFonts w:hint="eastAsia" w:ascii="仿宋_GB2312" w:hAnsi="仿宋_GB2312" w:cs="仿宋_GB2312"/>
          <w:sz w:val="32"/>
          <w:szCs w:val="32"/>
          <w:lang w:eastAsia="zh-CN"/>
        </w:rPr>
        <w:t>第一，</w:t>
      </w:r>
      <w:r>
        <w:rPr>
          <w:rFonts w:hint="eastAsia" w:ascii="仿宋_GB2312" w:hAnsi="仿宋_GB2312" w:eastAsia="仿宋_GB2312" w:cs="仿宋_GB2312"/>
          <w:sz w:val="32"/>
          <w:szCs w:val="32"/>
        </w:rPr>
        <w:t>绩效评价在目标设定上过于简单，对于绩效考核来讲，目标就是方向，如果在绩效考核目标设定上出现问题、或者是设计不合理势必要影响到绩效考核的全局。第二，绩效评价在指标设定上存在偏离的现象。绩效考核的指标设定要从单位实际出发，按照科学、合理、公正的标准进行设定方案。在当前绩效考核指标设定上，德能勤绩这种传统的固化思维模式依旧存在，不能紧紧围绕工作重点、偏离实际的现象依旧凸显。</w:t>
      </w:r>
      <w:r>
        <w:rPr>
          <w:rFonts w:hint="eastAsia" w:ascii="仿宋_GB2312" w:hAnsi="仿宋_GB2312" w:cs="仿宋_GB2312"/>
          <w:sz w:val="32"/>
          <w:szCs w:val="32"/>
          <w:lang w:eastAsia="zh-CN"/>
        </w:rPr>
        <w:t>第三，对项目支出绩效评价的内容上还有待于进一步完善。缺乏科学、完善的项目支出绩效评价会为机关、事业单位的绩效评价工作带来很大的弊端。</w:t>
      </w:r>
    </w:p>
    <w:p>
      <w:pPr>
        <w:spacing w:line="600" w:lineRule="exact"/>
        <w:ind w:firstLine="600" w:firstLineChars="200"/>
        <w:rPr>
          <w:rFonts w:hint="eastAsia" w:ascii="黑体" w:hAnsi="黑体" w:eastAsia="黑体"/>
        </w:rPr>
      </w:pPr>
      <w:r>
        <w:rPr>
          <w:rFonts w:hint="eastAsia" w:ascii="黑体" w:hAnsi="黑体" w:eastAsia="黑体"/>
        </w:rPr>
        <w:t>六、有关建议</w:t>
      </w:r>
    </w:p>
    <w:p>
      <w:p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绩效评价中首先要确定科学完善的评价原则。评价原则是公正、规范、合理进行绩效评价的准则，是整个绩效评价顺利进行的有效保证。在绩效评价过程中一定要树立科学完善的考核原则，本着公平公正的态度，真正实现绩效评价在推动激发人力资源潜力中的作用。确定科学完善的绩效评价原则，要制定明确的标准、选择合理的方法，尽最大限度让绩效评价结果与被考核人员在薪金、待遇、晋升、职业发展等方面实现高度匹配。</w:t>
      </w:r>
    </w:p>
    <w:p>
      <w:pPr>
        <w:spacing w:line="600" w:lineRule="exact"/>
        <w:ind w:left="0" w:leftChars="0" w:firstLine="640" w:firstLineChars="200"/>
        <w:rPr>
          <w:rFonts w:hint="eastAsia" w:ascii="仿宋_GB2312" w:hAnsi="仿宋_GB2312" w:cs="仿宋_GB2312"/>
          <w:sz w:val="32"/>
          <w:szCs w:val="32"/>
          <w:lang w:eastAsia="zh-CN"/>
        </w:rPr>
      </w:pPr>
      <w:r>
        <w:rPr>
          <w:rFonts w:hint="eastAsia" w:ascii="仿宋_GB2312" w:hAnsi="仿宋_GB2312" w:cs="仿宋_GB2312"/>
          <w:sz w:val="32"/>
          <w:szCs w:val="32"/>
          <w:lang w:eastAsia="zh-CN"/>
        </w:rPr>
        <w:t>第二，绩效评价方法上要注意适当性、可操作性。当绩效评价的原则和体系建立之后，接下来的环节就是采用评价方法进行操作。在评价方法上不要盲目照搬照抄国外所谓的最先进的绩效评价方法，要从本单位特点和实际出发来确定究竟是采用什么样的绩效评价方法。</w:t>
      </w:r>
    </w:p>
    <w:p>
      <w:pPr>
        <w:spacing w:line="600" w:lineRule="exact"/>
        <w:ind w:left="0" w:leftChars="0" w:firstLine="640" w:firstLineChars="200"/>
        <w:rPr>
          <w:rFonts w:hint="eastAsia" w:ascii="黑体" w:hAnsi="黑体" w:eastAsia="黑体"/>
        </w:rPr>
      </w:pPr>
      <w:r>
        <w:rPr>
          <w:rFonts w:hint="eastAsia" w:ascii="仿宋_GB2312" w:hAnsi="仿宋_GB2312" w:cs="仿宋_GB2312"/>
          <w:sz w:val="32"/>
          <w:szCs w:val="32"/>
          <w:lang w:eastAsia="zh-CN"/>
        </w:rPr>
        <w:t>第三，要加强对绩效评价实施主体的培训，最大限度少人为因素，保证评价的公正性。绩效评价的过程是否公正、评价结果是否公平，都与绩效评价实施主体的素质有着必然的联系;要想保证评价的有效性、实现评价有效执行，关键在于提高绩效评价实施主体的素质。要采取切实措施，加强对绩效评价主体的培训力度，端正其思想，坚定其原则、硬化其素质。通过采取培训的方式有效减少主观人为因素、提高掌握绩效评价的实效性，避免一些失误现象。</w:t>
      </w:r>
    </w:p>
    <w:p>
      <w:pPr>
        <w:spacing w:line="600" w:lineRule="exact"/>
        <w:ind w:firstLine="600" w:firstLineChars="200"/>
        <w:rPr>
          <w:rFonts w:hint="eastAsia" w:ascii="黑体" w:hAnsi="黑体" w:eastAsia="黑体"/>
        </w:rPr>
      </w:pPr>
      <w:r>
        <w:rPr>
          <w:rFonts w:hint="eastAsia" w:ascii="黑体" w:hAnsi="黑体" w:eastAsia="黑体"/>
        </w:rPr>
        <w:t>七、其他需要说明的问题</w:t>
      </w:r>
    </w:p>
    <w:p>
      <w:pPr>
        <w:spacing w:line="6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jc w:val="both"/>
        <w:rPr>
          <w:rFonts w:hint="eastAsia" w:ascii="仿宋_GB2312" w:hAnsi="仿宋_GB2312" w:cs="仿宋_GB2312"/>
          <w:b w:val="0"/>
          <w:bCs w:val="0"/>
          <w:sz w:val="32"/>
          <w:szCs w:val="32"/>
          <w:lang w:eastAsia="zh-CN"/>
        </w:rPr>
      </w:pPr>
    </w:p>
    <w:p>
      <w:pPr>
        <w:spacing w:line="600" w:lineRule="exact"/>
        <w:ind w:firstLine="640" w:firstLineChars="200"/>
        <w:jc w:val="both"/>
        <w:rPr>
          <w:rFonts w:hint="eastAsia" w:ascii="仿宋_GB2312" w:hAnsi="仿宋_GB2312" w:cs="仿宋_GB2312"/>
          <w:b w:val="0"/>
          <w:bCs w:val="0"/>
          <w:sz w:val="32"/>
          <w:szCs w:val="32"/>
          <w:lang w:eastAsia="zh-CN"/>
        </w:rPr>
      </w:pPr>
      <w:r>
        <w:rPr>
          <w:rFonts w:hint="eastAsia" w:ascii="仿宋_GB2312" w:hAnsi="仿宋_GB2312" w:cs="仿宋_GB2312"/>
          <w:b w:val="0"/>
          <w:bCs w:val="0"/>
          <w:sz w:val="32"/>
          <w:szCs w:val="32"/>
          <w:lang w:val="en-US" w:eastAsia="zh-CN"/>
        </w:rPr>
        <w:t xml:space="preserve">                           </w:t>
      </w:r>
      <w:r>
        <w:rPr>
          <w:rFonts w:hint="eastAsia" w:ascii="仿宋_GB2312" w:hAnsi="仿宋_GB2312" w:cs="仿宋_GB2312"/>
          <w:b w:val="0"/>
          <w:bCs w:val="0"/>
          <w:sz w:val="32"/>
          <w:szCs w:val="32"/>
          <w:lang w:eastAsia="zh-CN"/>
        </w:rPr>
        <w:t>凤台县</w:t>
      </w:r>
      <w:r>
        <w:rPr>
          <w:rFonts w:hint="eastAsia" w:ascii="仿宋_GB2312" w:hAnsi="仿宋_GB2312" w:cs="仿宋_GB2312"/>
          <w:b w:val="0"/>
          <w:bCs w:val="0"/>
          <w:sz w:val="32"/>
          <w:szCs w:val="32"/>
          <w:lang w:val="en-US" w:eastAsia="zh-CN"/>
        </w:rPr>
        <w:t>数据资源管理</w:t>
      </w:r>
      <w:r>
        <w:rPr>
          <w:rFonts w:hint="eastAsia" w:ascii="仿宋_GB2312" w:hAnsi="仿宋_GB2312" w:cs="仿宋_GB2312"/>
          <w:b w:val="0"/>
          <w:bCs w:val="0"/>
          <w:sz w:val="32"/>
          <w:szCs w:val="32"/>
          <w:lang w:eastAsia="zh-CN"/>
        </w:rPr>
        <w:t>局</w:t>
      </w:r>
    </w:p>
    <w:p>
      <w:pPr>
        <w:spacing w:line="600" w:lineRule="exact"/>
        <w:ind w:firstLine="640" w:firstLineChars="200"/>
        <w:jc w:val="center"/>
        <w:rPr>
          <w:rFonts w:hint="default"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 xml:space="preserve">                        2022年8月22日</w:t>
      </w: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rPr>
          <w:rFonts w:hint="eastAsia" w:ascii="仿宋_GB2312" w:hAnsi="仿宋_GB2312" w:eastAsia="仿宋_GB2312" w:cs="仿宋_GB2312"/>
          <w:b w:val="0"/>
          <w:bCs w:val="0"/>
          <w:sz w:val="32"/>
          <w:szCs w:val="32"/>
          <w:lang w:eastAsia="zh-CN"/>
        </w:rPr>
      </w:pPr>
    </w:p>
    <w:p>
      <w:pPr>
        <w:spacing w:line="600" w:lineRule="exact"/>
        <w:ind w:firstLine="640" w:firstLineChars="200"/>
        <w:jc w:val="right"/>
        <w:rPr>
          <w:rFonts w:hint="default" w:ascii="仿宋_GB2312" w:hAnsi="仿宋_GB2312" w:cs="仿宋_GB2312"/>
          <w:b w:val="0"/>
          <w:bCs w:val="0"/>
          <w:sz w:val="32"/>
          <w:szCs w:val="32"/>
          <w:lang w:val="en-US" w:eastAsia="zh-CN"/>
        </w:rPr>
      </w:pPr>
    </w:p>
    <w:sectPr>
      <w:pgSz w:w="11906" w:h="16838"/>
      <w:pgMar w:top="1928" w:right="1531" w:bottom="1701" w:left="1531" w:header="737" w:footer="850" w:gutter="0"/>
      <w:cols w:space="0" w:num="1"/>
      <w:rtlGutter w:val="0"/>
      <w:docGrid w:type="lines" w:linePitch="4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1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N2JlMzQ1MTA5ZGZlOTg4MGI0N2RmZjkzNDgxZDUifQ=="/>
  </w:docVars>
  <w:rsids>
    <w:rsidRoot w:val="55AE45D4"/>
    <w:rsid w:val="028349AE"/>
    <w:rsid w:val="19556B6F"/>
    <w:rsid w:val="216A2518"/>
    <w:rsid w:val="237E3EE8"/>
    <w:rsid w:val="2A196F08"/>
    <w:rsid w:val="2A8F6FFB"/>
    <w:rsid w:val="2C49023F"/>
    <w:rsid w:val="30C15385"/>
    <w:rsid w:val="36877830"/>
    <w:rsid w:val="37A5013C"/>
    <w:rsid w:val="3E541D7D"/>
    <w:rsid w:val="42AF5D2E"/>
    <w:rsid w:val="45042999"/>
    <w:rsid w:val="48D26B99"/>
    <w:rsid w:val="49D92909"/>
    <w:rsid w:val="4B3E5819"/>
    <w:rsid w:val="4D5179FF"/>
    <w:rsid w:val="4D586458"/>
    <w:rsid w:val="55AE45D4"/>
    <w:rsid w:val="5DB64655"/>
    <w:rsid w:val="61122C2B"/>
    <w:rsid w:val="637E62C9"/>
    <w:rsid w:val="69136792"/>
    <w:rsid w:val="6B4F3134"/>
    <w:rsid w:val="6D705807"/>
    <w:rsid w:val="6F4B79F6"/>
    <w:rsid w:val="72626BB0"/>
    <w:rsid w:val="78535722"/>
    <w:rsid w:val="7BC0061F"/>
    <w:rsid w:val="7F1B4A79"/>
    <w:rsid w:val="7F660482"/>
    <w:rsid w:val="7F7E4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101"/>
    <w:basedOn w:val="4"/>
    <w:qFormat/>
    <w:uiPriority w:val="0"/>
    <w:rPr>
      <w:rFonts w:hint="eastAsia" w:ascii="宋体" w:hAnsi="宋体" w:eastAsia="宋体" w:cs="宋体"/>
      <w:b/>
      <w:bCs/>
      <w:color w:val="000000"/>
      <w:sz w:val="32"/>
      <w:szCs w:val="32"/>
      <w:u w:val="none"/>
    </w:rPr>
  </w:style>
  <w:style w:type="character" w:customStyle="1" w:styleId="7">
    <w:name w:val="font61"/>
    <w:basedOn w:val="4"/>
    <w:qFormat/>
    <w:uiPriority w:val="0"/>
    <w:rPr>
      <w:rFonts w:hint="eastAsia" w:ascii="宋体" w:hAnsi="宋体" w:eastAsia="宋体" w:cs="宋体"/>
      <w:color w:val="000000"/>
      <w:sz w:val="18"/>
      <w:szCs w:val="18"/>
      <w:u w:val="none"/>
    </w:rPr>
  </w:style>
  <w:style w:type="character" w:customStyle="1" w:styleId="8">
    <w:name w:val="font11"/>
    <w:basedOn w:val="4"/>
    <w:qFormat/>
    <w:uiPriority w:val="0"/>
    <w:rPr>
      <w:rFonts w:hint="eastAsia" w:ascii="宋体" w:hAnsi="宋体" w:eastAsia="宋体" w:cs="宋体"/>
      <w:b/>
      <w:color w:val="000000"/>
      <w:sz w:val="32"/>
      <w:szCs w:val="32"/>
      <w:u w:val="none"/>
    </w:rPr>
  </w:style>
  <w:style w:type="character" w:customStyle="1" w:styleId="9">
    <w:name w:val="font91"/>
    <w:basedOn w:val="4"/>
    <w:qFormat/>
    <w:uiPriority w:val="0"/>
    <w:rPr>
      <w:rFonts w:hint="eastAsia" w:ascii="宋体" w:hAnsi="宋体" w:eastAsia="宋体" w:cs="宋体"/>
      <w:color w:val="000000"/>
      <w:sz w:val="32"/>
      <w:szCs w:val="32"/>
      <w:u w:val="none"/>
    </w:rPr>
  </w:style>
  <w:style w:type="character" w:customStyle="1" w:styleId="10">
    <w:name w:val="font31"/>
    <w:basedOn w:val="4"/>
    <w:qFormat/>
    <w:uiPriority w:val="0"/>
    <w:rPr>
      <w:rFonts w:hint="eastAsia" w:ascii="宋体" w:hAnsi="宋体" w:eastAsia="宋体" w:cs="宋体"/>
      <w:color w:val="000000"/>
      <w:sz w:val="20"/>
      <w:szCs w:val="20"/>
      <w:u w:val="none"/>
    </w:rPr>
  </w:style>
  <w:style w:type="character" w:customStyle="1" w:styleId="11">
    <w:name w:val="font01"/>
    <w:basedOn w:val="4"/>
    <w:qFormat/>
    <w:uiPriority w:val="0"/>
    <w:rPr>
      <w:rFonts w:hint="eastAsia" w:ascii="宋体" w:hAnsi="宋体" w:eastAsia="宋体" w:cs="宋体"/>
      <w:color w:val="000000"/>
      <w:sz w:val="20"/>
      <w:szCs w:val="20"/>
      <w:u w:val="none"/>
    </w:rPr>
  </w:style>
  <w:style w:type="character" w:customStyle="1" w:styleId="12">
    <w:name w:val="font81"/>
    <w:basedOn w:val="4"/>
    <w:qFormat/>
    <w:uiPriority w:val="0"/>
    <w:rPr>
      <w:rFonts w:hint="eastAsia" w:ascii="宋体" w:hAnsi="宋体" w:eastAsia="宋体" w:cs="宋体"/>
      <w:color w:val="000000"/>
      <w:sz w:val="18"/>
      <w:szCs w:val="18"/>
      <w:u w:val="none"/>
    </w:rPr>
  </w:style>
  <w:style w:type="character" w:customStyle="1" w:styleId="13">
    <w:name w:val="font71"/>
    <w:basedOn w:val="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3828</Words>
  <Characters>3929</Characters>
  <Lines>0</Lines>
  <Paragraphs>0</Paragraphs>
  <ScaleCrop>false</ScaleCrop>
  <LinksUpToDate>false</LinksUpToDate>
  <CharactersWithSpaces>3967</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2021-12-24T08:18:00Z</dcterms:created>
  <dc:creator>胡继猛</dc:creator>
  <cp:lastModifiedBy>11</cp:lastModifiedBy>
  <dcterms:modified xsi:type="dcterms:W3CDTF">2022-08-24T07:14:19Z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y fmtid="{D5CDD505-2E9C-101B-9397-08002B2CF9AE}" pid="3" name="ICV">
    <vt:lpwstr>0DF22E6707F4449F93F36103C85D3159</vt:lpwstr>
  </property>
</Properties>
</file>