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683" w:rsidRDefault="005F5E53" w:rsidP="005F5E53">
      <w:pPr>
        <w:jc w:val="center"/>
        <w:rPr>
          <w:rFonts w:ascii="微软雅黑" w:eastAsia="微软雅黑" w:hAnsi="微软雅黑" w:cs="Arial" w:hint="eastAsia"/>
          <w:color w:val="333333"/>
          <w:sz w:val="44"/>
          <w:szCs w:val="44"/>
        </w:rPr>
      </w:pPr>
      <w:r w:rsidRPr="005F5E53">
        <w:rPr>
          <w:rFonts w:ascii="微软雅黑" w:eastAsia="微软雅黑" w:hAnsi="微软雅黑" w:cs="Arial" w:hint="eastAsia"/>
          <w:color w:val="333333"/>
          <w:sz w:val="44"/>
          <w:szCs w:val="44"/>
        </w:rPr>
        <w:t>凤台县财政局关于2021年重点项目绩效评价工作报告</w:t>
      </w:r>
    </w:p>
    <w:p w:rsidR="005F5E53" w:rsidRDefault="005F5E53" w:rsidP="005F5E53">
      <w:pPr>
        <w:jc w:val="center"/>
        <w:rPr>
          <w:rFonts w:ascii="微软雅黑" w:eastAsia="微软雅黑" w:hAnsi="微软雅黑" w:cs="Arial" w:hint="eastAsia"/>
          <w:color w:val="333333"/>
          <w:sz w:val="44"/>
          <w:szCs w:val="44"/>
        </w:rPr>
      </w:pP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为进一步深化公共财政支出改革，规范财政专项资金管理，提高财政资金使用效益，安徽金海会计师事务所受我局委托组成重点项目绩效评价组，在凤台县组织部、凤台县统计局等单位的积极配合下，于2021年7月5日至8月12日对我局确定的村级服务场所等22个项目(评价2020年项目)进行了重点绩效评价。现将评价情况报告如下:</w:t>
      </w:r>
    </w:p>
    <w:p w:rsidR="005F5E53" w:rsidRPr="005F5E53" w:rsidRDefault="005F5E53" w:rsidP="005F5E53">
      <w:pPr>
        <w:widowControl/>
        <w:wordWrap w:val="0"/>
        <w:spacing w:line="480" w:lineRule="auto"/>
        <w:ind w:firstLineChars="200" w:firstLine="602"/>
        <w:rPr>
          <w:rFonts w:ascii="宋体" w:eastAsia="宋体" w:hAnsi="宋体" w:cs="宋体"/>
          <w:color w:val="333333"/>
          <w:kern w:val="0"/>
          <w:sz w:val="24"/>
          <w:szCs w:val="24"/>
        </w:rPr>
      </w:pPr>
      <w:r w:rsidRPr="005F5E53">
        <w:rPr>
          <w:rFonts w:ascii="仿宋" w:eastAsia="仿宋" w:hAnsi="仿宋" w:cs="宋体" w:hint="eastAsia"/>
          <w:b/>
          <w:bCs/>
          <w:color w:val="333333"/>
          <w:sz w:val="30"/>
          <w:szCs w:val="30"/>
        </w:rPr>
        <w:t>一、基本情况</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本次评价包含22个重点项目（不含2020年产粮大县奖励资金项目）。</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w:t>
      </w:r>
      <w:proofErr w:type="gramStart"/>
      <w:r w:rsidRPr="005F5E53">
        <w:rPr>
          <w:rFonts w:ascii="仿宋" w:eastAsia="仿宋" w:hAnsi="仿宋" w:cs="宋体" w:hint="eastAsia"/>
          <w:color w:val="333333"/>
          <w:sz w:val="30"/>
          <w:szCs w:val="30"/>
        </w:rPr>
        <w:t>一</w:t>
      </w:r>
      <w:proofErr w:type="gramEnd"/>
      <w:r w:rsidRPr="005F5E53">
        <w:rPr>
          <w:rFonts w:ascii="仿宋" w:eastAsia="仿宋" w:hAnsi="仿宋" w:cs="宋体" w:hint="eastAsia"/>
          <w:color w:val="333333"/>
          <w:sz w:val="30"/>
          <w:szCs w:val="30"/>
        </w:rPr>
        <w:t>)评价得分90分(含90分)以上有19个项目，分别为:</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1、凤台县统计局：第七次人口普查专项资金;</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2、凤台县组织部：村级活动场所建设资金;</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3、凤台县教育局：校车运营费;</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4、凤台县教育局:安保服务费;</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5、凤台县教育局：爱国主义读书活动等素质教育用书；</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6、凤台县教育局：薄弱学校能力提升；</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7、凤台县教育局：校舍维修；</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8、凤台县农业农村局：农机购置补贴；</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lastRenderedPageBreak/>
        <w:t>9、凤台县交通局：凤台县临淮路二期建设工程资金——抗</w:t>
      </w:r>
      <w:proofErr w:type="gramStart"/>
      <w:r w:rsidRPr="005F5E53">
        <w:rPr>
          <w:rFonts w:ascii="仿宋" w:eastAsia="仿宋" w:hAnsi="仿宋" w:cs="宋体" w:hint="eastAsia"/>
          <w:color w:val="333333"/>
          <w:sz w:val="30"/>
          <w:szCs w:val="30"/>
        </w:rPr>
        <w:t>疫</w:t>
      </w:r>
      <w:proofErr w:type="gramEnd"/>
      <w:r w:rsidRPr="005F5E53">
        <w:rPr>
          <w:rFonts w:ascii="仿宋" w:eastAsia="仿宋" w:hAnsi="仿宋" w:cs="宋体" w:hint="eastAsia"/>
          <w:color w:val="333333"/>
          <w:sz w:val="30"/>
          <w:szCs w:val="30"/>
        </w:rPr>
        <w:t>特别国债；</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10、凤台县应急管理局、凤台县刘集镇人民政府、凤台县李冲乡人民政府：财政部下达2020年安徽等省（市）暴雨洪涝灾害救灾应急补助中央基建投资预算（拨款）--</w:t>
      </w:r>
      <w:proofErr w:type="gramStart"/>
      <w:r w:rsidRPr="005F5E53">
        <w:rPr>
          <w:rFonts w:ascii="仿宋" w:eastAsia="仿宋" w:hAnsi="仿宋" w:cs="宋体" w:hint="eastAsia"/>
          <w:color w:val="333333"/>
          <w:sz w:val="30"/>
          <w:szCs w:val="30"/>
        </w:rPr>
        <w:t>皖财建</w:t>
      </w:r>
      <w:proofErr w:type="gramEnd"/>
      <w:r w:rsidRPr="005F5E53">
        <w:rPr>
          <w:rFonts w:ascii="仿宋" w:eastAsia="仿宋" w:hAnsi="仿宋" w:cs="宋体" w:hint="eastAsia"/>
          <w:color w:val="333333"/>
          <w:sz w:val="30"/>
          <w:szCs w:val="30"/>
        </w:rPr>
        <w:t>【2020】1268号；</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11、凤台县重点工程建设服务中心：凤凰湖安置区供电线路工程项目——抗</w:t>
      </w:r>
      <w:proofErr w:type="gramStart"/>
      <w:r w:rsidRPr="005F5E53">
        <w:rPr>
          <w:rFonts w:ascii="仿宋" w:eastAsia="仿宋" w:hAnsi="仿宋" w:cs="宋体" w:hint="eastAsia"/>
          <w:color w:val="333333"/>
          <w:sz w:val="30"/>
          <w:szCs w:val="30"/>
        </w:rPr>
        <w:t>疫</w:t>
      </w:r>
      <w:proofErr w:type="gramEnd"/>
      <w:r w:rsidRPr="005F5E53">
        <w:rPr>
          <w:rFonts w:ascii="仿宋" w:eastAsia="仿宋" w:hAnsi="仿宋" w:cs="宋体" w:hint="eastAsia"/>
          <w:color w:val="333333"/>
          <w:sz w:val="30"/>
          <w:szCs w:val="30"/>
        </w:rPr>
        <w:t>特别国债；</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12、凤台县重点工程建设服务中心：凤台县凤凰湖新区南湖大道平交桥建设工程——抗</w:t>
      </w:r>
      <w:proofErr w:type="gramStart"/>
      <w:r w:rsidRPr="005F5E53">
        <w:rPr>
          <w:rFonts w:ascii="仿宋" w:eastAsia="仿宋" w:hAnsi="仿宋" w:cs="宋体" w:hint="eastAsia"/>
          <w:color w:val="333333"/>
          <w:sz w:val="30"/>
          <w:szCs w:val="30"/>
        </w:rPr>
        <w:t>疫</w:t>
      </w:r>
      <w:proofErr w:type="gramEnd"/>
      <w:r w:rsidRPr="005F5E53">
        <w:rPr>
          <w:rFonts w:ascii="仿宋" w:eastAsia="仿宋" w:hAnsi="仿宋" w:cs="宋体" w:hint="eastAsia"/>
          <w:color w:val="333333"/>
          <w:sz w:val="30"/>
          <w:szCs w:val="30"/>
        </w:rPr>
        <w:t>特别国债；</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13、凤台</w:t>
      </w:r>
      <w:proofErr w:type="gramStart"/>
      <w:r w:rsidRPr="005F5E53">
        <w:rPr>
          <w:rFonts w:ascii="仿宋" w:eastAsia="仿宋" w:hAnsi="仿宋" w:cs="宋体" w:hint="eastAsia"/>
          <w:color w:val="333333"/>
          <w:sz w:val="30"/>
          <w:szCs w:val="30"/>
        </w:rPr>
        <w:t>县就业</w:t>
      </w:r>
      <w:proofErr w:type="gramEnd"/>
      <w:r w:rsidRPr="005F5E53">
        <w:rPr>
          <w:rFonts w:ascii="仿宋" w:eastAsia="仿宋" w:hAnsi="仿宋" w:cs="宋体" w:hint="eastAsia"/>
          <w:color w:val="333333"/>
          <w:sz w:val="30"/>
          <w:szCs w:val="30"/>
        </w:rPr>
        <w:t>中心：改制企业协保内</w:t>
      </w:r>
      <w:proofErr w:type="gramStart"/>
      <w:r w:rsidRPr="005F5E53">
        <w:rPr>
          <w:rFonts w:ascii="仿宋" w:eastAsia="仿宋" w:hAnsi="仿宋" w:cs="宋体" w:hint="eastAsia"/>
          <w:color w:val="333333"/>
          <w:sz w:val="30"/>
          <w:szCs w:val="30"/>
        </w:rPr>
        <w:t>养人员</w:t>
      </w:r>
      <w:proofErr w:type="gramEnd"/>
      <w:r w:rsidRPr="005F5E53">
        <w:rPr>
          <w:rFonts w:ascii="仿宋" w:eastAsia="仿宋" w:hAnsi="仿宋" w:cs="宋体" w:hint="eastAsia"/>
          <w:color w:val="333333"/>
          <w:sz w:val="30"/>
          <w:szCs w:val="30"/>
        </w:rPr>
        <w:t>生活费；</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14、凤台县民政局：农村五保供养及护理补贴；</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15、凤台县民政局：农村低保；</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16、凤台县退役军人事务局：退役士兵灵活就业（自谋职业）及自主就业补助经费；</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17、凤台县农保中心：老字号群体生活补助；</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18、凤台县自然资源和规划局：创建森林城市土地流转费；</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19、凤台县住房和城乡建设局：凤台县老旧小区改造政府配套资金。</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(二)评价得分80-90分(含80分)有3个项目，分别为:</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1、凤台县水利局：农村基层防汛报预警体系建设；</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lastRenderedPageBreak/>
        <w:t>2、凤台县交通局：2020年车辆购置税收入补助地方资金预算（第一批）资金；</w:t>
      </w:r>
      <w:proofErr w:type="gramStart"/>
      <w:r w:rsidRPr="005F5E53">
        <w:rPr>
          <w:rFonts w:ascii="仿宋" w:eastAsia="仿宋" w:hAnsi="仿宋" w:cs="宋体" w:hint="eastAsia"/>
          <w:color w:val="333333"/>
          <w:sz w:val="30"/>
          <w:szCs w:val="30"/>
        </w:rPr>
        <w:t>皖财建</w:t>
      </w:r>
      <w:proofErr w:type="gramEnd"/>
      <w:r w:rsidRPr="005F5E53">
        <w:rPr>
          <w:rFonts w:ascii="仿宋" w:eastAsia="仿宋" w:hAnsi="仿宋" w:cs="宋体" w:hint="eastAsia"/>
          <w:color w:val="333333"/>
          <w:sz w:val="30"/>
          <w:szCs w:val="30"/>
        </w:rPr>
        <w:t>【2019】1398号；</w:t>
      </w:r>
    </w:p>
    <w:p w:rsidR="005F5E53" w:rsidRPr="005F5E53" w:rsidRDefault="005F5E53" w:rsidP="005F5E53">
      <w:pPr>
        <w:widowControl/>
        <w:wordWrap w:val="0"/>
        <w:spacing w:line="480" w:lineRule="auto"/>
        <w:ind w:firstLineChars="300" w:firstLine="9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3、凤台县城市管理行政执法局：城乡环卫一体化（生活垃圾治理）PPP项目费。</w:t>
      </w:r>
    </w:p>
    <w:p w:rsidR="005F5E53" w:rsidRPr="005F5E53" w:rsidRDefault="005F5E53" w:rsidP="005F5E53">
      <w:pPr>
        <w:widowControl/>
        <w:wordWrap w:val="0"/>
        <w:ind w:firstLineChars="200" w:firstLine="602"/>
        <w:rPr>
          <w:rFonts w:ascii="宋体" w:eastAsia="宋体" w:hAnsi="宋体" w:cs="宋体"/>
          <w:color w:val="333333"/>
          <w:kern w:val="0"/>
          <w:sz w:val="24"/>
          <w:szCs w:val="24"/>
        </w:rPr>
      </w:pPr>
      <w:r w:rsidRPr="005F5E53">
        <w:rPr>
          <w:rFonts w:ascii="仿宋" w:eastAsia="仿宋" w:hAnsi="仿宋" w:cs="宋体" w:hint="eastAsia"/>
          <w:b/>
          <w:bCs/>
          <w:color w:val="333333"/>
          <w:sz w:val="30"/>
          <w:szCs w:val="30"/>
        </w:rPr>
        <w:t>二、评价情况分析</w:t>
      </w:r>
    </w:p>
    <w:p w:rsidR="005F5E53" w:rsidRPr="005F5E53" w:rsidRDefault="005F5E53" w:rsidP="005F5E53">
      <w:pPr>
        <w:widowControl/>
        <w:wordWrap w:val="0"/>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本次评价工作得到了各评审单位和局内部股室的积极支持与配合，在评价过程中，各单位和部门在项目管理、项目控制、资金拨付的管理基本上都能满足文件的要求。因部分单位和部门对于绩效评价的思路和方法还不能准确的掌握，所以，从评价结果看还是会存在一些需要改进的共性问题：</w:t>
      </w:r>
    </w:p>
    <w:p w:rsidR="005F5E53" w:rsidRPr="005F5E53" w:rsidRDefault="005F5E53" w:rsidP="005F5E53">
      <w:pPr>
        <w:widowControl/>
        <w:wordWrap w:val="0"/>
        <w:spacing w:line="480" w:lineRule="auto"/>
        <w:ind w:firstLineChars="100" w:firstLine="300"/>
        <w:rPr>
          <w:rFonts w:ascii="宋体" w:eastAsia="宋体" w:hAnsi="宋体" w:cs="Arial"/>
          <w:color w:val="333333"/>
          <w:kern w:val="0"/>
          <w:sz w:val="24"/>
          <w:szCs w:val="24"/>
        </w:rPr>
      </w:pPr>
      <w:r w:rsidRPr="005F5E53">
        <w:rPr>
          <w:rFonts w:ascii="仿宋" w:eastAsia="仿宋" w:hAnsi="仿宋" w:cs="Arial" w:hint="eastAsia"/>
          <w:color w:val="333333"/>
          <w:sz w:val="30"/>
          <w:szCs w:val="30"/>
        </w:rPr>
        <w:t>（一）绩效目标设置及考核方面：</w:t>
      </w:r>
    </w:p>
    <w:p w:rsidR="005F5E53" w:rsidRPr="005F5E53" w:rsidRDefault="005F5E53" w:rsidP="005F5E53">
      <w:pPr>
        <w:widowControl/>
        <w:wordWrap w:val="0"/>
        <w:spacing w:line="480" w:lineRule="auto"/>
        <w:ind w:firstLineChars="200" w:firstLine="600"/>
        <w:rPr>
          <w:rFonts w:ascii="宋体" w:eastAsia="宋体" w:hAnsi="宋体" w:cs="宋体" w:hint="eastAsia"/>
          <w:color w:val="333333"/>
          <w:kern w:val="0"/>
          <w:sz w:val="24"/>
          <w:szCs w:val="24"/>
        </w:rPr>
      </w:pPr>
      <w:r w:rsidRPr="005F5E53">
        <w:rPr>
          <w:rFonts w:ascii="仿宋" w:eastAsia="仿宋" w:hAnsi="仿宋" w:cs="宋体" w:hint="eastAsia"/>
          <w:color w:val="333333"/>
          <w:sz w:val="30"/>
          <w:szCs w:val="30"/>
        </w:rPr>
        <w:t>部分单位仍存在绩效目标设置不够细化、明晰，导致在收集和提供绩效评价指标资料过程中，方向不明确、提供资料的相关性差。</w:t>
      </w:r>
    </w:p>
    <w:p w:rsidR="005F5E53" w:rsidRPr="005F5E53" w:rsidRDefault="005F5E53" w:rsidP="005F5E53">
      <w:pPr>
        <w:widowControl/>
        <w:wordWrap w:val="0"/>
        <w:spacing w:line="480" w:lineRule="auto"/>
        <w:ind w:firstLineChars="200" w:firstLine="560"/>
        <w:rPr>
          <w:rFonts w:ascii="宋体" w:eastAsia="宋体" w:hAnsi="宋体" w:cs="宋体"/>
          <w:color w:val="333333"/>
          <w:kern w:val="0"/>
          <w:sz w:val="24"/>
          <w:szCs w:val="24"/>
        </w:rPr>
      </w:pPr>
      <w:r w:rsidRPr="005F5E53">
        <w:rPr>
          <w:rFonts w:ascii="仿宋" w:eastAsia="仿宋" w:hAnsi="仿宋" w:cs="宋体" w:hint="eastAsia"/>
          <w:color w:val="000000"/>
          <w:sz w:val="28"/>
          <w:szCs w:val="28"/>
        </w:rPr>
        <w:t>建议完善项目绩效目标，应通过对项目效益目标的分析、分解，明确责任，为项目建设过程中相关政策的落实、资金的使用提供更有效的指导和保障。</w:t>
      </w:r>
    </w:p>
    <w:p w:rsidR="005F5E53" w:rsidRPr="005F5E53" w:rsidRDefault="005F5E53" w:rsidP="005F5E53">
      <w:pPr>
        <w:widowControl/>
        <w:wordWrap w:val="0"/>
        <w:spacing w:line="480" w:lineRule="auto"/>
        <w:ind w:firstLineChars="100" w:firstLine="3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（二）资金管理方面：</w:t>
      </w:r>
    </w:p>
    <w:p w:rsidR="005F5E53" w:rsidRPr="005F5E53" w:rsidRDefault="005F5E53" w:rsidP="005F5E53">
      <w:pPr>
        <w:widowControl/>
        <w:wordWrap w:val="0"/>
        <w:spacing w:line="480" w:lineRule="auto"/>
        <w:rPr>
          <w:rFonts w:ascii="宋体" w:eastAsia="宋体" w:hAnsi="宋体" w:cs="Arial"/>
          <w:color w:val="333333"/>
          <w:kern w:val="0"/>
          <w:sz w:val="24"/>
          <w:szCs w:val="24"/>
        </w:rPr>
      </w:pPr>
      <w:r w:rsidRPr="005F5E53">
        <w:rPr>
          <w:rFonts w:ascii="仿宋" w:eastAsia="仿宋" w:hAnsi="仿宋" w:cs="Arial" w:hint="eastAsia"/>
          <w:color w:val="333333"/>
          <w:sz w:val="30"/>
          <w:szCs w:val="30"/>
        </w:rPr>
        <w:t>1、未制定专项资金管理办法，或提供的专项资金管理办法规定与目前情况不符；未进行专账核算，项目资金有多方来源时，不能完整的反映。不便于对项目整体资金来源和使用情况的归集、核算、考核；建议项目单位由批复确定的建设单位对项目进行整</w:t>
      </w:r>
      <w:r w:rsidRPr="005F5E53">
        <w:rPr>
          <w:rFonts w:ascii="仿宋" w:eastAsia="仿宋" w:hAnsi="仿宋" w:cs="Arial" w:hint="eastAsia"/>
          <w:color w:val="333333"/>
          <w:sz w:val="30"/>
          <w:szCs w:val="30"/>
        </w:rPr>
        <w:lastRenderedPageBreak/>
        <w:t>体核算，包括：资金来源、成本归集、财务决算及结转固定资产，特别是下达到乡镇或村的资金部分。</w:t>
      </w:r>
    </w:p>
    <w:p w:rsidR="005F5E53" w:rsidRPr="005F5E53" w:rsidRDefault="005F5E53" w:rsidP="005F5E53">
      <w:pPr>
        <w:widowControl/>
        <w:wordWrap w:val="0"/>
        <w:spacing w:line="480" w:lineRule="auto"/>
        <w:ind w:firstLineChars="200" w:firstLine="600"/>
        <w:rPr>
          <w:rFonts w:ascii="宋体" w:eastAsia="宋体" w:hAnsi="宋体" w:cs="宋体" w:hint="eastAsia"/>
          <w:color w:val="333333"/>
          <w:kern w:val="0"/>
          <w:sz w:val="24"/>
          <w:szCs w:val="24"/>
        </w:rPr>
      </w:pPr>
      <w:r w:rsidRPr="005F5E53">
        <w:rPr>
          <w:rFonts w:ascii="仿宋" w:eastAsia="仿宋" w:hAnsi="仿宋" w:cs="宋体" w:hint="eastAsia"/>
          <w:color w:val="333333"/>
          <w:sz w:val="30"/>
          <w:szCs w:val="30"/>
        </w:rPr>
        <w:t>2、项目主管部门对下达到乡镇或村级的资金使用情况未完善履行监督管理的办法、未明确奖惩机制，往往会造成“令不行禁不止”的结果。</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333333"/>
          <w:sz w:val="30"/>
          <w:szCs w:val="30"/>
        </w:rPr>
        <w:t>3、部分项目存在预算申报资金比较大的问题，不利于</w:t>
      </w:r>
      <w:proofErr w:type="gramStart"/>
      <w:r w:rsidRPr="005F5E53">
        <w:rPr>
          <w:rFonts w:ascii="仿宋" w:eastAsia="仿宋" w:hAnsi="仿宋" w:cs="宋体" w:hint="eastAsia"/>
          <w:color w:val="333333"/>
          <w:sz w:val="30"/>
          <w:szCs w:val="30"/>
        </w:rPr>
        <w:t>县预算</w:t>
      </w:r>
      <w:proofErr w:type="gramEnd"/>
      <w:r w:rsidRPr="005F5E53">
        <w:rPr>
          <w:rFonts w:ascii="仿宋" w:eastAsia="仿宋" w:hAnsi="仿宋" w:cs="宋体" w:hint="eastAsia"/>
          <w:color w:val="333333"/>
          <w:sz w:val="30"/>
          <w:szCs w:val="30"/>
        </w:rPr>
        <w:t>资金的统筹管理。</w:t>
      </w:r>
    </w:p>
    <w:p w:rsidR="005F5E53" w:rsidRPr="005F5E53" w:rsidRDefault="005F5E53" w:rsidP="005F5E53">
      <w:pPr>
        <w:widowControl/>
        <w:wordWrap w:val="0"/>
        <w:spacing w:line="480" w:lineRule="auto"/>
        <w:ind w:firstLineChars="200" w:firstLine="600"/>
        <w:rPr>
          <w:rFonts w:ascii="宋体" w:eastAsia="宋体" w:hAnsi="宋体" w:cs="宋体"/>
          <w:color w:val="333333"/>
          <w:kern w:val="0"/>
          <w:sz w:val="24"/>
          <w:szCs w:val="24"/>
        </w:rPr>
      </w:pPr>
      <w:r w:rsidRPr="005F5E53">
        <w:rPr>
          <w:rFonts w:ascii="仿宋" w:eastAsia="仿宋" w:hAnsi="仿宋" w:cs="宋体" w:hint="eastAsia"/>
          <w:color w:val="000000"/>
          <w:sz w:val="30"/>
          <w:szCs w:val="30"/>
        </w:rPr>
        <w:t>建议项目单位应加强专项资金核算管理，制定专项资金财务管理制度，规范资金拨付程序，项目资金应设置专账核算。加强对项目资金使用的监督检查，避免专项资金违规使用，防止专项资金大量长时间结余在项目执行部门而影响专项资金的预算执行率。</w:t>
      </w:r>
    </w:p>
    <w:p w:rsidR="005F5E53" w:rsidRPr="005F5E53" w:rsidRDefault="005F5E53" w:rsidP="005F5E53">
      <w:pPr>
        <w:widowControl/>
        <w:wordWrap w:val="0"/>
        <w:spacing w:line="480" w:lineRule="auto"/>
        <w:ind w:firstLineChars="100" w:firstLine="300"/>
        <w:rPr>
          <w:rFonts w:ascii="宋体" w:eastAsia="宋体" w:hAnsi="宋体" w:cs="Arial"/>
          <w:color w:val="333333"/>
          <w:kern w:val="0"/>
          <w:sz w:val="24"/>
          <w:szCs w:val="24"/>
        </w:rPr>
      </w:pPr>
      <w:r w:rsidRPr="005F5E53">
        <w:rPr>
          <w:rFonts w:ascii="仿宋" w:eastAsia="仿宋" w:hAnsi="仿宋" w:cs="Arial" w:hint="eastAsia"/>
          <w:color w:val="333333"/>
          <w:sz w:val="30"/>
          <w:szCs w:val="30"/>
        </w:rPr>
        <w:t>（三）工程项目管理方面：</w:t>
      </w:r>
    </w:p>
    <w:p w:rsidR="005F5E53" w:rsidRPr="005F5E53" w:rsidRDefault="005F5E53" w:rsidP="005F5E53">
      <w:pPr>
        <w:widowControl/>
        <w:wordWrap w:val="0"/>
        <w:spacing w:line="480" w:lineRule="auto"/>
        <w:rPr>
          <w:rFonts w:ascii="宋体" w:eastAsia="宋体" w:hAnsi="宋体" w:cs="Arial" w:hint="eastAsia"/>
          <w:color w:val="333333"/>
          <w:kern w:val="0"/>
          <w:sz w:val="24"/>
          <w:szCs w:val="24"/>
        </w:rPr>
      </w:pPr>
      <w:r w:rsidRPr="005F5E53">
        <w:rPr>
          <w:rFonts w:ascii="仿宋" w:eastAsia="仿宋" w:hAnsi="仿宋" w:cs="Arial" w:hint="eastAsia"/>
          <w:color w:val="333333"/>
          <w:sz w:val="30"/>
          <w:szCs w:val="30"/>
        </w:rPr>
        <w:t>1、项目实施与项目立项批复不一致，未履行重新审批程序。</w:t>
      </w:r>
    </w:p>
    <w:p w:rsidR="005F5E53" w:rsidRPr="005F5E53" w:rsidRDefault="005F5E53" w:rsidP="005F5E53">
      <w:pPr>
        <w:widowControl/>
        <w:wordWrap w:val="0"/>
        <w:spacing w:line="480" w:lineRule="auto"/>
        <w:rPr>
          <w:rFonts w:ascii="宋体" w:eastAsia="宋体" w:hAnsi="宋体" w:cs="Arial" w:hint="eastAsia"/>
          <w:color w:val="333333"/>
          <w:kern w:val="0"/>
          <w:sz w:val="24"/>
          <w:szCs w:val="24"/>
        </w:rPr>
      </w:pPr>
      <w:r w:rsidRPr="005F5E53">
        <w:rPr>
          <w:rFonts w:ascii="仿宋" w:eastAsia="仿宋" w:hAnsi="仿宋" w:cs="Arial" w:hint="eastAsia"/>
          <w:color w:val="333333"/>
          <w:sz w:val="30"/>
          <w:szCs w:val="30"/>
        </w:rPr>
        <w:t>2、部分项目管理单位过程管理档案资料不规范。单位未明确档案管理的部门、人员、职责，导致项目竣工验收后不能提供过程管理档案资料。</w:t>
      </w:r>
    </w:p>
    <w:p w:rsidR="005F5E53" w:rsidRPr="005F5E53" w:rsidRDefault="005F5E53" w:rsidP="005F5E53">
      <w:pPr>
        <w:widowControl/>
        <w:wordWrap w:val="0"/>
        <w:spacing w:line="480" w:lineRule="auto"/>
        <w:rPr>
          <w:rFonts w:ascii="宋体" w:eastAsia="宋体" w:hAnsi="宋体" w:cs="Arial" w:hint="eastAsia"/>
          <w:color w:val="333333"/>
          <w:kern w:val="0"/>
          <w:sz w:val="24"/>
          <w:szCs w:val="24"/>
        </w:rPr>
      </w:pPr>
      <w:r w:rsidRPr="005F5E53">
        <w:rPr>
          <w:rFonts w:ascii="仿宋" w:eastAsia="仿宋" w:hAnsi="仿宋" w:cs="Arial" w:hint="eastAsia"/>
          <w:color w:val="333333"/>
          <w:sz w:val="30"/>
          <w:szCs w:val="30"/>
        </w:rPr>
        <w:t>3、基建项目竣工验收后，未进行财务竣工决算，未按规定程序结转固定资产。</w:t>
      </w:r>
    </w:p>
    <w:p w:rsidR="005F5E53" w:rsidRPr="005F5E53" w:rsidRDefault="005F5E53" w:rsidP="005F5E53">
      <w:pPr>
        <w:widowControl/>
        <w:wordWrap w:val="0"/>
        <w:ind w:firstLineChars="200" w:firstLine="600"/>
        <w:rPr>
          <w:rFonts w:ascii="宋体" w:eastAsia="宋体" w:hAnsi="宋体" w:cs="宋体" w:hint="eastAsia"/>
          <w:color w:val="333333"/>
          <w:kern w:val="0"/>
          <w:sz w:val="24"/>
          <w:szCs w:val="24"/>
        </w:rPr>
      </w:pPr>
      <w:r w:rsidRPr="005F5E53">
        <w:rPr>
          <w:rFonts w:ascii="仿宋" w:eastAsia="仿宋" w:hAnsi="仿宋" w:cs="宋体" w:hint="eastAsia"/>
          <w:color w:val="000000"/>
          <w:sz w:val="30"/>
          <w:szCs w:val="30"/>
        </w:rPr>
        <w:t>建议加强对项目实施的必要性和效果的了解，设置更合理可靠的目标，并据此进行收集和整理资料。</w:t>
      </w:r>
    </w:p>
    <w:p w:rsidR="005F5E53" w:rsidRPr="005F5E53" w:rsidRDefault="005F5E53" w:rsidP="005F5E53">
      <w:pPr>
        <w:widowControl/>
        <w:wordWrap w:val="0"/>
        <w:spacing w:line="480" w:lineRule="auto"/>
        <w:ind w:firstLineChars="100" w:firstLine="300"/>
        <w:rPr>
          <w:rFonts w:ascii="宋体" w:eastAsia="宋体" w:hAnsi="宋体" w:cs="Arial"/>
          <w:color w:val="333333"/>
          <w:kern w:val="0"/>
          <w:sz w:val="24"/>
          <w:szCs w:val="24"/>
        </w:rPr>
      </w:pPr>
      <w:r w:rsidRPr="005F5E53">
        <w:rPr>
          <w:rFonts w:ascii="仿宋" w:eastAsia="仿宋" w:hAnsi="仿宋" w:cs="Arial" w:hint="eastAsia"/>
          <w:color w:val="333333"/>
          <w:sz w:val="30"/>
          <w:szCs w:val="30"/>
        </w:rPr>
        <w:t>（四）城乡环卫一体化（生活垃圾治理）PPP项目管理</w:t>
      </w:r>
    </w:p>
    <w:p w:rsidR="005F5E53" w:rsidRPr="005F5E53" w:rsidRDefault="005F5E53" w:rsidP="005F5E53">
      <w:pPr>
        <w:widowControl/>
        <w:wordWrap w:val="0"/>
        <w:spacing w:line="480" w:lineRule="auto"/>
        <w:rPr>
          <w:rFonts w:ascii="宋体" w:eastAsia="宋体" w:hAnsi="宋体" w:cs="Arial" w:hint="eastAsia"/>
          <w:color w:val="333333"/>
          <w:kern w:val="0"/>
          <w:sz w:val="24"/>
          <w:szCs w:val="24"/>
        </w:rPr>
      </w:pPr>
      <w:r w:rsidRPr="005F5E53">
        <w:rPr>
          <w:rFonts w:ascii="仿宋" w:eastAsia="仿宋" w:hAnsi="仿宋" w:cs="Arial" w:hint="eastAsia"/>
          <w:color w:val="333333"/>
          <w:sz w:val="30"/>
          <w:szCs w:val="30"/>
        </w:rPr>
        <w:lastRenderedPageBreak/>
        <w:t>1、对城乡环卫一体化（生活垃圾治理）PPP项目单位-劲旅公司的监督管理力度不够，仅仅是根据“项目满意度的考核”结果来支付运营费用，而且还只是政府部门组织进行运营质量的月度考核。</w:t>
      </w:r>
    </w:p>
    <w:p w:rsidR="005F5E53" w:rsidRPr="005F5E53" w:rsidRDefault="005F5E53" w:rsidP="005F5E53">
      <w:pPr>
        <w:widowControl/>
        <w:wordWrap w:val="0"/>
        <w:spacing w:line="480" w:lineRule="auto"/>
        <w:rPr>
          <w:rFonts w:ascii="宋体" w:eastAsia="宋体" w:hAnsi="宋体" w:cs="Arial" w:hint="eastAsia"/>
          <w:color w:val="333333"/>
          <w:kern w:val="0"/>
          <w:sz w:val="24"/>
          <w:szCs w:val="24"/>
        </w:rPr>
      </w:pPr>
      <w:r w:rsidRPr="005F5E53">
        <w:rPr>
          <w:rFonts w:ascii="仿宋" w:eastAsia="仿宋" w:hAnsi="仿宋" w:cs="Arial" w:hint="eastAsia"/>
          <w:color w:val="333333"/>
          <w:sz w:val="30"/>
          <w:szCs w:val="30"/>
        </w:rPr>
        <w:t>2、对于劲旅公司项目运营情况的监督检查工作可以更深入一些、手段可以更多元化。诸如可以不定期通过公安部门的监控考核车辆洒扫、垃圾清运情况；可以设置投诉举报电话或</w:t>
      </w:r>
      <w:proofErr w:type="gramStart"/>
      <w:r w:rsidRPr="005F5E53">
        <w:rPr>
          <w:rFonts w:ascii="仿宋" w:eastAsia="仿宋" w:hAnsi="仿宋" w:cs="Arial" w:hint="eastAsia"/>
          <w:color w:val="333333"/>
          <w:sz w:val="30"/>
          <w:szCs w:val="30"/>
        </w:rPr>
        <w:t>微信公众号</w:t>
      </w:r>
      <w:proofErr w:type="gramEnd"/>
      <w:r w:rsidRPr="005F5E53">
        <w:rPr>
          <w:rFonts w:ascii="仿宋" w:eastAsia="仿宋" w:hAnsi="仿宋" w:cs="Arial" w:hint="eastAsia"/>
          <w:color w:val="333333"/>
          <w:sz w:val="30"/>
          <w:szCs w:val="30"/>
        </w:rPr>
        <w:t>等形式，引导公众参与监督工作等；或者引入第三方进行考核等。</w:t>
      </w:r>
    </w:p>
    <w:p w:rsidR="005F5E53" w:rsidRPr="005F5E53" w:rsidRDefault="005F5E53" w:rsidP="005F5E53">
      <w:pPr>
        <w:widowControl/>
        <w:wordWrap w:val="0"/>
        <w:spacing w:line="480" w:lineRule="auto"/>
        <w:rPr>
          <w:rFonts w:ascii="宋体" w:eastAsia="宋体" w:hAnsi="宋体" w:cs="Arial" w:hint="eastAsia"/>
          <w:color w:val="333333"/>
          <w:kern w:val="0"/>
          <w:sz w:val="24"/>
          <w:szCs w:val="24"/>
        </w:rPr>
      </w:pPr>
      <w:r w:rsidRPr="005F5E53">
        <w:rPr>
          <w:rFonts w:ascii="仿宋" w:eastAsia="仿宋" w:hAnsi="仿宋" w:cs="Arial" w:hint="eastAsia"/>
          <w:color w:val="333333"/>
          <w:sz w:val="30"/>
          <w:szCs w:val="30"/>
        </w:rPr>
        <w:t>3、对于劲旅公司项目资金使用情况的监督检查也开展了一些，但因合同中对于运营成本的确定、调价等约定不太明确，会出现履行困难情况。建议对这几年运营过程中出现的情况进行总结分析，结合周边市、县PPP项目成本确定、定价机制签订补充协议。</w:t>
      </w:r>
    </w:p>
    <w:p w:rsidR="005F5E53" w:rsidRPr="005F5E53" w:rsidRDefault="005F5E53" w:rsidP="005F5E53">
      <w:pPr>
        <w:widowControl/>
        <w:wordWrap w:val="0"/>
        <w:ind w:firstLineChars="200" w:firstLine="600"/>
        <w:rPr>
          <w:rFonts w:ascii="宋体" w:eastAsia="宋体" w:hAnsi="宋体" w:cs="宋体" w:hint="eastAsia"/>
          <w:color w:val="333333"/>
          <w:kern w:val="0"/>
          <w:sz w:val="24"/>
          <w:szCs w:val="24"/>
        </w:rPr>
      </w:pPr>
      <w:r w:rsidRPr="005F5E53">
        <w:rPr>
          <w:rFonts w:ascii="仿宋" w:eastAsia="仿宋" w:hAnsi="仿宋" w:cs="宋体" w:hint="eastAsia"/>
          <w:color w:val="000000"/>
          <w:sz w:val="30"/>
          <w:szCs w:val="30"/>
        </w:rPr>
        <w:t>三、个性问题详见项目绩效评价报告及打分表。</w:t>
      </w:r>
    </w:p>
    <w:p w:rsidR="005F5E53" w:rsidRDefault="005F5E53" w:rsidP="005F5E53">
      <w:pPr>
        <w:rPr>
          <w:rFonts w:ascii="仿宋" w:eastAsia="仿宋" w:hAnsi="仿宋" w:hint="eastAsia"/>
          <w:sz w:val="32"/>
          <w:szCs w:val="32"/>
        </w:rPr>
      </w:pPr>
    </w:p>
    <w:p w:rsidR="005F5E53" w:rsidRDefault="005F5E53" w:rsidP="005F5E53">
      <w:pPr>
        <w:rPr>
          <w:rFonts w:ascii="仿宋" w:eastAsia="仿宋" w:hAnsi="仿宋" w:hint="eastAsia"/>
          <w:sz w:val="32"/>
          <w:szCs w:val="32"/>
        </w:rPr>
      </w:pPr>
    </w:p>
    <w:p w:rsidR="005F5E53" w:rsidRDefault="005F5E53" w:rsidP="005F5E53">
      <w:pPr>
        <w:rPr>
          <w:rFonts w:ascii="仿宋" w:eastAsia="仿宋" w:hAnsi="仿宋" w:hint="eastAsia"/>
          <w:sz w:val="32"/>
          <w:szCs w:val="32"/>
        </w:rPr>
      </w:pPr>
    </w:p>
    <w:p w:rsidR="005F5E53" w:rsidRDefault="005F5E53" w:rsidP="005F5E53">
      <w:pPr>
        <w:rPr>
          <w:rFonts w:ascii="仿宋" w:eastAsia="仿宋" w:hAnsi="仿宋" w:hint="eastAsia"/>
          <w:sz w:val="32"/>
          <w:szCs w:val="32"/>
        </w:rPr>
      </w:pPr>
    </w:p>
    <w:p w:rsidR="005F5E53" w:rsidRDefault="005F5E53" w:rsidP="005F5E53">
      <w:pPr>
        <w:rPr>
          <w:rFonts w:ascii="仿宋" w:eastAsia="仿宋" w:hAnsi="仿宋" w:hint="eastAsia"/>
          <w:sz w:val="32"/>
          <w:szCs w:val="32"/>
        </w:rPr>
      </w:pPr>
    </w:p>
    <w:p w:rsidR="005F5E53" w:rsidRDefault="005F5E53" w:rsidP="005F5E53">
      <w:pPr>
        <w:rPr>
          <w:rFonts w:ascii="仿宋" w:eastAsia="仿宋" w:hAnsi="仿宋" w:hint="eastAsia"/>
          <w:sz w:val="32"/>
          <w:szCs w:val="32"/>
        </w:rPr>
      </w:pPr>
    </w:p>
    <w:p w:rsidR="005F5E53" w:rsidRDefault="005F5E53" w:rsidP="005F5E53">
      <w:pPr>
        <w:rPr>
          <w:rFonts w:ascii="仿宋" w:eastAsia="仿宋" w:hAnsi="仿宋" w:hint="eastAsia"/>
          <w:sz w:val="32"/>
          <w:szCs w:val="32"/>
        </w:rPr>
      </w:pPr>
    </w:p>
    <w:p w:rsidR="005F5E53" w:rsidRDefault="005F5E53" w:rsidP="005F5E53">
      <w:pPr>
        <w:rPr>
          <w:rFonts w:ascii="仿宋" w:eastAsia="仿宋" w:hAnsi="仿宋" w:hint="eastAsia"/>
          <w:sz w:val="32"/>
          <w:szCs w:val="32"/>
        </w:rPr>
      </w:pPr>
    </w:p>
    <w:p w:rsidR="005F5E53" w:rsidRDefault="005F5E53" w:rsidP="005F5E53">
      <w:pPr>
        <w:rPr>
          <w:rFonts w:ascii="仿宋" w:eastAsia="仿宋" w:hAnsi="仿宋" w:hint="eastAsia"/>
          <w:sz w:val="32"/>
          <w:szCs w:val="32"/>
        </w:rPr>
      </w:pPr>
    </w:p>
    <w:p w:rsidR="005F5E53" w:rsidRDefault="005F5E53" w:rsidP="005F5E53">
      <w:pPr>
        <w:rPr>
          <w:rFonts w:ascii="仿宋" w:eastAsia="仿宋" w:hAnsi="仿宋"/>
          <w:sz w:val="32"/>
          <w:szCs w:val="32"/>
        </w:rPr>
        <w:sectPr w:rsidR="005F5E53" w:rsidSect="00616683">
          <w:pgSz w:w="11906" w:h="16838"/>
          <w:pgMar w:top="1440" w:right="1800" w:bottom="1440" w:left="1800" w:header="851" w:footer="992" w:gutter="0"/>
          <w:cols w:space="425"/>
          <w:docGrid w:type="lines" w:linePitch="312"/>
        </w:sectPr>
      </w:pPr>
    </w:p>
    <w:tbl>
      <w:tblPr>
        <w:tblW w:w="14480" w:type="dxa"/>
        <w:tblInd w:w="93" w:type="dxa"/>
        <w:tblLook w:val="04A0"/>
      </w:tblPr>
      <w:tblGrid>
        <w:gridCol w:w="737"/>
        <w:gridCol w:w="1310"/>
        <w:gridCol w:w="2559"/>
        <w:gridCol w:w="5249"/>
        <w:gridCol w:w="1692"/>
        <w:gridCol w:w="1310"/>
        <w:gridCol w:w="1623"/>
      </w:tblGrid>
      <w:tr w:rsidR="005F5E53" w:rsidRPr="005F5E53" w:rsidTr="005F5E53">
        <w:trPr>
          <w:trHeight w:val="1279"/>
        </w:trPr>
        <w:tc>
          <w:tcPr>
            <w:tcW w:w="14480" w:type="dxa"/>
            <w:gridSpan w:val="7"/>
            <w:tcBorders>
              <w:top w:val="nil"/>
              <w:left w:val="nil"/>
              <w:bottom w:val="nil"/>
              <w:right w:val="nil"/>
            </w:tcBorders>
            <w:shd w:val="clear" w:color="auto" w:fill="auto"/>
            <w:noWrap/>
            <w:vAlign w:val="center"/>
            <w:hideMark/>
          </w:tcPr>
          <w:p w:rsidR="005F5E53" w:rsidRPr="005F5E53" w:rsidRDefault="005F5E53" w:rsidP="005F5E53">
            <w:pPr>
              <w:widowControl/>
              <w:jc w:val="center"/>
              <w:rPr>
                <w:rFonts w:ascii="黑体" w:eastAsia="黑体" w:hAnsi="黑体" w:cs="宋体"/>
                <w:color w:val="000000"/>
                <w:kern w:val="0"/>
                <w:sz w:val="40"/>
                <w:szCs w:val="40"/>
              </w:rPr>
            </w:pPr>
            <w:r w:rsidRPr="005F5E53">
              <w:rPr>
                <w:rFonts w:ascii="黑体" w:eastAsia="黑体" w:hAnsi="黑体" w:cs="宋体" w:hint="eastAsia"/>
                <w:color w:val="000000"/>
                <w:kern w:val="0"/>
                <w:sz w:val="40"/>
                <w:szCs w:val="40"/>
              </w:rPr>
              <w:lastRenderedPageBreak/>
              <w:t>2021年县级重点项目支出绩效评价项目表(评价2020年项目）</w:t>
            </w:r>
          </w:p>
        </w:tc>
      </w:tr>
      <w:tr w:rsidR="005F5E53" w:rsidRPr="005F5E53" w:rsidTr="005F5E53">
        <w:trPr>
          <w:trHeight w:val="600"/>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宋体" w:eastAsia="宋体" w:hAnsi="宋体" w:cs="宋体"/>
                <w:b/>
                <w:bCs/>
                <w:color w:val="000000"/>
                <w:kern w:val="0"/>
                <w:sz w:val="24"/>
                <w:szCs w:val="24"/>
              </w:rPr>
            </w:pPr>
            <w:r w:rsidRPr="005F5E53">
              <w:rPr>
                <w:rFonts w:ascii="宋体" w:eastAsia="宋体" w:hAnsi="宋体" w:cs="宋体" w:hint="eastAsia"/>
                <w:b/>
                <w:bCs/>
                <w:color w:val="000000"/>
                <w:kern w:val="0"/>
                <w:sz w:val="24"/>
                <w:szCs w:val="24"/>
              </w:rPr>
              <w:t>序号</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宋体" w:eastAsia="宋体" w:hAnsi="宋体" w:cs="宋体"/>
                <w:b/>
                <w:bCs/>
                <w:color w:val="000000"/>
                <w:kern w:val="0"/>
                <w:sz w:val="24"/>
                <w:szCs w:val="24"/>
              </w:rPr>
            </w:pPr>
            <w:r w:rsidRPr="005F5E53">
              <w:rPr>
                <w:rFonts w:ascii="宋体" w:eastAsia="宋体" w:hAnsi="宋体" w:cs="宋体" w:hint="eastAsia"/>
                <w:b/>
                <w:bCs/>
                <w:color w:val="000000"/>
                <w:kern w:val="0"/>
                <w:sz w:val="24"/>
                <w:szCs w:val="24"/>
              </w:rPr>
              <w:t xml:space="preserve">股室 </w:t>
            </w:r>
          </w:p>
        </w:tc>
        <w:tc>
          <w:tcPr>
            <w:tcW w:w="2559" w:type="dxa"/>
            <w:tcBorders>
              <w:top w:val="single" w:sz="4" w:space="0" w:color="auto"/>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宋体" w:eastAsia="宋体" w:hAnsi="宋体" w:cs="宋体"/>
                <w:b/>
                <w:bCs/>
                <w:color w:val="000000"/>
                <w:kern w:val="0"/>
                <w:sz w:val="24"/>
                <w:szCs w:val="24"/>
              </w:rPr>
            </w:pPr>
            <w:r w:rsidRPr="005F5E53">
              <w:rPr>
                <w:rFonts w:ascii="宋体" w:eastAsia="宋体" w:hAnsi="宋体" w:cs="宋体" w:hint="eastAsia"/>
                <w:b/>
                <w:bCs/>
                <w:color w:val="000000"/>
                <w:kern w:val="0"/>
                <w:sz w:val="24"/>
                <w:szCs w:val="24"/>
              </w:rPr>
              <w:t>单位名称</w:t>
            </w:r>
          </w:p>
        </w:tc>
        <w:tc>
          <w:tcPr>
            <w:tcW w:w="5249" w:type="dxa"/>
            <w:tcBorders>
              <w:top w:val="single" w:sz="4" w:space="0" w:color="auto"/>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宋体" w:eastAsia="宋体" w:hAnsi="宋体" w:cs="宋体"/>
                <w:b/>
                <w:bCs/>
                <w:color w:val="000000"/>
                <w:kern w:val="0"/>
                <w:sz w:val="24"/>
                <w:szCs w:val="24"/>
              </w:rPr>
            </w:pPr>
            <w:r w:rsidRPr="005F5E53">
              <w:rPr>
                <w:rFonts w:ascii="宋体" w:eastAsia="宋体" w:hAnsi="宋体" w:cs="宋体" w:hint="eastAsia"/>
                <w:b/>
                <w:bCs/>
                <w:color w:val="000000"/>
                <w:kern w:val="0"/>
                <w:sz w:val="24"/>
                <w:szCs w:val="24"/>
              </w:rPr>
              <w:t>项目名称</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宋体" w:eastAsia="宋体" w:hAnsi="宋体" w:cs="宋体"/>
                <w:b/>
                <w:bCs/>
                <w:color w:val="000000"/>
                <w:kern w:val="0"/>
                <w:sz w:val="24"/>
                <w:szCs w:val="24"/>
              </w:rPr>
            </w:pPr>
            <w:r w:rsidRPr="005F5E53">
              <w:rPr>
                <w:rFonts w:ascii="宋体" w:eastAsia="宋体" w:hAnsi="宋体" w:cs="宋体" w:hint="eastAsia"/>
                <w:b/>
                <w:bCs/>
                <w:color w:val="000000"/>
                <w:kern w:val="0"/>
                <w:sz w:val="24"/>
                <w:szCs w:val="24"/>
              </w:rPr>
              <w:t>金额(预算数)万元</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宋体" w:eastAsia="宋体" w:hAnsi="宋体" w:cs="宋体"/>
                <w:b/>
                <w:bCs/>
                <w:color w:val="000000"/>
                <w:kern w:val="0"/>
                <w:sz w:val="24"/>
                <w:szCs w:val="24"/>
              </w:rPr>
            </w:pPr>
            <w:r w:rsidRPr="005F5E53">
              <w:rPr>
                <w:rFonts w:ascii="宋体" w:eastAsia="宋体" w:hAnsi="宋体" w:cs="宋体" w:hint="eastAsia"/>
                <w:b/>
                <w:bCs/>
                <w:color w:val="000000"/>
                <w:kern w:val="0"/>
                <w:sz w:val="24"/>
                <w:szCs w:val="24"/>
              </w:rPr>
              <w:t>分数</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宋体" w:eastAsia="宋体" w:hAnsi="宋体" w:cs="宋体"/>
                <w:b/>
                <w:bCs/>
                <w:color w:val="000000"/>
                <w:kern w:val="0"/>
                <w:sz w:val="24"/>
                <w:szCs w:val="24"/>
              </w:rPr>
            </w:pPr>
            <w:r w:rsidRPr="005F5E53">
              <w:rPr>
                <w:rFonts w:ascii="宋体" w:eastAsia="宋体" w:hAnsi="宋体" w:cs="宋体" w:hint="eastAsia"/>
                <w:b/>
                <w:bCs/>
                <w:color w:val="000000"/>
                <w:kern w:val="0"/>
                <w:sz w:val="24"/>
                <w:szCs w:val="24"/>
              </w:rPr>
              <w:t>备    注</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proofErr w:type="gramStart"/>
            <w:r w:rsidRPr="005F5E53">
              <w:rPr>
                <w:rFonts w:ascii="等线" w:eastAsia="等线" w:hAnsi="宋体" w:cs="宋体" w:hint="eastAsia"/>
                <w:color w:val="000000"/>
                <w:kern w:val="0"/>
                <w:sz w:val="22"/>
              </w:rPr>
              <w:t>行财股</w:t>
            </w:r>
            <w:proofErr w:type="gramEnd"/>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统计局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第七次人口普查专项资金</w:t>
            </w:r>
          </w:p>
        </w:tc>
        <w:tc>
          <w:tcPr>
            <w:tcW w:w="1692"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600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95</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2</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proofErr w:type="gramStart"/>
            <w:r w:rsidRPr="005F5E53">
              <w:rPr>
                <w:rFonts w:ascii="等线" w:eastAsia="等线" w:hAnsi="宋体" w:cs="宋体" w:hint="eastAsia"/>
                <w:color w:val="000000"/>
                <w:kern w:val="0"/>
                <w:sz w:val="22"/>
              </w:rPr>
              <w:t>行财股</w:t>
            </w:r>
            <w:proofErr w:type="gramEnd"/>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组织部</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村级活动场所建设资金1000万（项目未完结）</w:t>
            </w:r>
          </w:p>
        </w:tc>
        <w:tc>
          <w:tcPr>
            <w:tcW w:w="1692"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1000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95.5</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3</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教科文股</w:t>
            </w:r>
          </w:p>
        </w:tc>
        <w:tc>
          <w:tcPr>
            <w:tcW w:w="2559"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教育局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校车运营费</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747.86</w:t>
            </w:r>
          </w:p>
        </w:tc>
        <w:tc>
          <w:tcPr>
            <w:tcW w:w="1310" w:type="dxa"/>
            <w:tcBorders>
              <w:top w:val="nil"/>
              <w:left w:val="nil"/>
              <w:bottom w:val="single" w:sz="4" w:space="0" w:color="auto"/>
              <w:right w:val="single" w:sz="4" w:space="0" w:color="auto"/>
            </w:tcBorders>
            <w:shd w:val="clear" w:color="000000" w:fill="FFFFFF"/>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95.74</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4</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教科文股</w:t>
            </w:r>
          </w:p>
        </w:tc>
        <w:tc>
          <w:tcPr>
            <w:tcW w:w="2559"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教育局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安保服务费</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615.26</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95.04</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5</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教科文股</w:t>
            </w:r>
          </w:p>
        </w:tc>
        <w:tc>
          <w:tcPr>
            <w:tcW w:w="2559"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教育局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爱国主义读书活动等素质教育用书</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714</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94.74</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6</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教科文股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教育局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薄弱学校能力提升</w:t>
            </w:r>
          </w:p>
        </w:tc>
        <w:tc>
          <w:tcPr>
            <w:tcW w:w="1692"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801</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91</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7</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教科文股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教育局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校舍维修</w:t>
            </w:r>
          </w:p>
        </w:tc>
        <w:tc>
          <w:tcPr>
            <w:tcW w:w="1692"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1483</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93</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8</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农业股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凤台县农业农村局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农机购置补贴</w:t>
            </w:r>
          </w:p>
        </w:tc>
        <w:tc>
          <w:tcPr>
            <w:tcW w:w="1692"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2043</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96</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农业股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凤台县水利局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农村基层防汛预报预警体系建设</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539</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88.5</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proofErr w:type="gramStart"/>
            <w:r w:rsidRPr="005F5E53">
              <w:rPr>
                <w:rFonts w:ascii="等线" w:eastAsia="等线" w:hAnsi="宋体" w:cs="宋体" w:hint="eastAsia"/>
                <w:color w:val="000000"/>
                <w:kern w:val="0"/>
                <w:sz w:val="22"/>
              </w:rPr>
              <w:t>经建股</w:t>
            </w:r>
            <w:proofErr w:type="gramEnd"/>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交通局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凤台县临淮路二期建设工程资金；[抗</w:t>
            </w:r>
            <w:proofErr w:type="gramStart"/>
            <w:r w:rsidRPr="005F5E53">
              <w:rPr>
                <w:rFonts w:ascii="等线" w:eastAsia="等线" w:hAnsi="宋体" w:cs="宋体" w:hint="eastAsia"/>
                <w:color w:val="000000"/>
                <w:kern w:val="0"/>
                <w:sz w:val="22"/>
              </w:rPr>
              <w:t>疫</w:t>
            </w:r>
            <w:proofErr w:type="gramEnd"/>
            <w:r w:rsidRPr="005F5E53">
              <w:rPr>
                <w:rFonts w:ascii="等线" w:eastAsia="等线" w:hAnsi="宋体" w:cs="宋体" w:hint="eastAsia"/>
                <w:color w:val="000000"/>
                <w:kern w:val="0"/>
                <w:sz w:val="22"/>
              </w:rPr>
              <w:t>特别国债]</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1500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92.5</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11</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proofErr w:type="gramStart"/>
            <w:r w:rsidRPr="005F5E53">
              <w:rPr>
                <w:rFonts w:ascii="等线" w:eastAsia="等线" w:hAnsi="宋体" w:cs="宋体" w:hint="eastAsia"/>
                <w:color w:val="000000"/>
                <w:kern w:val="0"/>
                <w:sz w:val="22"/>
              </w:rPr>
              <w:t>经建股</w:t>
            </w:r>
            <w:proofErr w:type="gramEnd"/>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应急局、李冲、刘集</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财政部下达2020年安徽等省（市）暴雨洪涝灾害救灾应急补助中央基建投资预算（拨款）-</w:t>
            </w:r>
            <w:proofErr w:type="gramStart"/>
            <w:r w:rsidRPr="005F5E53">
              <w:rPr>
                <w:rFonts w:ascii="等线" w:eastAsia="等线" w:hAnsi="宋体" w:cs="宋体" w:hint="eastAsia"/>
                <w:color w:val="000000"/>
                <w:kern w:val="0"/>
                <w:sz w:val="22"/>
              </w:rPr>
              <w:t>皖财建</w:t>
            </w:r>
            <w:proofErr w:type="gramEnd"/>
            <w:r w:rsidRPr="005F5E53">
              <w:rPr>
                <w:rFonts w:ascii="等线" w:eastAsia="等线" w:hAnsi="宋体" w:cs="宋体" w:hint="eastAsia"/>
                <w:color w:val="000000"/>
                <w:kern w:val="0"/>
                <w:sz w:val="22"/>
              </w:rPr>
              <w:t>[2020]1268号。</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700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92</w:t>
            </w:r>
          </w:p>
        </w:tc>
        <w:tc>
          <w:tcPr>
            <w:tcW w:w="1623" w:type="dxa"/>
            <w:tcBorders>
              <w:top w:val="nil"/>
              <w:left w:val="nil"/>
              <w:bottom w:val="single" w:sz="4" w:space="0" w:color="auto"/>
              <w:right w:val="single" w:sz="4" w:space="0" w:color="auto"/>
            </w:tcBorders>
            <w:shd w:val="clear" w:color="auto" w:fill="auto"/>
            <w:noWrap/>
            <w:vAlign w:val="bottom"/>
            <w:hideMark/>
          </w:tcPr>
          <w:p w:rsidR="005F5E53" w:rsidRPr="005F5E53" w:rsidRDefault="005F5E53" w:rsidP="005F5E53">
            <w:pPr>
              <w:widowControl/>
              <w:ind w:firstLineChars="100" w:firstLine="220"/>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lastRenderedPageBreak/>
              <w:t>12</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proofErr w:type="gramStart"/>
            <w:r w:rsidRPr="005F5E53">
              <w:rPr>
                <w:rFonts w:ascii="等线" w:eastAsia="等线" w:hAnsi="宋体" w:cs="宋体" w:hint="eastAsia"/>
                <w:color w:val="000000"/>
                <w:kern w:val="0"/>
                <w:sz w:val="22"/>
              </w:rPr>
              <w:t>经建股</w:t>
            </w:r>
            <w:proofErr w:type="gramEnd"/>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交通局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2020年车辆购置税收入补助地方资金预算（第一批）资金； </w:t>
            </w:r>
            <w:proofErr w:type="gramStart"/>
            <w:r w:rsidRPr="005F5E53">
              <w:rPr>
                <w:rFonts w:ascii="等线" w:eastAsia="等线" w:hAnsi="宋体" w:cs="宋体" w:hint="eastAsia"/>
                <w:color w:val="000000"/>
                <w:kern w:val="0"/>
                <w:sz w:val="22"/>
              </w:rPr>
              <w:t>皖财建</w:t>
            </w:r>
            <w:proofErr w:type="gramEnd"/>
            <w:r w:rsidRPr="005F5E53">
              <w:rPr>
                <w:rFonts w:ascii="等线" w:eastAsia="等线" w:hAnsi="宋体" w:cs="宋体" w:hint="eastAsia"/>
                <w:color w:val="000000"/>
                <w:kern w:val="0"/>
                <w:sz w:val="22"/>
              </w:rPr>
              <w:t>[2019]1398号</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886</w:t>
            </w:r>
          </w:p>
        </w:tc>
        <w:tc>
          <w:tcPr>
            <w:tcW w:w="1310" w:type="dxa"/>
            <w:tcBorders>
              <w:top w:val="nil"/>
              <w:left w:val="nil"/>
              <w:bottom w:val="single" w:sz="4" w:space="0" w:color="auto"/>
              <w:right w:val="single" w:sz="4" w:space="0" w:color="auto"/>
            </w:tcBorders>
            <w:shd w:val="clear" w:color="000000" w:fill="FFFFFF"/>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85.8</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13</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proofErr w:type="gramStart"/>
            <w:r w:rsidRPr="005F5E53">
              <w:rPr>
                <w:rFonts w:ascii="等线" w:eastAsia="等线" w:hAnsi="宋体" w:cs="宋体" w:hint="eastAsia"/>
                <w:color w:val="000000"/>
                <w:kern w:val="0"/>
                <w:sz w:val="22"/>
              </w:rPr>
              <w:t>经建股</w:t>
            </w:r>
            <w:proofErr w:type="gramEnd"/>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重点工程服务中心</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[抗</w:t>
            </w:r>
            <w:proofErr w:type="gramStart"/>
            <w:r w:rsidRPr="005F5E53">
              <w:rPr>
                <w:rFonts w:ascii="等线" w:eastAsia="等线" w:hAnsi="宋体" w:cs="宋体" w:hint="eastAsia"/>
                <w:color w:val="000000"/>
                <w:kern w:val="0"/>
                <w:sz w:val="22"/>
              </w:rPr>
              <w:t>疫</w:t>
            </w:r>
            <w:proofErr w:type="gramEnd"/>
            <w:r w:rsidRPr="005F5E53">
              <w:rPr>
                <w:rFonts w:ascii="等线" w:eastAsia="等线" w:hAnsi="宋体" w:cs="宋体" w:hint="eastAsia"/>
                <w:color w:val="000000"/>
                <w:kern w:val="0"/>
                <w:sz w:val="22"/>
              </w:rPr>
              <w:t>特别国债]凤凰湖安置区供电线路工程项目。</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1872</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90</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14</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proofErr w:type="gramStart"/>
            <w:r w:rsidRPr="005F5E53">
              <w:rPr>
                <w:rFonts w:ascii="等线" w:eastAsia="等线" w:hAnsi="宋体" w:cs="宋体" w:hint="eastAsia"/>
                <w:color w:val="000000"/>
                <w:kern w:val="0"/>
                <w:sz w:val="22"/>
              </w:rPr>
              <w:t>经建股</w:t>
            </w:r>
            <w:proofErr w:type="gramEnd"/>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重点工程服务中心</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凤台县凤凰湖新区南湖大道平交桥建设工程。[抗</w:t>
            </w:r>
            <w:proofErr w:type="gramStart"/>
            <w:r w:rsidRPr="005F5E53">
              <w:rPr>
                <w:rFonts w:ascii="等线" w:eastAsia="等线" w:hAnsi="宋体" w:cs="宋体" w:hint="eastAsia"/>
                <w:color w:val="000000"/>
                <w:kern w:val="0"/>
                <w:sz w:val="22"/>
              </w:rPr>
              <w:t>疫</w:t>
            </w:r>
            <w:proofErr w:type="gramEnd"/>
            <w:r w:rsidRPr="005F5E53">
              <w:rPr>
                <w:rFonts w:ascii="等线" w:eastAsia="等线" w:hAnsi="宋体" w:cs="宋体" w:hint="eastAsia"/>
                <w:color w:val="000000"/>
                <w:kern w:val="0"/>
                <w:sz w:val="22"/>
              </w:rPr>
              <w:t>特别国债]</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1000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93</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kern w:val="0"/>
                <w:sz w:val="22"/>
              </w:rPr>
            </w:pPr>
            <w:r w:rsidRPr="005F5E53">
              <w:rPr>
                <w:rFonts w:ascii="等线" w:eastAsia="等线" w:hAnsi="宋体" w:cs="宋体" w:hint="eastAsia"/>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15</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社保股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proofErr w:type="gramStart"/>
            <w:r w:rsidRPr="005F5E53">
              <w:rPr>
                <w:rFonts w:ascii="等线" w:eastAsia="等线" w:hAnsi="宋体" w:cs="宋体" w:hint="eastAsia"/>
                <w:kern w:val="0"/>
                <w:sz w:val="22"/>
              </w:rPr>
              <w:t>县就业</w:t>
            </w:r>
            <w:proofErr w:type="gramEnd"/>
            <w:r w:rsidRPr="005F5E53">
              <w:rPr>
                <w:rFonts w:ascii="等线" w:eastAsia="等线" w:hAnsi="宋体" w:cs="宋体" w:hint="eastAsia"/>
                <w:kern w:val="0"/>
                <w:sz w:val="22"/>
              </w:rPr>
              <w:t>中心</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改制企业协保内</w:t>
            </w:r>
            <w:proofErr w:type="gramStart"/>
            <w:r w:rsidRPr="005F5E53">
              <w:rPr>
                <w:rFonts w:ascii="等线" w:eastAsia="等线" w:hAnsi="宋体" w:cs="宋体" w:hint="eastAsia"/>
                <w:color w:val="000000"/>
                <w:kern w:val="0"/>
                <w:sz w:val="22"/>
              </w:rPr>
              <w:t>养人员</w:t>
            </w:r>
            <w:proofErr w:type="gramEnd"/>
            <w:r w:rsidRPr="005F5E53">
              <w:rPr>
                <w:rFonts w:ascii="等线" w:eastAsia="等线" w:hAnsi="宋体" w:cs="宋体" w:hint="eastAsia"/>
                <w:color w:val="000000"/>
                <w:kern w:val="0"/>
                <w:sz w:val="22"/>
              </w:rPr>
              <w:t>生活费</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540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90</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16</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社保股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县民政局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农村五保供养及护理补贴</w:t>
            </w:r>
          </w:p>
        </w:tc>
        <w:tc>
          <w:tcPr>
            <w:tcW w:w="1692"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2000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98.5</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17</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社保股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县民政局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proofErr w:type="gramStart"/>
            <w:r w:rsidRPr="005F5E53">
              <w:rPr>
                <w:rFonts w:ascii="等线" w:eastAsia="等线" w:hAnsi="宋体" w:cs="宋体" w:hint="eastAsia"/>
                <w:color w:val="000000"/>
                <w:kern w:val="0"/>
                <w:sz w:val="22"/>
              </w:rPr>
              <w:t>农村低保</w:t>
            </w:r>
            <w:proofErr w:type="gramEnd"/>
          </w:p>
        </w:tc>
        <w:tc>
          <w:tcPr>
            <w:tcW w:w="1692"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3000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98.5</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18</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社保股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退役军人事务局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退役士兵灵活就业（自谋职业）及自主就业补助经费</w:t>
            </w:r>
          </w:p>
        </w:tc>
        <w:tc>
          <w:tcPr>
            <w:tcW w:w="1692"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1200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96.8</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19</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社保股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农保中心</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老字号群体生活补助</w:t>
            </w:r>
          </w:p>
        </w:tc>
        <w:tc>
          <w:tcPr>
            <w:tcW w:w="1692"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2430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91</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20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综合股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凤台县自然资源和规划局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创建森林城市土地</w:t>
            </w:r>
            <w:proofErr w:type="gramStart"/>
            <w:r w:rsidRPr="005F5E53">
              <w:rPr>
                <w:rFonts w:ascii="等线" w:eastAsia="等线" w:hAnsi="宋体" w:cs="宋体" w:hint="eastAsia"/>
                <w:color w:val="000000"/>
                <w:kern w:val="0"/>
                <w:sz w:val="22"/>
              </w:rPr>
              <w:t>流转费</w:t>
            </w:r>
            <w:proofErr w:type="gramEnd"/>
          </w:p>
        </w:tc>
        <w:tc>
          <w:tcPr>
            <w:tcW w:w="1692"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840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93.3</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21</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综合股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凤台县住房和城乡建设局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凤台县老旧小区改造政府配套资金</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500</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93</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22</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综合股</w:t>
            </w:r>
          </w:p>
        </w:tc>
        <w:tc>
          <w:tcPr>
            <w:tcW w:w="255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kern w:val="0"/>
                <w:sz w:val="22"/>
              </w:rPr>
            </w:pPr>
            <w:r w:rsidRPr="005F5E53">
              <w:rPr>
                <w:rFonts w:ascii="等线" w:eastAsia="等线" w:hAnsi="宋体" w:cs="宋体" w:hint="eastAsia"/>
                <w:kern w:val="0"/>
                <w:sz w:val="22"/>
              </w:rPr>
              <w:t>凤台县城市管理行政执法局</w:t>
            </w:r>
          </w:p>
        </w:tc>
        <w:tc>
          <w:tcPr>
            <w:tcW w:w="5249"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城乡环卫一体化（生活垃圾治理）PPP项目费用</w:t>
            </w:r>
          </w:p>
        </w:tc>
        <w:tc>
          <w:tcPr>
            <w:tcW w:w="1692"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5000</w:t>
            </w:r>
          </w:p>
        </w:tc>
        <w:tc>
          <w:tcPr>
            <w:tcW w:w="1310" w:type="dxa"/>
            <w:tcBorders>
              <w:top w:val="nil"/>
              <w:left w:val="nil"/>
              <w:bottom w:val="single" w:sz="4" w:space="0" w:color="auto"/>
              <w:right w:val="single" w:sz="4" w:space="0" w:color="auto"/>
            </w:tcBorders>
            <w:shd w:val="clear" w:color="000000" w:fill="FFFFFF"/>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85.4</w:t>
            </w:r>
          </w:p>
        </w:tc>
        <w:tc>
          <w:tcPr>
            <w:tcW w:w="1623"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left"/>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r w:rsidR="005F5E53" w:rsidRPr="005F5E53" w:rsidTr="005F5E53">
        <w:trPr>
          <w:trHeight w:val="499"/>
        </w:trPr>
        <w:tc>
          <w:tcPr>
            <w:tcW w:w="98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合计</w:t>
            </w:r>
          </w:p>
        </w:tc>
        <w:tc>
          <w:tcPr>
            <w:tcW w:w="1692" w:type="dxa"/>
            <w:tcBorders>
              <w:top w:val="nil"/>
              <w:left w:val="nil"/>
              <w:bottom w:val="single" w:sz="4" w:space="0" w:color="auto"/>
              <w:right w:val="single" w:sz="4" w:space="0" w:color="auto"/>
            </w:tcBorders>
            <w:shd w:val="clear" w:color="auto" w:fill="auto"/>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30011.12</w:t>
            </w:r>
          </w:p>
        </w:tc>
        <w:tc>
          <w:tcPr>
            <w:tcW w:w="1310"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92.92 </w:t>
            </w:r>
          </w:p>
        </w:tc>
        <w:tc>
          <w:tcPr>
            <w:tcW w:w="1623" w:type="dxa"/>
            <w:tcBorders>
              <w:top w:val="nil"/>
              <w:left w:val="nil"/>
              <w:bottom w:val="single" w:sz="4" w:space="0" w:color="auto"/>
              <w:right w:val="single" w:sz="4" w:space="0" w:color="auto"/>
            </w:tcBorders>
            <w:shd w:val="clear" w:color="auto" w:fill="auto"/>
            <w:noWrap/>
            <w:vAlign w:val="center"/>
            <w:hideMark/>
          </w:tcPr>
          <w:p w:rsidR="005F5E53" w:rsidRPr="005F5E53" w:rsidRDefault="005F5E53" w:rsidP="005F5E53">
            <w:pPr>
              <w:widowControl/>
              <w:jc w:val="center"/>
              <w:rPr>
                <w:rFonts w:ascii="等线" w:eastAsia="等线" w:hAnsi="宋体" w:cs="宋体"/>
                <w:color w:val="000000"/>
                <w:kern w:val="0"/>
                <w:sz w:val="22"/>
              </w:rPr>
            </w:pPr>
            <w:r w:rsidRPr="005F5E53">
              <w:rPr>
                <w:rFonts w:ascii="等线" w:eastAsia="等线" w:hAnsi="宋体" w:cs="宋体" w:hint="eastAsia"/>
                <w:color w:val="000000"/>
                <w:kern w:val="0"/>
                <w:sz w:val="22"/>
              </w:rPr>
              <w:t xml:space="preserve">　</w:t>
            </w:r>
          </w:p>
        </w:tc>
      </w:tr>
    </w:tbl>
    <w:p w:rsidR="005F5E53" w:rsidRPr="005F5E53" w:rsidRDefault="005F5E53" w:rsidP="005F5E53">
      <w:pPr>
        <w:rPr>
          <w:rFonts w:ascii="仿宋" w:eastAsia="仿宋" w:hAnsi="仿宋"/>
          <w:sz w:val="32"/>
          <w:szCs w:val="32"/>
        </w:rPr>
      </w:pPr>
    </w:p>
    <w:sectPr w:rsidR="005F5E53" w:rsidRPr="005F5E53" w:rsidSect="005F5E5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8A7" w:rsidRDefault="007658A7" w:rsidP="005F5E53">
      <w:r>
        <w:separator/>
      </w:r>
    </w:p>
  </w:endnote>
  <w:endnote w:type="continuationSeparator" w:id="0">
    <w:p w:rsidR="007658A7" w:rsidRDefault="007658A7" w:rsidP="005F5E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8A7" w:rsidRDefault="007658A7" w:rsidP="005F5E53">
      <w:r>
        <w:separator/>
      </w:r>
    </w:p>
  </w:footnote>
  <w:footnote w:type="continuationSeparator" w:id="0">
    <w:p w:rsidR="007658A7" w:rsidRDefault="007658A7" w:rsidP="005F5E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E53"/>
    <w:rsid w:val="005F5E53"/>
    <w:rsid w:val="00616683"/>
    <w:rsid w:val="007658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5E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5E53"/>
    <w:rPr>
      <w:sz w:val="18"/>
      <w:szCs w:val="18"/>
    </w:rPr>
  </w:style>
  <w:style w:type="paragraph" w:styleId="a4">
    <w:name w:val="footer"/>
    <w:basedOn w:val="a"/>
    <w:link w:val="Char0"/>
    <w:uiPriority w:val="99"/>
    <w:semiHidden/>
    <w:unhideWhenUsed/>
    <w:rsid w:val="005F5E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5E53"/>
    <w:rPr>
      <w:sz w:val="18"/>
      <w:szCs w:val="18"/>
    </w:rPr>
  </w:style>
  <w:style w:type="paragraph" w:customStyle="1" w:styleId="15">
    <w:name w:val="15"/>
    <w:basedOn w:val="a"/>
    <w:rsid w:val="005F5E53"/>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16118756">
      <w:bodyDiv w:val="1"/>
      <w:marLeft w:val="0"/>
      <w:marRight w:val="0"/>
      <w:marTop w:val="0"/>
      <w:marBottom w:val="0"/>
      <w:divBdr>
        <w:top w:val="none" w:sz="0" w:space="0" w:color="auto"/>
        <w:left w:val="none" w:sz="0" w:space="0" w:color="auto"/>
        <w:bottom w:val="none" w:sz="0" w:space="0" w:color="auto"/>
        <w:right w:val="none" w:sz="0" w:space="0" w:color="auto"/>
      </w:divBdr>
      <w:divsChild>
        <w:div w:id="1533611136">
          <w:marLeft w:val="0"/>
          <w:marRight w:val="0"/>
          <w:marTop w:val="0"/>
          <w:marBottom w:val="0"/>
          <w:divBdr>
            <w:top w:val="none" w:sz="0" w:space="0" w:color="auto"/>
            <w:left w:val="none" w:sz="0" w:space="0" w:color="auto"/>
            <w:bottom w:val="none" w:sz="0" w:space="0" w:color="auto"/>
            <w:right w:val="none" w:sz="0" w:space="0" w:color="auto"/>
          </w:divBdr>
          <w:divsChild>
            <w:div w:id="1086801193">
              <w:marLeft w:val="0"/>
              <w:marRight w:val="0"/>
              <w:marTop w:val="0"/>
              <w:marBottom w:val="0"/>
              <w:divBdr>
                <w:top w:val="none" w:sz="0" w:space="0" w:color="auto"/>
                <w:left w:val="none" w:sz="0" w:space="0" w:color="auto"/>
                <w:bottom w:val="none" w:sz="0" w:space="0" w:color="auto"/>
                <w:right w:val="none" w:sz="0" w:space="0" w:color="auto"/>
              </w:divBdr>
              <w:divsChild>
                <w:div w:id="141580586">
                  <w:marLeft w:val="0"/>
                  <w:marRight w:val="0"/>
                  <w:marTop w:val="0"/>
                  <w:marBottom w:val="0"/>
                  <w:divBdr>
                    <w:top w:val="none" w:sz="0" w:space="0" w:color="auto"/>
                    <w:left w:val="none" w:sz="0" w:space="0" w:color="auto"/>
                    <w:bottom w:val="none" w:sz="0" w:space="0" w:color="auto"/>
                    <w:right w:val="none" w:sz="0" w:space="0" w:color="auto"/>
                  </w:divBdr>
                  <w:divsChild>
                    <w:div w:id="2027974761">
                      <w:marLeft w:val="0"/>
                      <w:marRight w:val="0"/>
                      <w:marTop w:val="100"/>
                      <w:marBottom w:val="100"/>
                      <w:divBdr>
                        <w:top w:val="single" w:sz="6" w:space="0" w:color="DDDDDD"/>
                        <w:left w:val="single" w:sz="6" w:space="0" w:color="DDDDDD"/>
                        <w:bottom w:val="single" w:sz="6" w:space="0" w:color="DDDDDD"/>
                        <w:right w:val="single" w:sz="6" w:space="0" w:color="DDDDDD"/>
                      </w:divBdr>
                      <w:divsChild>
                        <w:div w:id="405301625">
                          <w:marLeft w:val="0"/>
                          <w:marRight w:val="0"/>
                          <w:marTop w:val="0"/>
                          <w:marBottom w:val="0"/>
                          <w:divBdr>
                            <w:top w:val="none" w:sz="0" w:space="0" w:color="auto"/>
                            <w:left w:val="none" w:sz="0" w:space="0" w:color="auto"/>
                            <w:bottom w:val="none" w:sz="0" w:space="0" w:color="auto"/>
                            <w:right w:val="none" w:sz="0" w:space="0" w:color="auto"/>
                          </w:divBdr>
                          <w:divsChild>
                            <w:div w:id="1385332495">
                              <w:marLeft w:val="0"/>
                              <w:marRight w:val="0"/>
                              <w:marTop w:val="0"/>
                              <w:marBottom w:val="0"/>
                              <w:divBdr>
                                <w:top w:val="none" w:sz="0" w:space="0" w:color="auto"/>
                                <w:left w:val="none" w:sz="0" w:space="0" w:color="auto"/>
                                <w:bottom w:val="none" w:sz="0" w:space="0" w:color="auto"/>
                                <w:right w:val="none" w:sz="0" w:space="0" w:color="auto"/>
                              </w:divBdr>
                              <w:divsChild>
                                <w:div w:id="14614552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89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2022-09-26T06:33:00Z</dcterms:created>
  <dcterms:modified xsi:type="dcterms:W3CDTF">2022-09-26T06:38:00Z</dcterms:modified>
</cp:coreProperties>
</file>