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bookmarkStart w:id="0" w:name="_GoBack"/>
      <w:r>
        <w:rPr>
          <w:rFonts w:hint="eastAsia" w:ascii="仿宋" w:hAnsi="仿宋" w:eastAsia="仿宋" w:cs="宋体"/>
          <w:color w:val="000000"/>
          <w:kern w:val="0"/>
          <w:sz w:val="32"/>
          <w:szCs w:val="32"/>
        </w:rPr>
        <w:t>本报告依据《中华人民共和国政府信息公开条例》（国务院令第711号，以下简称《条例》）、《国务院办公厅政府信息与政务公开办公室关于印发&lt;中华人民共和国政府信息公开工作年度报告格式&gt;的通知》（国办公开办函〔2021〕30号）及《安徽省政务公开办公室关于做好2022年度政府信息公开工作年度报告编制和数据报送工作的通知》（皖政务办秘〔2023〕1号）要求，结合我单位政府信息公开工作有关统计数据撰写。报告主要包括：总体情况、主动公开政府信息情况、收到和处理政府信息公开申请情况、因政府信息公开被申请行政复议和提起行政诉讼情况、政府信息公开工作存在主要问题及改进情况和其他需要报告事项。本报告中使用数据统计期限为2022年1月1日至12月31日。报告的电子版可在凤台县人民政府网站下载。如对本报告有任何疑问，请与凤台县教育局办公室联系（地址：凤台县淮河东路，电话：0554-8611377，邮编：232100）。</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  一、总体情况</w:t>
      </w:r>
    </w:p>
    <w:p>
      <w:pPr>
        <w:widowControl/>
        <w:spacing w:before="100" w:beforeAutospacing="1" w:after="100" w:afterAutospacing="1"/>
        <w:jc w:val="left"/>
        <w:rPr>
          <w:rFonts w:ascii="宋体" w:hAnsi="宋体" w:eastAsia="宋体" w:cs="宋体"/>
          <w:kern w:val="0"/>
          <w:sz w:val="24"/>
          <w:szCs w:val="24"/>
        </w:rPr>
      </w:pPr>
      <w:r>
        <w:rPr>
          <w:rFonts w:hint="eastAsia" w:ascii="仿宋" w:hAnsi="仿宋" w:eastAsia="仿宋" w:cs="宋体"/>
          <w:color w:val="000000"/>
          <w:kern w:val="0"/>
          <w:sz w:val="32"/>
          <w:szCs w:val="32"/>
        </w:rPr>
        <w:t>为贯彻落实</w:t>
      </w:r>
      <w:r>
        <w:rPr>
          <w:rFonts w:hint="eastAsia" w:ascii="仿宋" w:hAnsi="仿宋" w:eastAsia="仿宋" w:cs="宋体"/>
          <w:kern w:val="0"/>
          <w:sz w:val="32"/>
          <w:szCs w:val="32"/>
        </w:rPr>
        <w:t>《凤台县2022年政务公开重点工作任务分工》</w:t>
      </w:r>
      <w:r>
        <w:rPr>
          <w:rFonts w:hint="eastAsia" w:ascii="仿宋" w:hAnsi="仿宋" w:eastAsia="仿宋" w:cs="宋体"/>
          <w:color w:val="000000"/>
          <w:kern w:val="0"/>
          <w:sz w:val="32"/>
          <w:szCs w:val="32"/>
        </w:rPr>
        <w:t>要求，2022年，凤台县教育局认真贯彻《条例》精神，按照县政府信息公开重点工作安排以及依法行政有关要求，以深化公开内容为核心，聚焦重点、强化基础，充分运用多种渠道，主动向社会公布各类政府信息，及时对网站进行全面梳理，查漏补缺，依法做好依申请公开工作，按照县政府信息公开要求，进一步完善公开办事制度，认真做好实施《政府信息公开条例》的各项工作，自觉接受广大人民群众的监督，政府信息公开工作取得了良好的效果。</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一）主动公开情况。2022年，凤台县教育局认真贯彻落实有关政府信息公开的文件政策精神，依法主动公开各类信息，扎实推进信息公开工作，信息公开实效进一步提升。今年以来，通过政府网站公开信息2557条，特别是做好义务教育招生入学政策及结果公开，及时公开义务教育学校招生范围、招生条件、招生程序、招生结果等信息，做到应公开尽公开，积极推进政务公开工作。</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二）依申请公开情况。进一步规范政府信息依申请公开工作，健全政府信息公开申请接收、登记、办理、审核、答复、归档等环节的制度规范，严格按照法定程序、法定时限受理并答复政府信息公开申请，依法依规做好答复工作。2022年度，县教育局未收到政府信息公开申请。</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三）政府信息管理情况。一是根据人事变动情况及时更新机构信息、调整政务公开工作领导小组成员，专人负责做好网站更新、信息发布等工作。二是进一步规范信息发布的审核与管理，确保信息发布准确、高效。</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四）政府信息公开平台建设。县教育局局强化政务公开平台建设推进力度，完善工作机制。明确政务公开平台职责分工，由专人负责政务公开平台日常更新、维护工作，集中发布重大政策文件、政策解读、媒体报道等消息，进一步提升网站管理和服务水平。 </w:t>
      </w:r>
    </w:p>
    <w:p>
      <w:pPr>
        <w:widowControl/>
        <w:shd w:val="clear" w:color="auto" w:fill="FFFFFF"/>
        <w:spacing w:before="100" w:beforeAutospacing="1" w:after="100" w:afterAutospacing="1" w:line="480"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五）监督保障情况。一是工作考核，明确政府信息工作负责人员，并及时进行相应指导和督促。政府信息公开考核评估工作按年度开展，一般安排在每年年末或次年年初进行。单位办公室负责对本单位的政府信息公开工作开展考核评估。二是社会评议，单位办公室组织对各科室的政府信息公开工作进行社会评议，接受群众和社会的监督。三是责任追究，本单位及其工作人员履行政府信息公开工作职责违反有关规定，造成不良影响或产生一定后果时，承担有关责任。被追究责任工作人员，要及时纠正违反政府信息公开工作有关规定的行政行为，并将改正情况书面报告单位办公室备案。 </w:t>
      </w:r>
    </w:p>
    <w:p>
      <w:pPr>
        <w:widowControl/>
        <w:shd w:val="clear" w:color="auto" w:fill="FFFFFF"/>
        <w:spacing w:before="100" w:beforeAutospacing="1" w:after="100" w:afterAutospacing="1" w:line="480"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二、主动公开政府信息情况</w:t>
      </w:r>
    </w:p>
    <w:tbl>
      <w:tblPr>
        <w:tblStyle w:val="2"/>
        <w:tblW w:w="8100" w:type="dxa"/>
        <w:tblInd w:w="102" w:type="dxa"/>
        <w:tblLayout w:type="autofit"/>
        <w:tblCellMar>
          <w:top w:w="15" w:type="dxa"/>
          <w:left w:w="15" w:type="dxa"/>
          <w:bottom w:w="15" w:type="dxa"/>
          <w:right w:w="15" w:type="dxa"/>
        </w:tblCellMar>
      </w:tblPr>
      <w:tblGrid>
        <w:gridCol w:w="2025"/>
        <w:gridCol w:w="2025"/>
        <w:gridCol w:w="2025"/>
        <w:gridCol w:w="2025"/>
      </w:tblGrid>
      <w:tr>
        <w:tblPrEx>
          <w:tblCellMar>
            <w:top w:w="15" w:type="dxa"/>
            <w:left w:w="15" w:type="dxa"/>
            <w:bottom w:w="15" w:type="dxa"/>
            <w:right w:w="15" w:type="dxa"/>
          </w:tblCellMar>
        </w:tblPrEx>
        <w:trPr>
          <w:trHeight w:val="377" w:hRule="atLeast"/>
        </w:trPr>
        <w:tc>
          <w:tcPr>
            <w:tcW w:w="810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第二十条第（一）项</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信息内容</w:t>
            </w:r>
          </w:p>
        </w:tc>
        <w:tc>
          <w:tcPr>
            <w:tcW w:w="202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本年</w:t>
            </w:r>
            <w:r>
              <w:rPr>
                <w:rFonts w:hint="eastAsia" w:ascii="仿宋" w:hAnsi="仿宋" w:eastAsia="仿宋" w:cs="宋体"/>
                <w:color w:val="333333"/>
                <w:kern w:val="0"/>
                <w:sz w:val="20"/>
                <w:szCs w:val="20"/>
              </w:rPr>
              <w:t>制发件数</w:t>
            </w:r>
          </w:p>
        </w:tc>
        <w:tc>
          <w:tcPr>
            <w:tcW w:w="202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本年废止件数</w:t>
            </w:r>
          </w:p>
        </w:tc>
        <w:tc>
          <w:tcPr>
            <w:tcW w:w="202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现行有效件</w:t>
            </w:r>
            <w:r>
              <w:rPr>
                <w:rFonts w:hint="eastAsia" w:ascii="仿宋" w:hAnsi="仿宋" w:eastAsia="仿宋" w:cs="宋体"/>
                <w:color w:val="333333"/>
                <w:kern w:val="0"/>
                <w:sz w:val="20"/>
                <w:szCs w:val="20"/>
              </w:rPr>
              <w:t>数</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color w:val="000000"/>
                <w:kern w:val="0"/>
                <w:sz w:val="20"/>
                <w:szCs w:val="20"/>
              </w:rPr>
              <w:t>规章</w:t>
            </w:r>
          </w:p>
        </w:tc>
        <w:tc>
          <w:tcPr>
            <w:tcW w:w="202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0</w:t>
            </w:r>
          </w:p>
        </w:tc>
        <w:tc>
          <w:tcPr>
            <w:tcW w:w="202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0</w:t>
            </w:r>
          </w:p>
        </w:tc>
        <w:tc>
          <w:tcPr>
            <w:tcW w:w="202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333333"/>
                <w:kern w:val="0"/>
                <w:szCs w:val="21"/>
              </w:rPr>
              <w:t>0</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color w:val="000000"/>
                <w:kern w:val="0"/>
                <w:sz w:val="20"/>
                <w:szCs w:val="20"/>
              </w:rPr>
              <w:t>行政规范性文件</w:t>
            </w:r>
          </w:p>
        </w:tc>
        <w:tc>
          <w:tcPr>
            <w:tcW w:w="202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0</w:t>
            </w:r>
          </w:p>
        </w:tc>
        <w:tc>
          <w:tcPr>
            <w:tcW w:w="202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0</w:t>
            </w:r>
          </w:p>
        </w:tc>
        <w:tc>
          <w:tcPr>
            <w:tcW w:w="202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333333"/>
                <w:kern w:val="0"/>
                <w:szCs w:val="21"/>
              </w:rPr>
              <w:t>9</w:t>
            </w:r>
          </w:p>
        </w:tc>
      </w:tr>
      <w:tr>
        <w:tblPrEx>
          <w:tblCellMar>
            <w:top w:w="15" w:type="dxa"/>
            <w:left w:w="15" w:type="dxa"/>
            <w:bottom w:w="15" w:type="dxa"/>
            <w:right w:w="15" w:type="dxa"/>
          </w:tblCellMar>
        </w:tblPrEx>
        <w:trPr>
          <w:trHeight w:val="377" w:hRule="atLeast"/>
        </w:trPr>
        <w:tc>
          <w:tcPr>
            <w:tcW w:w="81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第二十条第（五）项</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信息内容</w:t>
            </w:r>
          </w:p>
        </w:tc>
        <w:tc>
          <w:tcPr>
            <w:tcW w:w="607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本年处理决定数量</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color w:val="000000"/>
                <w:kern w:val="0"/>
                <w:sz w:val="20"/>
                <w:szCs w:val="20"/>
              </w:rPr>
              <w:t>行政许可</w:t>
            </w:r>
          </w:p>
        </w:tc>
        <w:tc>
          <w:tcPr>
            <w:tcW w:w="607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Cs w:val="21"/>
              </w:rPr>
              <w:t>11</w:t>
            </w:r>
          </w:p>
        </w:tc>
      </w:tr>
      <w:tr>
        <w:tblPrEx>
          <w:tblCellMar>
            <w:top w:w="15" w:type="dxa"/>
            <w:left w:w="15" w:type="dxa"/>
            <w:bottom w:w="15" w:type="dxa"/>
            <w:right w:w="15" w:type="dxa"/>
          </w:tblCellMar>
        </w:tblPrEx>
        <w:trPr>
          <w:trHeight w:val="377" w:hRule="atLeast"/>
        </w:trPr>
        <w:tc>
          <w:tcPr>
            <w:tcW w:w="81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第二十条第（六）项</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信息内容</w:t>
            </w:r>
          </w:p>
        </w:tc>
        <w:tc>
          <w:tcPr>
            <w:tcW w:w="607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本年处理决定数量</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color w:val="000000"/>
                <w:kern w:val="0"/>
                <w:sz w:val="20"/>
                <w:szCs w:val="20"/>
              </w:rPr>
              <w:t>行政处罚</w:t>
            </w:r>
          </w:p>
        </w:tc>
        <w:tc>
          <w:tcPr>
            <w:tcW w:w="607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0</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color w:val="000000"/>
                <w:kern w:val="0"/>
                <w:sz w:val="20"/>
                <w:szCs w:val="20"/>
              </w:rPr>
              <w:t>行政强制</w:t>
            </w:r>
          </w:p>
        </w:tc>
        <w:tc>
          <w:tcPr>
            <w:tcW w:w="607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0</w:t>
            </w:r>
          </w:p>
        </w:tc>
      </w:tr>
      <w:tr>
        <w:tblPrEx>
          <w:tblCellMar>
            <w:top w:w="15" w:type="dxa"/>
            <w:left w:w="15" w:type="dxa"/>
            <w:bottom w:w="15" w:type="dxa"/>
            <w:right w:w="15" w:type="dxa"/>
          </w:tblCellMar>
        </w:tblPrEx>
        <w:trPr>
          <w:trHeight w:val="377" w:hRule="atLeast"/>
        </w:trPr>
        <w:tc>
          <w:tcPr>
            <w:tcW w:w="810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第二十条第（八）项</w:t>
            </w:r>
          </w:p>
        </w:tc>
      </w:tr>
      <w:tr>
        <w:tblPrEx>
          <w:tblCellMar>
            <w:top w:w="15" w:type="dxa"/>
            <w:left w:w="15" w:type="dxa"/>
            <w:bottom w:w="15" w:type="dxa"/>
            <w:right w:w="15" w:type="dxa"/>
          </w:tblCellMar>
        </w:tblPrEx>
        <w:trPr>
          <w:trHeight w:val="377"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信息内容</w:t>
            </w:r>
          </w:p>
        </w:tc>
        <w:tc>
          <w:tcPr>
            <w:tcW w:w="607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本年收费金额（单位：万元）</w:t>
            </w:r>
          </w:p>
        </w:tc>
      </w:tr>
      <w:tr>
        <w:tblPrEx>
          <w:tblCellMar>
            <w:top w:w="15" w:type="dxa"/>
            <w:left w:w="15" w:type="dxa"/>
            <w:bottom w:w="15" w:type="dxa"/>
            <w:right w:w="15" w:type="dxa"/>
          </w:tblCellMar>
        </w:tblPrEx>
        <w:trPr>
          <w:trHeight w:val="415" w:hRule="atLeast"/>
        </w:trPr>
        <w:tc>
          <w:tcPr>
            <w:tcW w:w="202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color w:val="000000"/>
                <w:kern w:val="0"/>
                <w:sz w:val="20"/>
                <w:szCs w:val="20"/>
              </w:rPr>
              <w:t>行政事业性收费</w:t>
            </w:r>
          </w:p>
        </w:tc>
        <w:tc>
          <w:tcPr>
            <w:tcW w:w="607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333333"/>
                <w:kern w:val="0"/>
                <w:sz w:val="24"/>
                <w:szCs w:val="24"/>
              </w:rPr>
              <w:t>0</w:t>
            </w:r>
          </w:p>
        </w:tc>
      </w:tr>
    </w:tbl>
    <w:p>
      <w:pPr>
        <w:widowControl/>
        <w:shd w:val="clear" w:color="auto" w:fill="FFFFFF"/>
        <w:spacing w:before="100" w:beforeAutospacing="1" w:after="100" w:afterAutospacing="1" w:line="578" w:lineRule="atLeast"/>
        <w:jc w:val="left"/>
        <w:rPr>
          <w:rFonts w:ascii="宋体" w:hAnsi="宋体" w:eastAsia="宋体" w:cs="宋体"/>
          <w:kern w:val="0"/>
          <w:sz w:val="24"/>
          <w:szCs w:val="24"/>
        </w:rPr>
      </w:pPr>
      <w:r>
        <w:rPr>
          <w:rFonts w:hint="eastAsia" w:ascii="宋体" w:hAnsi="宋体" w:eastAsia="宋体" w:cs="宋体"/>
          <w:color w:val="333333"/>
          <w:kern w:val="0"/>
          <w:sz w:val="32"/>
          <w:szCs w:val="32"/>
          <w:shd w:val="clear" w:color="auto" w:fill="FFFFFF"/>
        </w:rPr>
        <w:t> </w:t>
      </w:r>
      <w:r>
        <w:rPr>
          <w:rFonts w:hint="eastAsia" w:ascii="仿宋" w:hAnsi="仿宋" w:eastAsia="仿宋" w:cs="宋体"/>
          <w:color w:val="000000"/>
          <w:kern w:val="0"/>
          <w:sz w:val="32"/>
          <w:szCs w:val="32"/>
        </w:rPr>
        <w:t>三、收到和处理政府信息公开申请情况</w:t>
      </w:r>
    </w:p>
    <w:tbl>
      <w:tblPr>
        <w:tblStyle w:val="2"/>
        <w:tblW w:w="8379" w:type="dxa"/>
        <w:jc w:val="center"/>
        <w:tblLayout w:type="autofit"/>
        <w:tblCellMar>
          <w:top w:w="15" w:type="dxa"/>
          <w:left w:w="15" w:type="dxa"/>
          <w:bottom w:w="15" w:type="dxa"/>
          <w:right w:w="15" w:type="dxa"/>
        </w:tblCellMar>
      </w:tblPr>
      <w:tblGrid>
        <w:gridCol w:w="660"/>
        <w:gridCol w:w="810"/>
        <w:gridCol w:w="2769"/>
        <w:gridCol w:w="591"/>
        <w:gridCol w:w="591"/>
        <w:gridCol w:w="591"/>
        <w:gridCol w:w="591"/>
        <w:gridCol w:w="591"/>
        <w:gridCol w:w="593"/>
        <w:gridCol w:w="592"/>
      </w:tblGrid>
      <w:tr>
        <w:tblPrEx>
          <w:tblCellMar>
            <w:top w:w="15" w:type="dxa"/>
            <w:left w:w="15" w:type="dxa"/>
            <w:bottom w:w="15" w:type="dxa"/>
            <w:right w:w="15" w:type="dxa"/>
          </w:tblCellMar>
        </w:tblPrEx>
        <w:trPr>
          <w:trHeight w:val="332" w:hRule="atLeast"/>
          <w:jc w:val="center"/>
        </w:trPr>
        <w:tc>
          <w:tcPr>
            <w:tcW w:w="4239" w:type="dxa"/>
            <w:gridSpan w:val="3"/>
            <w:vMerge w:val="restart"/>
            <w:tcBorders>
              <w:top w:val="single" w:color="auto" w:sz="8" w:space="0"/>
              <w:left w:val="single" w:color="auto" w:sz="8" w:space="0"/>
              <w:bottom w:val="outset"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（本列数据的勾稽关系为：第一项加第二项之和，等于第三项加第四项之和）</w:t>
            </w:r>
          </w:p>
        </w:tc>
        <w:tc>
          <w:tcPr>
            <w:tcW w:w="4140"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申请人情况</w:t>
            </w:r>
          </w:p>
        </w:tc>
      </w:tr>
      <w:tr>
        <w:tblPrEx>
          <w:tblCellMar>
            <w:top w:w="15" w:type="dxa"/>
            <w:left w:w="15" w:type="dxa"/>
            <w:bottom w:w="15" w:type="dxa"/>
            <w:right w:w="15" w:type="dxa"/>
          </w:tblCellMar>
        </w:tblPrEx>
        <w:trPr>
          <w:trHeight w:val="332" w:hRule="atLeast"/>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591"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自然人</w:t>
            </w:r>
          </w:p>
        </w:tc>
        <w:tc>
          <w:tcPr>
            <w:tcW w:w="2957"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法人或其他组织</w:t>
            </w:r>
          </w:p>
        </w:tc>
        <w:tc>
          <w:tcPr>
            <w:tcW w:w="592" w:type="dxa"/>
            <w:vMerge w:val="restart"/>
            <w:tcBorders>
              <w:top w:val="single" w:color="auto" w:sz="8" w:space="0"/>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总计</w:t>
            </w:r>
          </w:p>
        </w:tc>
      </w:tr>
      <w:tr>
        <w:tblPrEx>
          <w:tblCellMar>
            <w:top w:w="15" w:type="dxa"/>
            <w:left w:w="15" w:type="dxa"/>
            <w:bottom w:w="15" w:type="dxa"/>
            <w:right w:w="15" w:type="dxa"/>
          </w:tblCellMar>
        </w:tblPrEx>
        <w:trPr>
          <w:trHeight w:val="955" w:hRule="atLeast"/>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商业</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企业</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科研</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机构</w:t>
            </w:r>
          </w:p>
        </w:tc>
        <w:tc>
          <w:tcPr>
            <w:tcW w:w="59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社会公益组织</w:t>
            </w:r>
          </w:p>
        </w:tc>
        <w:tc>
          <w:tcPr>
            <w:tcW w:w="59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法律服务机构</w:t>
            </w:r>
          </w:p>
        </w:tc>
        <w:tc>
          <w:tcPr>
            <w:tcW w:w="593"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其他</w:t>
            </w:r>
          </w:p>
        </w:tc>
        <w:tc>
          <w:tcPr>
            <w:tcW w:w="0" w:type="auto"/>
            <w:vMerge w:val="continue"/>
            <w:tcBorders>
              <w:top w:val="single" w:color="auto" w:sz="8" w:space="0"/>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32" w:hRule="atLeast"/>
          <w:jc w:val="center"/>
        </w:trPr>
        <w:tc>
          <w:tcPr>
            <w:tcW w:w="423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一、本年新收政府信息公开申请数量</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Cs w:val="21"/>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423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二、上年结转政府信息公开申请数量</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660" w:type="dxa"/>
            <w:vMerge w:val="restart"/>
            <w:tcBorders>
              <w:top w:val="nil"/>
              <w:left w:val="single" w:color="auto" w:sz="8" w:space="0"/>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三、本年度办理结果</w:t>
            </w:r>
          </w:p>
        </w:tc>
        <w:tc>
          <w:tcPr>
            <w:tcW w:w="3579"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（一）予以公开</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644"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3579"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（二）部分公开（区分处理的，只计这一情形，不计其他情形）</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810"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（三）不予公开</w:t>
            </w: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1.属于国家秘密</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2.其他法律行政法规禁止公开</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3.危及“三安全一稳定”</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4.保护第三方合法权益</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5.属于三类内部事务信息</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6.属于四类过程性信息</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7.属于行政执法案卷</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8.属于行政查询事项</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810"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（四）无法提供</w:t>
            </w: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1.本机关不掌握相关政府信息</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2.没有现成信息需要另行制作</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3.补正后申请内容仍不明确</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810"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（五）不予处理</w:t>
            </w: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1.信访举报投诉类申请</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2.重复申请</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3.要求提供公开出版物</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4.无正当理由大量反复申请</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79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5.要求行政机关确认或重新出具已获取信息</w:t>
            </w:r>
          </w:p>
        </w:tc>
        <w:tc>
          <w:tcPr>
            <w:tcW w:w="591"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95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810"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（六）其他处理</w:t>
            </w: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1.申请人无正当理由逾期不补正、行政机关不再处理其政府信息公开申请</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955"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2.申请人逾期未按收费通知要求缴纳费用、行政机关不再处理其政府信息公开申请</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276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3.其他</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widowControl/>
              <w:jc w:val="left"/>
              <w:rPr>
                <w:rFonts w:ascii="宋体" w:hAnsi="宋体" w:eastAsia="宋体" w:cs="宋体"/>
                <w:kern w:val="0"/>
                <w:sz w:val="24"/>
                <w:szCs w:val="24"/>
              </w:rPr>
            </w:pPr>
          </w:p>
        </w:tc>
        <w:tc>
          <w:tcPr>
            <w:tcW w:w="3579"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（七）总计</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r>
      <w:tr>
        <w:tblPrEx>
          <w:tblCellMar>
            <w:top w:w="15" w:type="dxa"/>
            <w:left w:w="15" w:type="dxa"/>
            <w:bottom w:w="15" w:type="dxa"/>
            <w:right w:w="15" w:type="dxa"/>
          </w:tblCellMar>
        </w:tblPrEx>
        <w:trPr>
          <w:trHeight w:val="352" w:hRule="atLeast"/>
          <w:jc w:val="center"/>
        </w:trPr>
        <w:tc>
          <w:tcPr>
            <w:tcW w:w="423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0"/>
                <w:szCs w:val="20"/>
              </w:rPr>
              <w:t>四、结转下年度继续办理</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9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4"/>
                <w:szCs w:val="24"/>
              </w:rPr>
              <w:t>0</w:t>
            </w:r>
          </w:p>
        </w:tc>
      </w:tr>
    </w:tbl>
    <w:p>
      <w:pPr>
        <w:widowControl/>
        <w:shd w:val="clear" w:color="auto" w:fill="FFFFFF"/>
        <w:spacing w:before="100" w:beforeAutospacing="1" w:after="100" w:afterAutospacing="1" w:line="578" w:lineRule="atLeast"/>
        <w:jc w:val="left"/>
        <w:rPr>
          <w:rFonts w:ascii="宋体" w:hAnsi="宋体" w:eastAsia="宋体" w:cs="宋体"/>
          <w:kern w:val="0"/>
          <w:sz w:val="24"/>
          <w:szCs w:val="24"/>
        </w:rPr>
      </w:pPr>
      <w:r>
        <w:rPr>
          <w:rFonts w:hint="eastAsia" w:ascii="仿宋" w:hAnsi="仿宋" w:eastAsia="仿宋" w:cs="宋体"/>
          <w:color w:val="333333"/>
          <w:kern w:val="0"/>
          <w:sz w:val="32"/>
          <w:szCs w:val="32"/>
          <w:shd w:val="clear" w:color="auto" w:fill="FFFFFF"/>
        </w:rPr>
        <w:t> 四、政府信息公开行政复议、行政诉讼情况</w:t>
      </w:r>
    </w:p>
    <w:tbl>
      <w:tblPr>
        <w:tblStyle w:val="2"/>
        <w:tblW w:w="7799" w:type="dxa"/>
        <w:jc w:val="center"/>
        <w:tblLayout w:type="autofit"/>
        <w:tblCellMar>
          <w:top w:w="15" w:type="dxa"/>
          <w:left w:w="15" w:type="dxa"/>
          <w:bottom w:w="15" w:type="dxa"/>
          <w:right w:w="15" w:type="dxa"/>
        </w:tblCellMar>
      </w:tblPr>
      <w:tblGrid>
        <w:gridCol w:w="519"/>
        <w:gridCol w:w="519"/>
        <w:gridCol w:w="519"/>
        <w:gridCol w:w="519"/>
        <w:gridCol w:w="520"/>
        <w:gridCol w:w="519"/>
        <w:gridCol w:w="519"/>
        <w:gridCol w:w="520"/>
        <w:gridCol w:w="520"/>
        <w:gridCol w:w="520"/>
        <w:gridCol w:w="520"/>
        <w:gridCol w:w="520"/>
        <w:gridCol w:w="520"/>
        <w:gridCol w:w="520"/>
        <w:gridCol w:w="525"/>
      </w:tblGrid>
      <w:tr>
        <w:tblPrEx>
          <w:tblCellMar>
            <w:top w:w="15" w:type="dxa"/>
            <w:left w:w="15" w:type="dxa"/>
            <w:bottom w:w="15" w:type="dxa"/>
            <w:right w:w="15" w:type="dxa"/>
          </w:tblCellMar>
        </w:tblPrEx>
        <w:trPr>
          <w:trHeight w:val="330" w:hRule="atLeast"/>
          <w:jc w:val="center"/>
        </w:trPr>
        <w:tc>
          <w:tcPr>
            <w:tcW w:w="259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行政复议</w:t>
            </w:r>
          </w:p>
        </w:tc>
        <w:tc>
          <w:tcPr>
            <w:tcW w:w="5203"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行政诉讼</w:t>
            </w:r>
          </w:p>
        </w:tc>
      </w:tr>
      <w:tr>
        <w:tblPrEx>
          <w:tblCellMar>
            <w:top w:w="15" w:type="dxa"/>
            <w:left w:w="15" w:type="dxa"/>
            <w:bottom w:w="15" w:type="dxa"/>
            <w:right w:w="15" w:type="dxa"/>
          </w:tblCellMar>
        </w:tblPrEx>
        <w:trPr>
          <w:trHeight w:val="330" w:hRule="atLeast"/>
          <w:jc w:val="center"/>
        </w:trPr>
        <w:tc>
          <w:tcPr>
            <w:tcW w:w="51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结果维持</w:t>
            </w:r>
          </w:p>
        </w:tc>
        <w:tc>
          <w:tcPr>
            <w:tcW w:w="51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纠正</w:t>
            </w:r>
          </w:p>
        </w:tc>
        <w:tc>
          <w:tcPr>
            <w:tcW w:w="51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其他</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tc>
        <w:tc>
          <w:tcPr>
            <w:tcW w:w="51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尚未</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审结</w:t>
            </w:r>
          </w:p>
        </w:tc>
        <w:tc>
          <w:tcPr>
            <w:tcW w:w="52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总计</w:t>
            </w:r>
          </w:p>
        </w:tc>
        <w:tc>
          <w:tcPr>
            <w:tcW w:w="259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未经复议直接起诉</w:t>
            </w:r>
          </w:p>
        </w:tc>
        <w:tc>
          <w:tcPr>
            <w:tcW w:w="26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复议后起诉</w:t>
            </w:r>
          </w:p>
        </w:tc>
      </w:tr>
      <w:tr>
        <w:tblPrEx>
          <w:tblCellMar>
            <w:top w:w="15" w:type="dxa"/>
            <w:left w:w="15" w:type="dxa"/>
            <w:bottom w:w="15" w:type="dxa"/>
            <w:right w:w="15" w:type="dxa"/>
          </w:tblCellMar>
        </w:tblPrEx>
        <w:trPr>
          <w:trHeight w:val="6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维持</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纠正</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其他</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尚未</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审结</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总计</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维持</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结果</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纠正</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其他</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结果</w:t>
            </w:r>
          </w:p>
        </w:tc>
        <w:tc>
          <w:tcPr>
            <w:tcW w:w="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尚未</w:t>
            </w:r>
          </w:p>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审结</w:t>
            </w:r>
          </w:p>
        </w:tc>
        <w:tc>
          <w:tcPr>
            <w:tcW w:w="5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color w:val="000000"/>
                <w:kern w:val="0"/>
                <w:sz w:val="20"/>
                <w:szCs w:val="20"/>
              </w:rPr>
              <w:t>总计</w:t>
            </w:r>
          </w:p>
        </w:tc>
      </w:tr>
      <w:tr>
        <w:tblPrEx>
          <w:tblCellMar>
            <w:top w:w="15" w:type="dxa"/>
            <w:left w:w="15" w:type="dxa"/>
            <w:bottom w:w="15" w:type="dxa"/>
            <w:right w:w="15" w:type="dxa"/>
          </w:tblCellMar>
        </w:tblPrEx>
        <w:trPr>
          <w:trHeight w:val="708" w:hRule="atLeast"/>
          <w:jc w:val="center"/>
        </w:trPr>
        <w:tc>
          <w:tcPr>
            <w:tcW w:w="5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1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仿宋" w:hAnsi="仿宋" w:eastAsia="仿宋" w:cs="宋体"/>
                <w:kern w:val="0"/>
                <w:sz w:val="20"/>
                <w:szCs w:val="20"/>
              </w:rPr>
              <w:t>0</w:t>
            </w:r>
            <w:r>
              <w:rPr>
                <w:rFonts w:hint="eastAsia" w:ascii="宋体" w:hAnsi="宋体" w:eastAsia="宋体" w:cs="宋体"/>
                <w:kern w:val="0"/>
                <w:sz w:val="20"/>
                <w:szCs w:val="20"/>
              </w:rPr>
              <w:t> </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center"/>
              <w:rPr>
                <w:rFonts w:ascii="宋体" w:hAnsi="宋体" w:eastAsia="宋体" w:cs="宋体"/>
                <w:kern w:val="0"/>
                <w:sz w:val="24"/>
                <w:szCs w:val="24"/>
              </w:rPr>
            </w:pPr>
            <w:r>
              <w:rPr>
                <w:rFonts w:hint="eastAsia" w:ascii="宋体" w:hAnsi="宋体" w:eastAsia="宋体" w:cs="宋体"/>
                <w:kern w:val="0"/>
                <w:sz w:val="20"/>
                <w:szCs w:val="20"/>
              </w:rPr>
              <w:t> </w:t>
            </w:r>
            <w:r>
              <w:rPr>
                <w:rFonts w:hint="eastAsia" w:ascii="仿宋" w:hAnsi="仿宋" w:eastAsia="仿宋" w:cs="宋体"/>
                <w:kern w:val="0"/>
                <w:sz w:val="20"/>
                <w:szCs w:val="20"/>
              </w:rPr>
              <w:t>0</w:t>
            </w:r>
          </w:p>
        </w:tc>
        <w:tc>
          <w:tcPr>
            <w:tcW w:w="5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30" w:lineRule="atLeast"/>
              <w:jc w:val="left"/>
              <w:rPr>
                <w:rFonts w:ascii="宋体" w:hAnsi="宋体" w:eastAsia="宋体" w:cs="宋体"/>
                <w:kern w:val="0"/>
                <w:sz w:val="24"/>
                <w:szCs w:val="24"/>
              </w:rPr>
            </w:pPr>
            <w:r>
              <w:rPr>
                <w:rFonts w:hint="eastAsia" w:ascii="仿宋" w:hAnsi="仿宋" w:eastAsia="仿宋" w:cs="宋体"/>
                <w:kern w:val="0"/>
                <w:sz w:val="24"/>
                <w:szCs w:val="24"/>
              </w:rPr>
              <w:t>0</w:t>
            </w:r>
          </w:p>
        </w:tc>
      </w:tr>
    </w:tbl>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五、存在的主要问题及改进情况</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一）存在的主要问题。一方面是主动性和创造性不足。政务公开工作只满足于按部就班、及时整改，对于政务公开工作的思路和办法思考不多、探索不多，没有结合实际，将工作中的特色做法总结出来，没有推陈出新、打造亮点。</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二）改进情况。一是在基层“两化”上下功夫。全面推进基层政务公开标准化规范化建设，进一步拓宽基层政务公开渠道，为群众提供更加便捷的政务信息获取渠道。二是在业务培训上下功夫。充分利用上级领导、专家、高校在政务公开、政府网站等方面理论知识的优势资源，不断增强业务人员工作能力和水平。三是在营造工作氛围上下功夫。进一步提高系统干部职工对政务公开工作的认识，加强对政务公开工作必要性和重要性的宣传教育，着力提升其对政务公开工作的重视程度，营造积极主动公开的良好氛围。</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六、其他需要报告的事项</w:t>
      </w:r>
    </w:p>
    <w:p>
      <w:pPr>
        <w:widowControl/>
        <w:spacing w:before="100" w:beforeAutospacing="1" w:after="100" w:afterAutospacing="1"/>
        <w:ind w:firstLine="640" w:firstLineChars="200"/>
        <w:jc w:val="left"/>
        <w:rPr>
          <w:rFonts w:ascii="宋体" w:hAnsi="宋体" w:eastAsia="宋体" w:cs="宋体"/>
          <w:kern w:val="0"/>
          <w:sz w:val="24"/>
          <w:szCs w:val="24"/>
        </w:rPr>
      </w:pPr>
      <w:r>
        <w:rPr>
          <w:rFonts w:hint="eastAsia" w:ascii="仿宋" w:hAnsi="仿宋" w:eastAsia="仿宋" w:cs="宋体"/>
          <w:color w:val="000000"/>
          <w:kern w:val="0"/>
          <w:sz w:val="32"/>
          <w:szCs w:val="32"/>
        </w:rPr>
        <w:t>（一）</w:t>
      </w:r>
      <w:r>
        <w:rPr>
          <w:rFonts w:hint="eastAsia" w:ascii="仿宋" w:hAnsi="仿宋" w:eastAsia="仿宋" w:cs="宋体"/>
          <w:kern w:val="0"/>
          <w:sz w:val="32"/>
          <w:szCs w:val="32"/>
        </w:rPr>
        <w:t>按照《国务院办公厅关于印发&lt;政府信息公开信息处理费管理办法&gt;的通知》(国办函〔2020〕109号)和《安徽省财政厅安徽省发展和改革委员会关于政府信息公开信息处理费用有关事项的通知》（皖财综[2021]28号）文件，本年度未收取信息处理费。</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仿宋" w:hAnsi="仿宋" w:eastAsia="仿宋" w:cs="宋体"/>
          <w:color w:val="000000"/>
          <w:kern w:val="0"/>
          <w:sz w:val="32"/>
          <w:szCs w:val="32"/>
        </w:rPr>
        <w:t>（二）按照《安徽省教育领域公共企事业单位信息公开指引目录》的通知（皖教秘</w:t>
      </w:r>
      <w:r>
        <w:rPr>
          <w:rFonts w:hint="eastAsia" w:ascii="仿宋" w:hAnsi="仿宋" w:eastAsia="仿宋" w:cs="宋体"/>
          <w:kern w:val="0"/>
          <w:sz w:val="32"/>
          <w:szCs w:val="32"/>
        </w:rPr>
        <w:t>〔2022〕478号</w:t>
      </w:r>
      <w:r>
        <w:rPr>
          <w:rFonts w:hint="eastAsia" w:ascii="仿宋" w:hAnsi="仿宋" w:eastAsia="仿宋" w:cs="宋体"/>
          <w:color w:val="000000"/>
          <w:kern w:val="0"/>
          <w:sz w:val="32"/>
          <w:szCs w:val="32"/>
        </w:rPr>
        <w:t>）的要求，2022年县教育局新增6所学校做为公共企事业单位 信息公开试点单位，在基层政务公开、政策咨询服务、政务公开平台建设等方面，县教育局强化公开，推动政务服务标准化；丰富形式，增强政策解读易懂化；整合资源，推动平台建设规范化。推动信息公开透明高效。严格遵循“公开是常态、不公开是例外”的原则，做到规范程序、主动公开、保证时效，助力营商环境优化。</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宋体" w:hAnsi="宋体" w:eastAsia="宋体" w:cs="宋体"/>
          <w:color w:val="000000"/>
          <w:kern w:val="0"/>
          <w:sz w:val="32"/>
          <w:szCs w:val="32"/>
        </w:rPr>
        <w:t> </w:t>
      </w:r>
    </w:p>
    <w:p>
      <w:pPr>
        <w:widowControl/>
        <w:shd w:val="clear" w:color="auto" w:fill="FFFFFF"/>
        <w:spacing w:before="100" w:beforeAutospacing="1" w:after="100" w:afterAutospacing="1" w:line="578" w:lineRule="atLeast"/>
        <w:ind w:firstLine="640"/>
        <w:jc w:val="left"/>
        <w:rPr>
          <w:rFonts w:ascii="宋体" w:hAnsi="宋体" w:eastAsia="宋体" w:cs="宋体"/>
          <w:kern w:val="0"/>
          <w:sz w:val="24"/>
          <w:szCs w:val="24"/>
        </w:rPr>
      </w:pPr>
      <w:r>
        <w:rPr>
          <w:rFonts w:hint="eastAsia" w:ascii="宋体" w:hAnsi="宋体" w:eastAsia="宋体" w:cs="宋体"/>
          <w:color w:val="000000"/>
          <w:kern w:val="0"/>
          <w:sz w:val="32"/>
          <w:szCs w:val="32"/>
        </w:rPr>
        <w:t> </w:t>
      </w:r>
    </w:p>
    <w:p>
      <w:pPr>
        <w:widowControl/>
        <w:shd w:val="clear" w:color="auto" w:fill="FFFFFF"/>
        <w:spacing w:before="100" w:beforeAutospacing="1" w:after="100" w:afterAutospacing="1" w:line="578" w:lineRule="atLeast"/>
        <w:ind w:firstLine="5760"/>
        <w:jc w:val="right"/>
        <w:rPr>
          <w:rFonts w:ascii="宋体" w:hAnsi="宋体" w:eastAsia="宋体" w:cs="宋体"/>
          <w:kern w:val="0"/>
          <w:sz w:val="24"/>
          <w:szCs w:val="24"/>
        </w:rPr>
      </w:pPr>
      <w:r>
        <w:rPr>
          <w:rFonts w:hint="eastAsia" w:ascii="仿宋" w:hAnsi="仿宋" w:eastAsia="仿宋" w:cs="宋体"/>
          <w:color w:val="000000"/>
          <w:kern w:val="0"/>
          <w:sz w:val="32"/>
          <w:szCs w:val="32"/>
        </w:rPr>
        <w:t>2023年1月27日</w:t>
      </w:r>
    </w:p>
    <w:bookmarkEnd w:id="0"/>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R5nqFPfTDT9Y077s0OlIRhFcF8A=" w:salt="GkRVgvobwT5zczaej9HGf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ZjM1ZTIwMDhlZGRmMzllOTY1N2NjMjFiNmExM2QifQ=="/>
  </w:docVars>
  <w:rsids>
    <w:rsidRoot w:val="000B6F39"/>
    <w:rsid w:val="000B6F39"/>
    <w:rsid w:val="006178D6"/>
    <w:rsid w:val="00B41443"/>
    <w:rsid w:val="2460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2931</Words>
  <Characters>3024</Characters>
  <Lines>25</Lines>
  <Paragraphs>7</Paragraphs>
  <TotalTime>19</TotalTime>
  <ScaleCrop>false</ScaleCrop>
  <LinksUpToDate>false</LinksUpToDate>
  <CharactersWithSpaces>3215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2023-01-28T03:18:00Z</dcterms:created>
  <dc:creator>管理员</dc:creator>
  <cp:lastModifiedBy>管理员</cp:lastModifiedBy>
  <dcterms:modified xsi:type="dcterms:W3CDTF">2023-01-28T03:43:43Z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FC447F63C81141168D45446DD3D33193</vt:lpwstr>
  </property>
</Properties>
</file>