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pacing w:val="-17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7"/>
          <w:sz w:val="44"/>
          <w:szCs w:val="44"/>
          <w:lang w:val="en-US" w:eastAsia="zh-CN"/>
        </w:rPr>
        <w:t>关于2023年开展“送戏进万村”活动方案的</w:t>
      </w:r>
    </w:p>
    <w:p>
      <w:pPr>
        <w:jc w:val="center"/>
        <w:rPr>
          <w:rFonts w:hint="eastAsia" w:ascii="宋体" w:hAnsi="宋体" w:eastAsia="宋体" w:cs="宋体"/>
          <w:b/>
          <w:bCs/>
          <w:spacing w:val="-17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7"/>
          <w:sz w:val="44"/>
          <w:szCs w:val="44"/>
          <w:lang w:val="en-US" w:eastAsia="zh-CN"/>
        </w:rPr>
        <w:t>通  知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各股室、乡镇综合文化站：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b w:val="0"/>
          <w:bCs w:val="0"/>
          <w:w w:val="95"/>
          <w:sz w:val="32"/>
          <w:szCs w:val="32"/>
          <w:lang w:eastAsia="zh-CN"/>
        </w:rPr>
        <w:t>淮南市文化和旅游局</w:t>
      </w:r>
      <w:r>
        <w:rPr>
          <w:rFonts w:hint="eastAsia" w:ascii="仿宋_GB2312" w:hAnsi="仿宋_GB2312" w:eastAsia="仿宋_GB2312" w:cs="仿宋_GB2312"/>
          <w:b w:val="0"/>
          <w:bCs w:val="0"/>
          <w:w w:val="95"/>
          <w:sz w:val="32"/>
          <w:szCs w:val="32"/>
        </w:rPr>
        <w:t>关于202</w:t>
      </w:r>
      <w:r>
        <w:rPr>
          <w:rFonts w:hint="eastAsia" w:ascii="仿宋_GB2312" w:hAnsi="仿宋_GB2312" w:eastAsia="仿宋_GB2312" w:cs="仿宋_GB2312"/>
          <w:b w:val="0"/>
          <w:bCs w:val="0"/>
          <w:w w:val="95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w w:val="95"/>
          <w:sz w:val="32"/>
          <w:szCs w:val="32"/>
        </w:rPr>
        <w:t>年采取政府购买服务方式开展“送戏进万村”活动的通知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淮文旅办〔202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）文件精神，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为贯彻落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二十大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、省第十一次党代会精神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创新实施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文化惠民工程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增强淮南文化归属感和软实力，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年继续采取政府购买服务方式开展“送戏进万村”活动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。实施方案如下：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一、坚持正确导向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坚持以人民为中心的工作导向，围绕举旗帜、聚民心、育新人、兴文化、展形象建设社会主义文化强国，大力弘扬社会主义核心价值观，传承发展优秀传统文化，更好凝聚正能量、提振精气神，增强文化自信，促进人民精神生活共同富裕。演出剧（节）目应符合乡村实际、体现乡土特色、内容健康向上、形式丰富多样、群众喜闻乐见。戏曲专场可演出整本大戏或3-5个小戏、折子戏。鼓励演出单位创作演出现实题材作品，打造更多反映新时代乡村振兴、平安建设、农民工权益保护、预防未成年人违法犯罪、安全生产、知识产权保护、质量标杆、移风易俗及“文明创建”等主题的优秀作品。根据群众需求，适当安排综艺演出节目。每场演出时长一般不少于100分钟。鼓励各县区将本地新创现实题材优秀剧目、非遗传统戏曲作品，纳入购买服务清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二、严格采购条件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保证演出质量，参与采购的演出服务单位应具备以下条件：符合《中华人民共和国政府采购法》第二十二条第一款规定，领取《营业性演出许可证》2年以上（含2年）的国有、民营文艺表演团体；演出业绩良好，无违法违规经营行为记录；具有一定规模，演出器材齐备，固定演职人员不少于20人（其中专业艺术院校毕业或艺术类专业技术职称的演员占比不少于10%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三、加强规范管理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加强送戏进万村活动全过程管理。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是送戏演出采取政府采购方式，按照相关法律法规规定程序实施。根据工作需要预采购。因地制宜合理划分标段，以保证演出质量；二是中标服务单位、演出内容等应及时公布，接受社会监督；三是每个行政村4400元补助资金，全部用于送戏活动，不得挪作他用；四是中标服务单位要严格履行采购合同，不得擅自变更确定的节目内容；五是严禁服务转包或变相转包行为。对违反上述规定的组织实施单位、演出服务单位，将予以通报批评。擅自变更节目内容、服务转包、变相转包的中标服务单位，一经发现立即终止合同，以后不得再参加此类公开招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四、注重活动实效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一是及时招标采购。根据采购任务要求，科学合理编制采购需求。采购需求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应经专家评审会论证和集体研究，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明确采购标的种类、技术标准、关键参数，以及要求供应商响应的其它具体条件；明确采购方式，明确评审办法、评审标准和定标办法等；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结合我县农村常住人口数量情况，明确现场观众人数底线，坚决避免“空场”演出情况；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应当经专家评审会论证和集体研究，要求内容详尽、目标明确、配套资料完整，实现政府采购“物有所值”和质量效益的目标。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立供应商诚信履约承诺机制，采购文件应当设置供应商诚信履约承诺函，事先告知不按规定签订合同或者履行合同的法律风险，并要求供应商对编制演出方案、观众人数、主要演职人员及人数等重要事项在投标（响应）文件中承诺诚信履约，防范不按规定签订合同或者不按规定履行合同行为的发生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年“送戏进万村”活动招标采购工作，原则上在202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月底前完成。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是认真组织实施。要结合我县实际，精准对接群众需求，制作节目清单，由群众“点单”，确定送戏演出剧目；要与中标演出服务单位共同制定实施方案、演出计划，多利用农闲、传统节庆、节假日安排演出，避免在农忙季节或恶劣天气条件下演出；通过县文化馆、乡镇文化站指导所在村业余文艺团队参与演出，增强活动互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是加大活动宣传。完善演出宣传机制，指导乡镇和行政村在演出前一周、演出前三天、演出当天等时间节点，利用网站、新媒体、乡村大喇叭、公示栏、宣传车等方式，加大活动宣传，提高群众知晓率、参与度。演出背景应统一制作“安徽省文化惠民工程·送戏进万村活动”标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四是确保活动安全。根据常态化疫情防控要求，始终把广大群众生命安全和身体健康放在第一位，统筹做好疫情防控和送戏工作。周密部署，加强安全教育，完善管理制度，做好应急预案，特别是在组织群众观看演出过程中，各参与方要增强安全意识，确保送戏活动顺利实施和观众安全观演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五、明确职责任务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县文旅体局行政部门负责送戏进万村活动的统筹、指导，采取调研、定期调度等形式，督促活动开展，及时掌握进度，指导提升活动实效。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“送戏进万村”采购文件、演出计划由市局进行审核把关，研究同意后，方可执行，并报省文化和旅游厅公共服务处归档。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县文化旅游体育局行政部门是“送戏进万村”活动实施主体，负责开展供需摸底调研、制定实施方案、组织招标采购、公开服务信息、跟踪督导及绩效评估。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乡镇负责做好群众需求征集工作，协调中标演出服务单位、行政村等，落实演出场地，广泛宣传发动，维护演出秩序，演出现场质量监督。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行政村负责做好活动宣传、提供演出场地、观众组织等工作，尤其要提前公布、广泛宣传演出信息，协助乡镇做好群众意见建议征集工作和演出现场质量监督。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六、加强督促检查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文旅体局行政部门会同财政部门，按照采购计划、合同执行、质量效果、资金使用等进行动态跟踪督查，确保活动有质有序推进。通过乡镇综合文化站、文化市场执法机构等，加强演出现场督查。建立送戏进万村服务反馈和群众满意度测评，每场演出由演出单位现场填写统一制式的服务回执单（见附件1），经演出地行政村委会盖章、乡镇文化站审核后，报县文旅体局行政部门存档备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文旅体局行政部门要按照“送戏进万村”管理服务网络平台有关要求，及时发布采购公告、中标信息、演出计划等，上传演出视频、报送相关信息等。每场演出要上传2分钟以内的短视频，短视频应能反映演出现场时间、地点、演出人员、观众数量等。每个中标演出服务单位应进行1个以上整场视频现场实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“送戏进万村”活动已列入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省委、市委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乡村振兴战略实绩考核、省、市文化和旅游主管部门年度重点工作测评指标。202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月底前，县文旅体局文化艺术与产业股负责收集辖区内202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年度“送戏进万村”活动视频，会同总结材料及数据采集表（见附件2）统一报送市文化和旅游局。市文化和旅游局将结合各地工作开展情况进行综合考评。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资金筹措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个行政村，农村文化活动（“送戏进万村”）每村每年4400元。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县文旅体局财务室积极与县财政局协调，按照《淮南市财政局 淮南市文化和旅游局关于下达2023年公共文化场馆免费开放和农村文化建设中央、省级及市级补助资金的通知》（教〔2023〕48 号）要求，统筹上级补助资金和本级财力实施，足额落实活动经费，确保“送戏进万村”活动顺利实施。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 1. 安徽省“送戏进万村”演出服务回执单.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“送戏进万村”工作数据采集表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3.演出现场情况统计表</w:t>
      </w: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凤台县文化旅游体育局</w:t>
      </w:r>
    </w:p>
    <w:p>
      <w:pPr>
        <w:spacing w:line="580" w:lineRule="exact"/>
        <w:ind w:firstLine="5120" w:firstLineChars="16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2023年3月8日</w:t>
      </w:r>
    </w:p>
    <w:p>
      <w:pPr>
        <w:spacing w:line="580" w:lineRule="exact"/>
        <w:ind w:firstLine="5120" w:firstLineChars="1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580" w:lineRule="exact"/>
        <w:ind w:firstLine="5120" w:firstLineChars="1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580" w:lineRule="exact"/>
        <w:ind w:firstLine="5120" w:firstLineChars="1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580" w:lineRule="exact"/>
        <w:ind w:firstLine="5120" w:firstLineChars="1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580" w:lineRule="exact"/>
        <w:ind w:firstLine="5120" w:firstLineChars="1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年安徽省“送戏进万村”</w:t>
      </w:r>
    </w:p>
    <w:p>
      <w:pPr>
        <w:widowControl/>
        <w:shd w:val="clear" w:color="auto" w:fill="FFFFFF"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演出服务回执单</w:t>
      </w:r>
    </w:p>
    <w:p>
      <w:pPr>
        <w:widowControl/>
        <w:shd w:val="clear" w:color="auto" w:fill="FFFFFF"/>
        <w:spacing w:line="400" w:lineRule="exact"/>
        <w:jc w:val="center"/>
        <w:rPr>
          <w:rFonts w:hint="default" w:ascii="Times New Roman" w:hAnsi="Times New Roman" w:eastAsia="宋体" w:cs="Times New Roman"/>
          <w:kern w:val="0"/>
          <w:szCs w:val="32"/>
        </w:rPr>
      </w:pPr>
      <w:r>
        <w:rPr>
          <w:rFonts w:hint="default" w:ascii="Times New Roman" w:hAnsi="Times New Roman" w:eastAsia="宋体" w:cs="Times New Roman"/>
          <w:kern w:val="0"/>
          <w:szCs w:val="32"/>
        </w:rPr>
        <w:t> 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2"/>
        <w:gridCol w:w="3054"/>
        <w:gridCol w:w="1624"/>
        <w:gridCol w:w="22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演出单位名称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负责人及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演出地点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（所在行政村）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演出日期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演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出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内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容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（填演出节目类型、名称、主要演员，可附节目单）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行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政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村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证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明</w:t>
            </w:r>
          </w:p>
        </w:tc>
        <w:tc>
          <w:tcPr>
            <w:tcW w:w="6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观众人数：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  <w:t>     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人；演出时长：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分钟；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满 意 度：①满意 ②基本满意 ③不满意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         （在相应选项序号上划“√”）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                   行政村委会（盖章）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年  月  日</w:t>
            </w:r>
          </w:p>
          <w:p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负责人：                 电  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211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4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乡镇文化站</w:t>
            </w:r>
          </w:p>
          <w:p>
            <w:pPr>
              <w:widowControl/>
              <w:spacing w:line="400" w:lineRule="exact"/>
              <w:ind w:firstLine="24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             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年  月  日</w:t>
            </w:r>
          </w:p>
          <w:p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负责人：                 电  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9" w:hRule="atLeast"/>
          <w:jc w:val="center"/>
        </w:trPr>
        <w:tc>
          <w:tcPr>
            <w:tcW w:w="211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4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意见和建议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400" w:lineRule="exact"/>
        <w:jc w:val="left"/>
        <w:rPr>
          <w:rFonts w:hint="default" w:ascii="Times New Roman" w:hAnsi="Times New Roman" w:eastAsia="宋体" w:cs="Times New Roman"/>
          <w:b/>
          <w:kern w:val="0"/>
          <w:sz w:val="28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32"/>
        </w:rPr>
        <w:t>注：本回执一式三份，县级文化和旅游部门、演出所在行政村、演出单位各保留一份。本回执作为项目验收、绩效评估的重要依据。</w:t>
      </w:r>
    </w:p>
    <w:p>
      <w:pPr>
        <w:widowControl/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“送戏进万村”工作数据采集表</w:t>
      </w:r>
    </w:p>
    <w:p>
      <w:pPr>
        <w:widowControl/>
        <w:spacing w:line="560" w:lineRule="exact"/>
        <w:ind w:right="930"/>
        <w:rPr>
          <w:rFonts w:hint="default" w:ascii="Times New Roman" w:hAnsi="Times New Roman" w:eastAsia="方正小标宋简体" w:cs="Times New Roman"/>
          <w:sz w:val="24"/>
          <w:szCs w:val="24"/>
        </w:rPr>
      </w:pPr>
    </w:p>
    <w:p>
      <w:pPr>
        <w:widowControl/>
        <w:spacing w:line="560" w:lineRule="exact"/>
        <w:ind w:right="930"/>
        <w:rPr>
          <w:rFonts w:hint="default" w:ascii="Times New Roman" w:hAnsi="Times New Roman" w:eastAsia="方正小标宋简体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</w:rPr>
        <w:t>填报单位：</w:t>
      </w:r>
      <w:r>
        <w:rPr>
          <w:rFonts w:hint="default" w:ascii="Times New Roman" w:hAnsi="Times New Roman" w:eastAsia="方正小标宋简体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24"/>
          <w:szCs w:val="24"/>
        </w:rPr>
        <w:t>市文化和旅游局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178"/>
        <w:gridCol w:w="851"/>
        <w:gridCol w:w="101"/>
        <w:gridCol w:w="182"/>
        <w:gridCol w:w="568"/>
        <w:gridCol w:w="810"/>
        <w:gridCol w:w="15"/>
        <w:gridCol w:w="1035"/>
        <w:gridCol w:w="690"/>
        <w:gridCol w:w="465"/>
        <w:gridCol w:w="525"/>
        <w:gridCol w:w="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05" w:type="dxa"/>
            <w:gridSpan w:val="9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年全年演出总场次（场）</w:t>
            </w:r>
          </w:p>
        </w:tc>
        <w:tc>
          <w:tcPr>
            <w:tcW w:w="2095" w:type="dxa"/>
            <w:gridSpan w:val="4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05" w:type="dxa"/>
            <w:gridSpan w:val="9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年观众总数（人次）</w:t>
            </w:r>
          </w:p>
        </w:tc>
        <w:tc>
          <w:tcPr>
            <w:tcW w:w="2095" w:type="dxa"/>
            <w:gridSpan w:val="4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765" w:type="dxa"/>
            <w:vMerge w:val="restar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观众情况</w:t>
            </w:r>
          </w:p>
        </w:tc>
        <w:tc>
          <w:tcPr>
            <w:tcW w:w="2130" w:type="dxa"/>
            <w:gridSpan w:val="3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男女比例</w:t>
            </w:r>
          </w:p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（百分比）</w:t>
            </w:r>
          </w:p>
        </w:tc>
        <w:tc>
          <w:tcPr>
            <w:tcW w:w="1575" w:type="dxa"/>
            <w:gridSpan w:val="4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男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女</w:t>
            </w:r>
          </w:p>
        </w:tc>
        <w:tc>
          <w:tcPr>
            <w:tcW w:w="940" w:type="dxa"/>
            <w:gridSpan w:val="2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65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年龄分布</w:t>
            </w:r>
          </w:p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（百分比）</w:t>
            </w:r>
          </w:p>
        </w:tc>
        <w:tc>
          <w:tcPr>
            <w:tcW w:w="750" w:type="dxa"/>
            <w:gridSpan w:val="2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20岁以下</w:t>
            </w:r>
          </w:p>
        </w:tc>
        <w:tc>
          <w:tcPr>
            <w:tcW w:w="825" w:type="dxa"/>
            <w:gridSpan w:val="2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20岁-59岁</w:t>
            </w:r>
          </w:p>
        </w:tc>
        <w:tc>
          <w:tcPr>
            <w:tcW w:w="690" w:type="dxa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60岁及以上</w:t>
            </w:r>
          </w:p>
        </w:tc>
        <w:tc>
          <w:tcPr>
            <w:tcW w:w="415" w:type="dxa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65" w:type="dxa"/>
            <w:vMerge w:val="restar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戏曲偏好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剧种</w:t>
            </w:r>
          </w:p>
        </w:tc>
        <w:tc>
          <w:tcPr>
            <w:tcW w:w="5657" w:type="dxa"/>
            <w:gridSpan w:val="11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5" w:type="dxa"/>
            <w:vMerge w:val="continue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类型及代表剧目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老戏</w:t>
            </w:r>
          </w:p>
        </w:tc>
        <w:tc>
          <w:tcPr>
            <w:tcW w:w="4523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5" w:type="dxa"/>
            <w:vMerge w:val="continue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8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传统戏</w:t>
            </w:r>
          </w:p>
        </w:tc>
        <w:tc>
          <w:tcPr>
            <w:tcW w:w="4523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65" w:type="dxa"/>
            <w:vMerge w:val="continue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8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现代戏</w:t>
            </w:r>
          </w:p>
        </w:tc>
        <w:tc>
          <w:tcPr>
            <w:tcW w:w="4523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65" w:type="dxa"/>
            <w:vMerge w:val="restar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年参演</w:t>
            </w:r>
          </w:p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院团情况</w:t>
            </w:r>
          </w:p>
        </w:tc>
        <w:tc>
          <w:tcPr>
            <w:tcW w:w="4740" w:type="dxa"/>
            <w:gridSpan w:val="8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国有文艺表演团体（个）</w:t>
            </w:r>
          </w:p>
        </w:tc>
        <w:tc>
          <w:tcPr>
            <w:tcW w:w="2095" w:type="dxa"/>
            <w:gridSpan w:val="4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65" w:type="dxa"/>
            <w:vMerge w:val="continue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8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民营艺术表演团体（个）</w:t>
            </w:r>
          </w:p>
        </w:tc>
        <w:tc>
          <w:tcPr>
            <w:tcW w:w="2095" w:type="dxa"/>
            <w:gridSpan w:val="4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65" w:type="dxa"/>
            <w:vMerge w:val="continue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8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2095" w:type="dxa"/>
            <w:gridSpan w:val="4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65" w:type="dxa"/>
            <w:vMerge w:val="restart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政府购买服务情况</w:t>
            </w:r>
          </w:p>
        </w:tc>
        <w:tc>
          <w:tcPr>
            <w:tcW w:w="4740" w:type="dxa"/>
            <w:gridSpan w:val="8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采购方式及场次</w:t>
            </w:r>
          </w:p>
        </w:tc>
        <w:tc>
          <w:tcPr>
            <w:tcW w:w="2095" w:type="dxa"/>
            <w:gridSpan w:val="4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65" w:type="dxa"/>
            <w:vMerge w:val="continue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8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政府采购平均中标价</w:t>
            </w:r>
          </w:p>
        </w:tc>
        <w:tc>
          <w:tcPr>
            <w:tcW w:w="2095" w:type="dxa"/>
            <w:gridSpan w:val="4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5" w:type="dxa"/>
            <w:vMerge w:val="continue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8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采购完成时间</w:t>
            </w:r>
          </w:p>
        </w:tc>
        <w:tc>
          <w:tcPr>
            <w:tcW w:w="2095" w:type="dxa"/>
            <w:gridSpan w:val="4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65" w:type="dxa"/>
            <w:vMerge w:val="restart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年培训</w:t>
            </w:r>
          </w:p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辅导情况</w:t>
            </w:r>
          </w:p>
        </w:tc>
        <w:tc>
          <w:tcPr>
            <w:tcW w:w="2029" w:type="dxa"/>
            <w:gridSpan w:val="2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场次（场）</w:t>
            </w:r>
          </w:p>
        </w:tc>
        <w:tc>
          <w:tcPr>
            <w:tcW w:w="1661" w:type="dxa"/>
            <w:gridSpan w:val="4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人次</w:t>
            </w:r>
          </w:p>
        </w:tc>
        <w:tc>
          <w:tcPr>
            <w:tcW w:w="2095" w:type="dxa"/>
            <w:gridSpan w:val="4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65" w:type="dxa"/>
            <w:vMerge w:val="continue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8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村级乡土文化能人数</w:t>
            </w:r>
          </w:p>
        </w:tc>
        <w:tc>
          <w:tcPr>
            <w:tcW w:w="2095" w:type="dxa"/>
            <w:gridSpan w:val="4"/>
            <w:noWrap w:val="0"/>
            <w:vAlign w:val="top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b/>
          <w:szCs w:val="21"/>
        </w:rPr>
      </w:pPr>
    </w:p>
    <w:p>
      <w:pPr>
        <w:ind w:firstLine="211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Cs w:val="21"/>
        </w:rPr>
        <w:t>附注：202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szCs w:val="21"/>
        </w:rPr>
        <w:t>年地方经费投入（不含中央、省补助资金）</w:t>
      </w:r>
      <w:r>
        <w:rPr>
          <w:rFonts w:hint="default" w:ascii="Times New Roman" w:hAnsi="Times New Roman" w:eastAsia="宋体" w:cs="Times New Roman"/>
          <w:b/>
          <w:szCs w:val="21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b/>
          <w:szCs w:val="21"/>
        </w:rPr>
        <w:t>万元，202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szCs w:val="21"/>
        </w:rPr>
        <w:t>年经费拟投入</w:t>
      </w:r>
      <w:r>
        <w:rPr>
          <w:rFonts w:hint="default" w:ascii="Times New Roman" w:hAnsi="Times New Roman" w:eastAsia="宋体" w:cs="Times New Roman"/>
          <w:b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b/>
          <w:szCs w:val="21"/>
        </w:rPr>
        <w:t>万元。</w:t>
      </w: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74" w:right="1531" w:bottom="1361" w:left="1701" w:header="851" w:footer="1191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jc w:val="both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演出现场情况统计表</w:t>
      </w:r>
    </w:p>
    <w:p>
      <w:pPr>
        <w:rPr>
          <w:rFonts w:hint="eastAsia" w:ascii="Calibri" w:hAnsi="Calibri" w:eastAsia="宋体" w:cs="Times New Roman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单位（盖章）：                                                      时间：</w:t>
      </w:r>
    </w:p>
    <w:tbl>
      <w:tblPr>
        <w:tblStyle w:val="5"/>
        <w:tblW w:w="14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785"/>
        <w:gridCol w:w="1320"/>
        <w:gridCol w:w="1037"/>
        <w:gridCol w:w="1173"/>
        <w:gridCol w:w="806"/>
        <w:gridCol w:w="806"/>
        <w:gridCol w:w="943"/>
        <w:gridCol w:w="1142"/>
        <w:gridCol w:w="733"/>
        <w:gridCol w:w="1163"/>
        <w:gridCol w:w="1016"/>
        <w:gridCol w:w="806"/>
        <w:gridCol w:w="796"/>
        <w:gridCol w:w="838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行政村名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现场观众人数</w:t>
            </w:r>
          </w:p>
        </w:tc>
        <w:tc>
          <w:tcPr>
            <w:tcW w:w="10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参与演出的演员人数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采购文件中所列主要演员是否参演</w:t>
            </w:r>
          </w:p>
        </w:tc>
        <w:tc>
          <w:tcPr>
            <w:tcW w:w="8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演出剧种</w:t>
            </w:r>
          </w:p>
        </w:tc>
        <w:tc>
          <w:tcPr>
            <w:tcW w:w="8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演出剧目</w:t>
            </w:r>
          </w:p>
        </w:tc>
        <w:tc>
          <w:tcPr>
            <w:tcW w:w="9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演出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提前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宣传</w:t>
            </w:r>
          </w:p>
        </w:tc>
        <w:tc>
          <w:tcPr>
            <w:tcW w:w="11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宣传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演出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1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是否按演出计划实施</w:t>
            </w:r>
          </w:p>
        </w:tc>
        <w:tc>
          <w:tcPr>
            <w:tcW w:w="10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未按计划实施的原因</w:t>
            </w:r>
          </w:p>
        </w:tc>
        <w:tc>
          <w:tcPr>
            <w:tcW w:w="35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现场督查情况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市局是否现场督查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县局是否现场督查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乡镇文化站是否现场管理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村级文化管理员是否现场管理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9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9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9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9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  <w:sectPr>
          <w:footerReference r:id="rId7" w:type="first"/>
          <w:footerReference r:id="rId5" w:type="default"/>
          <w:headerReference r:id="rId4" w:type="even"/>
          <w:footerReference r:id="rId6" w:type="even"/>
          <w:pgSz w:w="16838" w:h="11906" w:orient="landscape"/>
          <w:pgMar w:top="1701" w:right="1474" w:bottom="1531" w:left="1361" w:header="851" w:footer="1191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r>
        <w:rPr>
          <w:rFonts w:hint="eastAsia" w:ascii="Calibri" w:hAnsi="Calibri" w:eastAsia="宋体" w:cs="Times New Roman"/>
          <w:lang w:val="en-US" w:eastAsia="zh-CN"/>
        </w:rPr>
        <w:t>注：此表由县</w:t>
      </w:r>
      <w:r>
        <w:rPr>
          <w:rFonts w:hint="eastAsia" w:ascii="Calibri" w:hAnsi="Calibri" w:cs="Times New Roman"/>
          <w:lang w:val="en-US" w:eastAsia="zh-CN"/>
        </w:rPr>
        <w:t>区</w:t>
      </w:r>
      <w:r>
        <w:rPr>
          <w:rFonts w:hint="eastAsia" w:ascii="Calibri" w:hAnsi="Calibri" w:eastAsia="宋体" w:cs="Times New Roman"/>
          <w:lang w:val="en-US" w:eastAsia="zh-CN"/>
        </w:rPr>
        <w:t>文化和旅游局负责统计填写，与每月《文化惠民工程任务分解表》一起报送</w:t>
      </w:r>
    </w:p>
    <w:p>
      <w:pPr>
        <w:spacing w:line="58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7ISzXAQAAsA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LicK8suTDCZ0th6ttKwGyaeO9+e&#10;kGaP+8Cow/WnxHxwKHdendmIs7GbjUOIet+V3cq1ILw9JOyttJwrjLBINTs4yEJ6Wrq8KX/7Jevx&#10;R9v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Ba+yEs1wEAALA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- 2 -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eastAsia="宋体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YTNmOWNiYTYyZGRhNjM1OTRmMGQ2MzIwMGJkMTcifQ=="/>
  </w:docVars>
  <w:rsids>
    <w:rsidRoot w:val="00000000"/>
    <w:rsid w:val="0DA35E45"/>
    <w:rsid w:val="1A05413F"/>
    <w:rsid w:val="3A5A5324"/>
    <w:rsid w:val="532760A3"/>
    <w:rsid w:val="53A674A4"/>
    <w:rsid w:val="5EB21B87"/>
    <w:rsid w:val="7C9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3404</Words>
  <Characters>3489</Characters>
  <Lines>0</Lines>
  <Paragraphs>0</Paragraphs>
  <TotalTime>3</TotalTime>
  <ScaleCrop>false</ScaleCrop>
  <LinksUpToDate>false</LinksUpToDate>
  <CharactersWithSpaces>3801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2023-03-20T03:45:00Z</dcterms:created>
  <dc:creator>Administrator</dc:creator>
  <cp:lastModifiedBy>Administrator</cp:lastModifiedBy>
  <cp:lastPrinted>2023-03-20T06:56:00Z</cp:lastPrinted>
  <dcterms:modified xsi:type="dcterms:W3CDTF">2023-05-23T03:44:10Z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A0C09BC5F3574A0E992D1CB7ED01468A</vt:lpwstr>
  </property>
</Properties>
</file>