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pPr>
      <w:r>
        <w:rPr>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8" w:lineRule="atLeast"/>
        <w:ind w:left="0" w:right="0" w:firstLine="480"/>
        <w:jc w:val="both"/>
      </w:pPr>
      <w:r>
        <w:rPr>
          <w:rFonts w:ascii="仿宋" w:hAnsi="仿宋" w:eastAsia="仿宋" w:cs="仿宋"/>
          <w:i w:val="0"/>
          <w:iCs w:val="0"/>
          <w:caps w:val="0"/>
          <w:color w:val="333333"/>
          <w:spacing w:val="0"/>
          <w:kern w:val="0"/>
          <w:sz w:val="32"/>
          <w:szCs w:val="32"/>
          <w:bdr w:val="none" w:color="auto" w:sz="0" w:space="0"/>
          <w:shd w:val="clear" w:fill="FFFFFF"/>
          <w:lang w:val="en-US" w:eastAsia="zh-CN" w:bidi="ar"/>
        </w:rPr>
        <w:t>本年度报告是根据《中华人民共和国政府信息公开条例》（国务院令</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xml:space="preserve"> 711 号）和《国务院办公厅政府信息与政务公开办公室关于工作年度报告有关事项的通知》（国办公开函〔2019〕60号）要求，由凤台县数据资源管理局编制。全文包括：2019年度总体情况，主动公开政府信息情况，收到和处理政府信息公开申请情况，政府信息公开行政复议行政诉讼情况，存在的主要问题及改进情况，其他需要报告的事项等6项内容。本年度报告中使用数据统计期限为2019年1月1日至12月31日。本年度报告的电子版可在凤台县人民政府网站（</w:t>
      </w:r>
      <w:r>
        <w:rPr>
          <w:rFonts w:asciiTheme="minorHAnsi" w:hAnsiTheme="minorHAnsi" w:eastAsiaTheme="minorEastAsia" w:cstheme="minorBidi"/>
          <w:kern w:val="0"/>
          <w:sz w:val="24"/>
          <w:szCs w:val="24"/>
          <w:bdr w:val="none" w:color="auto" w:sz="0" w:space="0"/>
          <w:lang w:val="en-US" w:eastAsia="zh-CN" w:bidi="ar"/>
        </w:rPr>
        <w:fldChar w:fldCharType="begin"/>
      </w:r>
      <w:r>
        <w:rPr>
          <w:rFonts w:asciiTheme="minorHAnsi" w:hAnsiTheme="minorHAnsi" w:eastAsiaTheme="minorEastAsia" w:cstheme="minorBidi"/>
          <w:kern w:val="0"/>
          <w:sz w:val="24"/>
          <w:szCs w:val="24"/>
          <w:bdr w:val="none" w:color="auto" w:sz="0" w:space="0"/>
          <w:lang w:val="en-US" w:eastAsia="zh-CN" w:bidi="ar"/>
        </w:rPr>
        <w:instrText xml:space="preserve"> HYPERLINK "http://jx.ah.gov.cn/" </w:instrText>
      </w:r>
      <w:r>
        <w:rPr>
          <w:rFonts w:asciiTheme="minorHAnsi" w:hAnsiTheme="minorHAnsi" w:eastAsiaTheme="minorEastAsia" w:cstheme="minorBidi"/>
          <w:kern w:val="0"/>
          <w:sz w:val="24"/>
          <w:szCs w:val="24"/>
          <w:bdr w:val="none" w:color="auto" w:sz="0" w:space="0"/>
          <w:lang w:val="en-US" w:eastAsia="zh-CN" w:bidi="ar"/>
        </w:rPr>
        <w:fldChar w:fldCharType="separate"/>
      </w:r>
      <w:r>
        <w:rPr>
          <w:rStyle w:val="6"/>
          <w:rFonts w:hint="eastAsia" w:ascii="仿宋" w:hAnsi="仿宋" w:eastAsia="仿宋" w:cs="仿宋"/>
          <w:i w:val="0"/>
          <w:iCs w:val="0"/>
          <w:caps w:val="0"/>
          <w:color w:val="333333"/>
          <w:spacing w:val="0"/>
          <w:sz w:val="32"/>
          <w:szCs w:val="32"/>
          <w:bdr w:val="none" w:color="auto" w:sz="0" w:space="0"/>
          <w:shd w:val="clear" w:fill="FFFFFF"/>
        </w:rPr>
        <w:t>http://www.ft.gov.cn/</w:t>
      </w:r>
      <w:r>
        <w:rPr>
          <w:rFonts w:asciiTheme="minorHAnsi" w:hAnsiTheme="minorHAnsi" w:eastAsiaTheme="minorEastAsia" w:cstheme="minorBidi"/>
          <w:kern w:val="0"/>
          <w:sz w:val="24"/>
          <w:szCs w:val="24"/>
          <w:bdr w:val="none" w:color="auto" w:sz="0" w:space="0"/>
          <w:lang w:val="en-US" w:eastAsia="zh-CN" w:bidi="ar"/>
        </w:rPr>
        <w:fldChar w:fldCharType="end"/>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政府信息公开“信息公开年度工作报告——凤台县人民政府”栏目下载。如对本报告有任何疑问，请与凤台县数据资源管理局联系（地址：淮南市凤台县凤城大道凤台县数据资源管理局2楼综合科，电话：0554-8682304，邮编：232100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8" w:lineRule="atLeast"/>
        <w:ind w:left="0" w:right="0" w:firstLine="480"/>
        <w:jc w:val="both"/>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8" w:lineRule="atLeast"/>
        <w:ind w:left="0" w:right="0" w:firstLine="640"/>
        <w:jc w:val="both"/>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2019年，凤台县人民政府以习近平新时代中国特色社会主义思想为指导，全面贯彻落实党的十九大和十九届三中、四中全会精神，严格落实《中华人民共和国政府信息公开条例》和国办发〔2019〕14 号决策部署，2019年度坚持以提升政务公开内容质量、拓展丰富内容形式为要求，认真贯彻落实新修订的《中华人民共和国政府信息公开条例》，重点提高群众关切的热点信息公开与回应，不断完善制度规范，至2019年底政务公开工作的提升与整改取得明显成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8" w:lineRule="atLeast"/>
        <w:ind w:left="0" w:right="0" w:firstLine="643"/>
        <w:jc w:val="both"/>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（一）主动公开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8" w:lineRule="atLeast"/>
        <w:ind w:left="0" w:right="0" w:firstLine="644"/>
        <w:jc w:val="both"/>
      </w:pPr>
      <w:r>
        <w:rPr>
          <w:rFonts w:hint="eastAsia" w:ascii="仿宋" w:hAnsi="仿宋" w:eastAsia="仿宋" w:cs="仿宋"/>
          <w:i w:val="0"/>
          <w:iCs w:val="0"/>
          <w:caps w:val="0"/>
          <w:color w:val="333333"/>
          <w:spacing w:val="1"/>
          <w:kern w:val="0"/>
          <w:sz w:val="32"/>
          <w:szCs w:val="32"/>
          <w:bdr w:val="none" w:color="auto" w:sz="0" w:space="0"/>
          <w:shd w:val="clear" w:fill="FFFFFF"/>
          <w:lang w:val="en-US" w:eastAsia="zh-CN" w:bidi="ar"/>
        </w:rPr>
        <w:t>全面推进</w:t>
      </w:r>
      <w:r>
        <w:rPr>
          <w:rFonts w:hint="eastAsia" w:ascii="仿宋" w:hAnsi="仿宋" w:eastAsia="仿宋" w:cs="仿宋"/>
          <w:i w:val="0"/>
          <w:iCs w:val="0"/>
          <w:caps w:val="0"/>
          <w:color w:val="333333"/>
          <w:spacing w:val="-9"/>
          <w:kern w:val="0"/>
          <w:sz w:val="32"/>
          <w:szCs w:val="32"/>
          <w:bdr w:val="none" w:color="auto" w:sz="0" w:space="0"/>
          <w:shd w:val="clear" w:fill="FFFFFF"/>
          <w:lang w:val="en-US" w:eastAsia="zh-CN" w:bidi="ar"/>
        </w:rPr>
        <w:t>各类政府信息公开。全县2019年度共更新发布信息18713条。</w:t>
      </w:r>
      <w:r>
        <w:rPr>
          <w:rFonts w:hint="eastAsia" w:ascii="仿宋" w:hAnsi="仿宋" w:eastAsia="仿宋" w:cs="仿宋"/>
          <w:i w:val="0"/>
          <w:iCs w:val="0"/>
          <w:caps w:val="0"/>
          <w:color w:val="333333"/>
          <w:spacing w:val="-2"/>
          <w:kern w:val="0"/>
          <w:sz w:val="32"/>
          <w:szCs w:val="32"/>
          <w:bdr w:val="none" w:color="auto" w:sz="0" w:space="0"/>
          <w:shd w:val="clear" w:fill="FFFFFF"/>
          <w:lang w:val="en-US" w:eastAsia="zh-CN" w:bidi="ar"/>
        </w:rPr>
        <w:t>及时更新发布县级机构领导、机构设置及人事信息29条，全县全年</w:t>
      </w:r>
      <w:r>
        <w:rPr>
          <w:rFonts w:hint="eastAsia" w:ascii="仿宋" w:hAnsi="仿宋" w:eastAsia="仿宋" w:cs="仿宋"/>
          <w:i w:val="0"/>
          <w:iCs w:val="0"/>
          <w:caps w:val="0"/>
          <w:color w:val="333333"/>
          <w:spacing w:val="-11"/>
          <w:kern w:val="0"/>
          <w:sz w:val="32"/>
          <w:szCs w:val="32"/>
          <w:bdr w:val="none" w:color="auto" w:sz="0" w:space="0"/>
          <w:shd w:val="clear" w:fill="FFFFFF"/>
          <w:lang w:val="en-US" w:eastAsia="zh-CN" w:bidi="ar"/>
        </w:rPr>
        <w:t>公开发布规范性文件177条</w:t>
      </w:r>
      <w:r>
        <w:rPr>
          <w:rFonts w:hint="eastAsia" w:ascii="仿宋" w:hAnsi="仿宋" w:eastAsia="仿宋" w:cs="仿宋"/>
          <w:i w:val="0"/>
          <w:iCs w:val="0"/>
          <w:caps w:val="0"/>
          <w:color w:val="333333"/>
          <w:spacing w:val="-6"/>
          <w:kern w:val="0"/>
          <w:sz w:val="32"/>
          <w:szCs w:val="32"/>
          <w:bdr w:val="none" w:color="auto" w:sz="0" w:space="0"/>
          <w:shd w:val="clear" w:fill="FFFFFF"/>
          <w:lang w:val="en-US" w:eastAsia="zh-CN" w:bidi="ar"/>
        </w:rPr>
        <w:t>；财务预决算、财政专项经费管理使用和“三公”经费信息1881</w:t>
      </w:r>
      <w:r>
        <w:rPr>
          <w:rFonts w:hint="eastAsia" w:ascii="仿宋" w:hAnsi="仿宋" w:eastAsia="仿宋" w:cs="仿宋"/>
          <w:i w:val="0"/>
          <w:iCs w:val="0"/>
          <w:caps w:val="0"/>
          <w:color w:val="333333"/>
          <w:spacing w:val="-15"/>
          <w:kern w:val="0"/>
          <w:sz w:val="32"/>
          <w:szCs w:val="32"/>
          <w:bdr w:val="none" w:color="auto" w:sz="0" w:space="0"/>
          <w:shd w:val="clear" w:fill="FFFFFF"/>
          <w:lang w:val="en-US" w:eastAsia="zh-CN" w:bidi="ar"/>
        </w:rPr>
        <w:t>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。2019年我县新增制定了13项政府信息公开制度、修订2项政府信息公开制度。制定了政府信息公开目录发布职责清单，将政府信息公开各目录的发布职责落实确定。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8" w:lineRule="atLeast"/>
        <w:ind w:left="0" w:right="0" w:firstLine="640"/>
        <w:jc w:val="both"/>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提升改善解读政策质量。</w:t>
      </w:r>
      <w:r>
        <w:rPr>
          <w:rFonts w:hint="eastAsia" w:ascii="仿宋" w:hAnsi="仿宋" w:eastAsia="仿宋" w:cs="仿宋"/>
          <w:i w:val="0"/>
          <w:iCs w:val="0"/>
          <w:caps w:val="0"/>
          <w:color w:val="333333"/>
          <w:spacing w:val="-6"/>
          <w:kern w:val="0"/>
          <w:sz w:val="32"/>
          <w:szCs w:val="32"/>
          <w:bdr w:val="none" w:color="auto" w:sz="0" w:space="0"/>
          <w:shd w:val="clear" w:fill="FFFFFF"/>
          <w:lang w:val="en-US" w:eastAsia="zh-CN" w:bidi="ar"/>
        </w:rPr>
        <w:t>通过</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采取数字化、</w:t>
      </w:r>
      <w:r>
        <w:rPr>
          <w:rFonts w:hint="eastAsia" w:ascii="仿宋" w:hAnsi="仿宋" w:eastAsia="仿宋" w:cs="仿宋"/>
          <w:i w:val="0"/>
          <w:iCs w:val="0"/>
          <w:caps w:val="0"/>
          <w:color w:val="333333"/>
          <w:spacing w:val="-5"/>
          <w:kern w:val="0"/>
          <w:sz w:val="32"/>
          <w:szCs w:val="32"/>
          <w:bdr w:val="none" w:color="auto" w:sz="0" w:space="0"/>
          <w:shd w:val="clear" w:fill="FFFFFF"/>
          <w:lang w:val="en-US" w:eastAsia="zh-CN" w:bidi="ar"/>
        </w:rPr>
        <w:t>图表图解、等多种方式对涉及优化营商环境、防灾减灾应急管理、扶贫政策、环境整治、拆迁安置等多个重点民生领域的政策文件进行了解读，共发布了24篇解读文件，另发布了媒体评论文章12篇</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8" w:lineRule="atLeast"/>
        <w:ind w:left="0" w:right="0" w:firstLine="616"/>
        <w:jc w:val="both"/>
      </w:pPr>
      <w:r>
        <w:rPr>
          <w:rFonts w:hint="eastAsia" w:ascii="仿宋" w:hAnsi="仿宋" w:eastAsia="仿宋" w:cs="仿宋"/>
          <w:i w:val="0"/>
          <w:iCs w:val="0"/>
          <w:caps w:val="0"/>
          <w:color w:val="333333"/>
          <w:spacing w:val="-6"/>
          <w:kern w:val="0"/>
          <w:sz w:val="32"/>
          <w:szCs w:val="32"/>
          <w:bdr w:val="none" w:color="auto" w:sz="0" w:space="0"/>
          <w:shd w:val="clear" w:fill="FFFFFF"/>
          <w:lang w:val="en-US" w:eastAsia="zh-CN" w:bidi="ar"/>
        </w:rPr>
        <w:t>主动回应关切。围绕社会普遍</w:t>
      </w:r>
      <w:r>
        <w:rPr>
          <w:rFonts w:hint="eastAsia" w:ascii="仿宋" w:hAnsi="仿宋" w:eastAsia="仿宋" w:cs="仿宋"/>
          <w:i w:val="0"/>
          <w:iCs w:val="0"/>
          <w:caps w:val="0"/>
          <w:color w:val="333333"/>
          <w:spacing w:val="-7"/>
          <w:kern w:val="0"/>
          <w:sz w:val="32"/>
          <w:szCs w:val="32"/>
          <w:bdr w:val="none" w:color="auto" w:sz="0" w:space="0"/>
          <w:shd w:val="clear" w:fill="FFFFFF"/>
          <w:lang w:val="en-US" w:eastAsia="zh-CN" w:bidi="ar"/>
        </w:rPr>
        <w:t>关心的高频事项，诸如猪肉涨价、气象预警、旱情响应、中考高考等，主动发声、及时回应，县级全年</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主动回应舆情热点信息39件次。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8" w:lineRule="atLeast"/>
        <w:ind w:left="0" w:right="0" w:firstLine="656"/>
        <w:jc w:val="both"/>
      </w:pPr>
      <w:r>
        <w:rPr>
          <w:rFonts w:hint="eastAsia" w:ascii="仿宋" w:hAnsi="仿宋" w:eastAsia="仿宋" w:cs="仿宋"/>
          <w:i w:val="0"/>
          <w:iCs w:val="0"/>
          <w:caps w:val="0"/>
          <w:color w:val="333333"/>
          <w:spacing w:val="4"/>
          <w:kern w:val="0"/>
          <w:sz w:val="32"/>
          <w:szCs w:val="32"/>
          <w:bdr w:val="none" w:color="auto" w:sz="0" w:space="0"/>
          <w:shd w:val="clear" w:fill="FFFFFF"/>
          <w:lang w:val="en-US" w:eastAsia="zh-CN" w:bidi="ar"/>
        </w:rPr>
        <w:t>深入提高重点领域公开质量。优化目录结构，突出重点领域，整合新增“放管服”、“三大攻坚战”目录，及时</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发布重大建设项目批准和实施、重大建设项目全生命周期信息、高质量发展、放管服改革、</w:t>
      </w:r>
      <w:r>
        <w:rPr>
          <w:rFonts w:hint="eastAsia" w:ascii="仿宋" w:hAnsi="仿宋" w:eastAsia="仿宋" w:cs="仿宋"/>
          <w:i w:val="0"/>
          <w:iCs w:val="0"/>
          <w:caps w:val="0"/>
          <w:color w:val="333333"/>
          <w:spacing w:val="-6"/>
          <w:kern w:val="0"/>
          <w:sz w:val="32"/>
          <w:szCs w:val="32"/>
          <w:bdr w:val="none" w:color="auto" w:sz="0" w:space="0"/>
          <w:shd w:val="clear" w:fill="FFFFFF"/>
          <w:lang w:val="en-US" w:eastAsia="zh-CN" w:bidi="ar"/>
        </w:rPr>
        <w:t>精准扶贫、污染防治、防范化解重大风险</w:t>
      </w:r>
      <w:r>
        <w:rPr>
          <w:rFonts w:hint="eastAsia" w:ascii="仿宋" w:hAnsi="仿宋" w:eastAsia="仿宋" w:cs="仿宋"/>
          <w:i w:val="0"/>
          <w:iCs w:val="0"/>
          <w:caps w:val="0"/>
          <w:color w:val="333333"/>
          <w:spacing w:val="-12"/>
          <w:kern w:val="0"/>
          <w:sz w:val="32"/>
          <w:szCs w:val="32"/>
          <w:bdr w:val="none" w:color="auto" w:sz="0" w:space="0"/>
          <w:shd w:val="clear" w:fill="FFFFFF"/>
          <w:lang w:val="en-US" w:eastAsia="zh-CN" w:bidi="ar"/>
        </w:rPr>
        <w:t>等</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重点</w:t>
      </w:r>
      <w:r>
        <w:rPr>
          <w:rFonts w:hint="eastAsia" w:ascii="仿宋" w:hAnsi="仿宋" w:eastAsia="仿宋" w:cs="仿宋"/>
          <w:i w:val="0"/>
          <w:iCs w:val="0"/>
          <w:caps w:val="0"/>
          <w:color w:val="333333"/>
          <w:spacing w:val="-16"/>
          <w:kern w:val="0"/>
          <w:sz w:val="32"/>
          <w:szCs w:val="32"/>
          <w:bdr w:val="none" w:color="auto" w:sz="0" w:space="0"/>
          <w:shd w:val="clear" w:fill="FFFFFF"/>
          <w:lang w:val="en-US" w:eastAsia="zh-CN" w:bidi="ar"/>
        </w:rPr>
        <w:t xml:space="preserve">领域信息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328件</w:t>
      </w:r>
      <w:r>
        <w:rPr>
          <w:rFonts w:hint="eastAsia" w:ascii="仿宋" w:hAnsi="仿宋" w:eastAsia="仿宋" w:cs="仿宋"/>
          <w:i w:val="0"/>
          <w:iCs w:val="0"/>
          <w:caps w:val="0"/>
          <w:color w:val="333333"/>
          <w:spacing w:val="-5"/>
          <w:kern w:val="0"/>
          <w:sz w:val="32"/>
          <w:szCs w:val="32"/>
          <w:bdr w:val="none" w:color="auto" w:sz="0" w:space="0"/>
          <w:shd w:val="clear" w:fill="FFFFFF"/>
          <w:lang w:val="en-US" w:eastAsia="zh-CN" w:bidi="ar"/>
        </w:rPr>
        <w:t>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8" w:lineRule="atLeast"/>
        <w:ind w:left="0" w:right="0" w:firstLine="643"/>
        <w:jc w:val="both"/>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（二）依申请公开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8" w:lineRule="atLeast"/>
        <w:ind w:left="0" w:right="0" w:firstLine="647"/>
        <w:jc w:val="both"/>
      </w:pPr>
      <w:r>
        <w:rPr>
          <w:rFonts w:hint="eastAsia" w:ascii="仿宋" w:hAnsi="仿宋" w:eastAsia="仿宋" w:cs="仿宋"/>
          <w:i w:val="0"/>
          <w:iCs w:val="0"/>
          <w:caps w:val="0"/>
          <w:color w:val="333333"/>
          <w:spacing w:val="-5"/>
          <w:kern w:val="0"/>
          <w:sz w:val="32"/>
          <w:szCs w:val="32"/>
          <w:bdr w:val="none" w:color="auto" w:sz="0" w:space="0"/>
          <w:shd w:val="clear" w:fill="FFFFFF"/>
          <w:lang w:val="en-US" w:eastAsia="zh-CN" w:bidi="ar"/>
        </w:rPr>
        <w:t>健全完善信息公开申请方式和申请渠道，保障“线上线下”申请渠道畅通、申请得到及时回复，全年全县共收到政府信息公开申请 18件次【均为自然人申请，线上申请15件次，信函申请3件次】。其中，予以公开10件次部分公开2件次，非本行政机关信息4件次，信息不存在1件次，其他处理1件次；全部申请事项均按要求做好回复和不予公开说明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8" w:lineRule="atLeast"/>
        <w:ind w:left="0" w:right="0" w:firstLine="671"/>
        <w:jc w:val="both"/>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（三）政府信息管理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8" w:lineRule="atLeast"/>
        <w:ind w:left="0" w:right="0" w:firstLine="647"/>
        <w:jc w:val="both"/>
      </w:pPr>
      <w:r>
        <w:rPr>
          <w:rFonts w:hint="eastAsia" w:ascii="仿宋" w:hAnsi="仿宋" w:eastAsia="仿宋" w:cs="仿宋"/>
          <w:i w:val="0"/>
          <w:iCs w:val="0"/>
          <w:caps w:val="0"/>
          <w:color w:val="333333"/>
          <w:spacing w:val="-5"/>
          <w:kern w:val="0"/>
          <w:sz w:val="32"/>
          <w:szCs w:val="32"/>
          <w:bdr w:val="none" w:color="auto" w:sz="0" w:space="0"/>
          <w:shd w:val="clear" w:fill="FFFFFF"/>
          <w:lang w:val="en-US" w:eastAsia="zh-CN" w:bidi="ar"/>
        </w:rPr>
        <w:t>印发凤台县政府信息公开发布协调、保密审查、工作监督检查、公文公开属性源头认定、重大行政决策事项预公开等13项制度，建立健全政务公开工作各项制度，以制度规范政务公开各项工作的合规性、以制度保障政府信息公开的安全性和及时性。全年全县累计发布各类信息</w:t>
      </w:r>
      <w:r>
        <w:rPr>
          <w:rFonts w:hint="eastAsia" w:ascii="仿宋" w:hAnsi="仿宋" w:eastAsia="仿宋" w:cs="仿宋"/>
          <w:i w:val="0"/>
          <w:iCs w:val="0"/>
          <w:caps w:val="0"/>
          <w:color w:val="333333"/>
          <w:spacing w:val="-9"/>
          <w:kern w:val="0"/>
          <w:sz w:val="32"/>
          <w:szCs w:val="32"/>
          <w:bdr w:val="none" w:color="auto" w:sz="0" w:space="0"/>
          <w:shd w:val="clear" w:fill="FFFFFF"/>
          <w:lang w:val="en-US" w:eastAsia="zh-CN" w:bidi="ar"/>
        </w:rPr>
        <w:t>18713</w:t>
      </w:r>
      <w:r>
        <w:rPr>
          <w:rFonts w:hint="eastAsia" w:ascii="仿宋" w:hAnsi="仿宋" w:eastAsia="仿宋" w:cs="仿宋"/>
          <w:i w:val="0"/>
          <w:iCs w:val="0"/>
          <w:caps w:val="0"/>
          <w:color w:val="333333"/>
          <w:spacing w:val="-5"/>
          <w:kern w:val="0"/>
          <w:sz w:val="32"/>
          <w:szCs w:val="32"/>
          <w:bdr w:val="none" w:color="auto" w:sz="0" w:space="0"/>
          <w:shd w:val="clear" w:fill="FFFFFF"/>
          <w:lang w:val="en-US" w:eastAsia="zh-CN" w:bidi="ar"/>
        </w:rPr>
        <w:t>条次，且全年无信息公开举报、复议和诉讼等情形。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8" w:lineRule="atLeast"/>
        <w:ind w:left="0" w:right="0" w:firstLine="651"/>
        <w:jc w:val="both"/>
      </w:pPr>
      <w:r>
        <w:rPr>
          <w:rFonts w:hint="eastAsia" w:ascii="仿宋" w:hAnsi="仿宋" w:eastAsia="仿宋" w:cs="仿宋"/>
          <w:b/>
          <w:bCs/>
          <w:i w:val="0"/>
          <w:iCs w:val="0"/>
          <w:caps w:val="0"/>
          <w:color w:val="333333"/>
          <w:spacing w:val="-5"/>
          <w:kern w:val="0"/>
          <w:sz w:val="32"/>
          <w:szCs w:val="32"/>
          <w:bdr w:val="none" w:color="auto" w:sz="0" w:space="0"/>
          <w:shd w:val="clear" w:fill="FFFFFF"/>
          <w:lang w:val="en-US" w:eastAsia="zh-CN" w:bidi="ar"/>
        </w:rPr>
        <w:t>（四）公开平台建设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8" w:lineRule="atLeast"/>
        <w:ind w:left="0" w:right="0" w:firstLine="647"/>
        <w:jc w:val="both"/>
      </w:pPr>
      <w:r>
        <w:rPr>
          <w:rFonts w:hint="eastAsia" w:ascii="仿宋" w:hAnsi="仿宋" w:eastAsia="仿宋" w:cs="仿宋"/>
          <w:i w:val="0"/>
          <w:iCs w:val="0"/>
          <w:caps w:val="0"/>
          <w:color w:val="333333"/>
          <w:spacing w:val="-5"/>
          <w:kern w:val="0"/>
          <w:sz w:val="32"/>
          <w:szCs w:val="32"/>
          <w:bdr w:val="none" w:color="auto" w:sz="0" w:space="0"/>
          <w:shd w:val="clear" w:fill="FFFFFF"/>
          <w:lang w:val="en-US" w:eastAsia="zh-CN" w:bidi="ar"/>
        </w:rPr>
        <w:t>按照新修订的</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中华人民共和国政府信息公开条例》对公开目录进行修改升级工作，按照规范和统一标准修改了目录名称，对目录组配重新分类排序，凸显了关系民生、发展的重点领域，强化政府信息公开网的信息公开主平台作用</w:t>
      </w:r>
      <w:r>
        <w:rPr>
          <w:rFonts w:hint="eastAsia" w:ascii="仿宋" w:hAnsi="仿宋" w:eastAsia="仿宋" w:cs="仿宋"/>
          <w:i w:val="0"/>
          <w:iCs w:val="0"/>
          <w:caps w:val="0"/>
          <w:color w:val="333333"/>
          <w:spacing w:val="-5"/>
          <w:kern w:val="0"/>
          <w:sz w:val="32"/>
          <w:szCs w:val="32"/>
          <w:bdr w:val="none" w:color="auto" w:sz="0" w:space="0"/>
          <w:shd w:val="clear" w:fill="FFFFFF"/>
          <w:lang w:val="en-US" w:eastAsia="zh-CN" w:bidi="ar"/>
        </w:rPr>
        <w:t>。根据市级统一部署按时完成门户网站集约化的改造迁移工作，平稳做好集约化后门户网站、信息公开网的迁移、修改、更新等工作，并及时组织全县各相关单位负责人开展了网站专项培训，保障网站顺利完成迁移和信息更新。开设了“基层政务公开标准化规范化试点成果”“贯彻落实新修订的</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《中华人民共和国政府信息公开条例》</w:t>
      </w:r>
      <w:r>
        <w:rPr>
          <w:rFonts w:hint="eastAsia" w:ascii="仿宋" w:hAnsi="仿宋" w:eastAsia="仿宋" w:cs="仿宋"/>
          <w:i w:val="0"/>
          <w:iCs w:val="0"/>
          <w:caps w:val="0"/>
          <w:color w:val="333333"/>
          <w:spacing w:val="-5"/>
          <w:kern w:val="0"/>
          <w:sz w:val="32"/>
          <w:szCs w:val="32"/>
          <w:bdr w:val="none" w:color="auto" w:sz="0" w:space="0"/>
          <w:shd w:val="clear" w:fill="FFFFFF"/>
          <w:lang w:val="en-US" w:eastAsia="zh-CN" w:bidi="ar"/>
        </w:rPr>
        <w:t>”“财政专项资金管理”等6个专题专栏，让信息公开的查看更方便。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8" w:lineRule="atLeast"/>
        <w:ind w:left="0" w:right="0"/>
        <w:jc w:val="both"/>
      </w:pPr>
      <w:r>
        <w:rPr>
          <w:rFonts w:hint="eastAsia" w:ascii="仿宋" w:hAnsi="仿宋" w:eastAsia="仿宋" w:cs="仿宋"/>
          <w:b/>
          <w:bCs/>
          <w:i w:val="0"/>
          <w:iCs w:val="0"/>
          <w:caps w:val="0"/>
          <w:color w:val="333333"/>
          <w:spacing w:val="-5"/>
          <w:kern w:val="0"/>
          <w:sz w:val="32"/>
          <w:szCs w:val="32"/>
          <w:bdr w:val="none" w:color="auto" w:sz="0" w:space="0"/>
          <w:shd w:val="clear" w:fill="FFFFFF"/>
          <w:lang w:val="en-US" w:eastAsia="zh-CN" w:bidi="ar"/>
        </w:rPr>
        <w:t>（五）监督保障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8" w:lineRule="atLeast"/>
        <w:ind w:left="0" w:right="0" w:firstLine="647"/>
        <w:jc w:val="both"/>
      </w:pPr>
      <w:r>
        <w:rPr>
          <w:rFonts w:hint="eastAsia" w:ascii="仿宋" w:hAnsi="仿宋" w:eastAsia="仿宋" w:cs="仿宋"/>
          <w:i w:val="0"/>
          <w:iCs w:val="0"/>
          <w:caps w:val="0"/>
          <w:color w:val="333333"/>
          <w:spacing w:val="-5"/>
          <w:kern w:val="0"/>
          <w:sz w:val="32"/>
          <w:szCs w:val="32"/>
          <w:bdr w:val="none" w:color="auto" w:sz="0" w:space="0"/>
          <w:shd w:val="clear" w:fill="FFFFFF"/>
          <w:lang w:val="en-US" w:eastAsia="zh-CN" w:bidi="ar"/>
        </w:rPr>
        <w:t>对照《凤台县2019年全县政务公开重点工作任务分工》、《凤台县本级政务公开目录信息发布职责清单》的具体任务，根据每季度省、市两级的测评情况，定期组织全县各单位认真查缺补漏、及时进行各项整改，逐步提升政府信息公开工作质量；并且定期组织开展县级测评工作，并在测评后及时组织召开培训会，对标先进县区，查找自身的差距和不足，分阶段进行完善。按照上级政务公开</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工作机构的工作部署，认真贯彻落实新《条例》，及时在门户网站统一开设专栏、组织全县各单位集体学习研究，通过新媒体、宣传大屏围绕</w:t>
      </w:r>
      <w:r>
        <w:rPr>
          <w:rFonts w:hint="eastAsia" w:ascii="仿宋" w:hAnsi="仿宋" w:eastAsia="仿宋" w:cs="仿宋"/>
          <w:i w:val="0"/>
          <w:iCs w:val="0"/>
          <w:caps w:val="0"/>
          <w:color w:val="333333"/>
          <w:spacing w:val="-5"/>
          <w:kern w:val="0"/>
          <w:sz w:val="32"/>
          <w:szCs w:val="32"/>
          <w:bdr w:val="none" w:color="auto" w:sz="0" w:space="0"/>
          <w:shd w:val="clear" w:fill="FFFFFF"/>
          <w:lang w:val="en-US" w:eastAsia="zh-CN" w:bidi="ar"/>
        </w:rPr>
        <w:t>新《条例》修订七大亮点进行宣传解读。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pPr>
      <w:r>
        <w:rPr>
          <w:rFonts w:ascii="Calibri" w:hAnsi="Calibri" w:eastAsia="微软雅黑" w:cs="Calibri"/>
          <w:i w:val="0"/>
          <w:iCs w:val="0"/>
          <w:caps w:val="0"/>
          <w:color w:val="333333"/>
          <w:spacing w:val="0"/>
          <w:kern w:val="0"/>
          <w:sz w:val="21"/>
          <w:szCs w:val="21"/>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8" w:lineRule="atLeast"/>
        <w:ind w:left="0" w:right="0" w:firstLine="480"/>
        <w:jc w:val="both"/>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二、主动公开政府信息情况</w:t>
      </w:r>
    </w:p>
    <w:tbl>
      <w:tblPr>
        <w:tblW w:w="93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23"/>
        <w:gridCol w:w="2369"/>
        <w:gridCol w:w="1533"/>
        <w:gridCol w:w="1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jc w:val="center"/>
        </w:trPr>
        <w:tc>
          <w:tcPr>
            <w:tcW w:w="931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82" w:hRule="atLeast"/>
          <w:jc w:val="center"/>
        </w:trPr>
        <w:tc>
          <w:tcPr>
            <w:tcW w:w="37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信息内容</w:t>
            </w:r>
          </w:p>
        </w:tc>
        <w:tc>
          <w:tcPr>
            <w:tcW w:w="236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本年新</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制作数量</w:t>
            </w:r>
          </w:p>
        </w:tc>
        <w:tc>
          <w:tcPr>
            <w:tcW w:w="153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本年新</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公开数量</w:t>
            </w:r>
          </w:p>
        </w:tc>
        <w:tc>
          <w:tcPr>
            <w:tcW w:w="16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3" w:hRule="atLeast"/>
          <w:jc w:val="center"/>
        </w:trPr>
        <w:tc>
          <w:tcPr>
            <w:tcW w:w="37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规章</w:t>
            </w:r>
          </w:p>
        </w:tc>
        <w:tc>
          <w:tcPr>
            <w:tcW w:w="23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4"/>
                <w:szCs w:val="24"/>
                <w:bdr w:val="none" w:color="auto" w:sz="0" w:space="0"/>
                <w:lang w:val="en-US" w:eastAsia="zh-CN" w:bidi="ar"/>
              </w:rPr>
              <w:t>0</w:t>
            </w:r>
          </w:p>
        </w:tc>
        <w:tc>
          <w:tcPr>
            <w:tcW w:w="15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4"/>
                <w:szCs w:val="24"/>
                <w:bdr w:val="none" w:color="auto" w:sz="0" w:space="0"/>
                <w:lang w:val="en-US" w:eastAsia="zh-CN" w:bidi="ar"/>
              </w:rPr>
              <w:t>0</w:t>
            </w:r>
          </w:p>
        </w:tc>
        <w:tc>
          <w:tcPr>
            <w:tcW w:w="16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jc w:val="center"/>
        </w:trPr>
        <w:tc>
          <w:tcPr>
            <w:tcW w:w="37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规范性文件</w:t>
            </w:r>
          </w:p>
        </w:tc>
        <w:tc>
          <w:tcPr>
            <w:tcW w:w="23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38</w:t>
            </w:r>
          </w:p>
        </w:tc>
        <w:tc>
          <w:tcPr>
            <w:tcW w:w="15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38</w:t>
            </w:r>
          </w:p>
        </w:tc>
        <w:tc>
          <w:tcPr>
            <w:tcW w:w="16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4"/>
                <w:szCs w:val="24"/>
                <w:bdr w:val="none" w:color="auto" w:sz="0" w:space="0"/>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jc w:val="center"/>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4" w:hRule="atLeast"/>
          <w:jc w:val="center"/>
        </w:trPr>
        <w:tc>
          <w:tcPr>
            <w:tcW w:w="37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信息内容</w:t>
            </w:r>
          </w:p>
        </w:tc>
        <w:tc>
          <w:tcPr>
            <w:tcW w:w="236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上一年项目数量</w:t>
            </w:r>
          </w:p>
        </w:tc>
        <w:tc>
          <w:tcPr>
            <w:tcW w:w="153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本年增/减</w:t>
            </w:r>
          </w:p>
        </w:tc>
        <w:tc>
          <w:tcPr>
            <w:tcW w:w="16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8" w:hRule="atLeast"/>
          <w:jc w:val="center"/>
        </w:trPr>
        <w:tc>
          <w:tcPr>
            <w:tcW w:w="3723"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行政许可</w:t>
            </w:r>
          </w:p>
        </w:tc>
        <w:tc>
          <w:tcPr>
            <w:tcW w:w="236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4"/>
                <w:szCs w:val="24"/>
                <w:bdr w:val="none" w:color="auto" w:sz="0" w:space="0"/>
                <w:lang w:val="en-US" w:eastAsia="zh-CN" w:bidi="ar"/>
              </w:rPr>
              <w:t>123</w:t>
            </w:r>
          </w:p>
        </w:tc>
        <w:tc>
          <w:tcPr>
            <w:tcW w:w="15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4"/>
                <w:szCs w:val="24"/>
                <w:bdr w:val="none" w:color="auto" w:sz="0" w:space="0"/>
                <w:lang w:val="en-US" w:eastAsia="zh-CN" w:bidi="ar"/>
              </w:rPr>
              <w:t>增31</w:t>
            </w:r>
          </w:p>
        </w:tc>
        <w:tc>
          <w:tcPr>
            <w:tcW w:w="16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4"/>
                <w:szCs w:val="24"/>
                <w:bdr w:val="none" w:color="auto" w:sz="0" w:space="0"/>
                <w:lang w:val="en-US" w:eastAsia="zh-CN" w:bidi="ar"/>
              </w:rPr>
              <w:t>2058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0" w:hRule="atLeast"/>
          <w:jc w:val="center"/>
        </w:trPr>
        <w:tc>
          <w:tcPr>
            <w:tcW w:w="3723"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其他对外管理服务事项（除行政许可外的其他行政权力）</w:t>
            </w:r>
          </w:p>
        </w:tc>
        <w:tc>
          <w:tcPr>
            <w:tcW w:w="236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4"/>
                <w:szCs w:val="24"/>
                <w:bdr w:val="none" w:color="auto" w:sz="0" w:space="0"/>
                <w:lang w:val="en-US" w:eastAsia="zh-CN" w:bidi="ar"/>
              </w:rPr>
              <w:t>348</w:t>
            </w:r>
          </w:p>
        </w:tc>
        <w:tc>
          <w:tcPr>
            <w:tcW w:w="15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4"/>
                <w:szCs w:val="24"/>
                <w:bdr w:val="none" w:color="auto" w:sz="0" w:space="0"/>
                <w:lang w:val="en-US" w:eastAsia="zh-CN" w:bidi="ar"/>
              </w:rPr>
              <w:t>增175</w:t>
            </w:r>
          </w:p>
        </w:tc>
        <w:tc>
          <w:tcPr>
            <w:tcW w:w="16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4"/>
                <w:szCs w:val="24"/>
                <w:bdr w:val="none" w:color="auto" w:sz="0" w:space="0"/>
                <w:lang w:val="en-US" w:eastAsia="zh-CN" w:bidi="ar"/>
              </w:rPr>
              <w:t>2810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6" w:hRule="atLeast"/>
          <w:jc w:val="center"/>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4" w:hRule="atLeast"/>
          <w:jc w:val="center"/>
        </w:trPr>
        <w:tc>
          <w:tcPr>
            <w:tcW w:w="37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信息内容</w:t>
            </w:r>
          </w:p>
        </w:tc>
        <w:tc>
          <w:tcPr>
            <w:tcW w:w="236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上一年项目数量</w:t>
            </w:r>
          </w:p>
        </w:tc>
        <w:tc>
          <w:tcPr>
            <w:tcW w:w="153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本年增/减</w:t>
            </w:r>
          </w:p>
        </w:tc>
        <w:tc>
          <w:tcPr>
            <w:tcW w:w="16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0" w:hRule="atLeast"/>
          <w:jc w:val="center"/>
        </w:trPr>
        <w:tc>
          <w:tcPr>
            <w:tcW w:w="3723"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行政处罚</w:t>
            </w:r>
          </w:p>
        </w:tc>
        <w:tc>
          <w:tcPr>
            <w:tcW w:w="236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4"/>
                <w:szCs w:val="24"/>
                <w:bdr w:val="none" w:color="auto" w:sz="0" w:space="0"/>
                <w:lang w:val="en-US" w:eastAsia="zh-CN" w:bidi="ar"/>
              </w:rPr>
              <w:t>1938</w:t>
            </w:r>
          </w:p>
        </w:tc>
        <w:tc>
          <w:tcPr>
            <w:tcW w:w="15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4"/>
                <w:szCs w:val="24"/>
                <w:bdr w:val="none" w:color="auto" w:sz="0" w:space="0"/>
                <w:lang w:val="en-US" w:eastAsia="zh-CN" w:bidi="ar"/>
              </w:rPr>
              <w:t>减34</w:t>
            </w:r>
          </w:p>
        </w:tc>
        <w:tc>
          <w:tcPr>
            <w:tcW w:w="16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4"/>
                <w:szCs w:val="24"/>
                <w:bdr w:val="none" w:color="auto" w:sz="0" w:space="0"/>
                <w:lang w:val="en-US" w:eastAsia="zh-CN" w:bidi="ar"/>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9" w:hRule="atLeast"/>
          <w:jc w:val="center"/>
        </w:trPr>
        <w:tc>
          <w:tcPr>
            <w:tcW w:w="3723"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行政强制</w:t>
            </w:r>
          </w:p>
        </w:tc>
        <w:tc>
          <w:tcPr>
            <w:tcW w:w="236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4"/>
                <w:szCs w:val="24"/>
                <w:bdr w:val="none" w:color="auto" w:sz="0" w:space="0"/>
                <w:lang w:val="en-US" w:eastAsia="zh-CN" w:bidi="ar"/>
              </w:rPr>
              <w:t>92</w:t>
            </w:r>
          </w:p>
        </w:tc>
        <w:tc>
          <w:tcPr>
            <w:tcW w:w="15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4"/>
                <w:szCs w:val="24"/>
                <w:bdr w:val="none" w:color="auto" w:sz="0" w:space="0"/>
                <w:lang w:val="en-US" w:eastAsia="zh-CN" w:bidi="ar"/>
              </w:rPr>
              <w:t>减8</w:t>
            </w:r>
          </w:p>
        </w:tc>
        <w:tc>
          <w:tcPr>
            <w:tcW w:w="16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4"/>
                <w:szCs w:val="24"/>
                <w:bdr w:val="none" w:color="auto" w:sz="0" w:space="0"/>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4" w:hRule="atLeast"/>
          <w:jc w:val="center"/>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jc w:val="center"/>
        </w:trPr>
        <w:tc>
          <w:tcPr>
            <w:tcW w:w="37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信息内容</w:t>
            </w:r>
          </w:p>
        </w:tc>
        <w:tc>
          <w:tcPr>
            <w:tcW w:w="23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上一年项目数量</w:t>
            </w:r>
          </w:p>
        </w:tc>
        <w:tc>
          <w:tcPr>
            <w:tcW w:w="3218"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1" w:hRule="atLeast"/>
          <w:jc w:val="center"/>
        </w:trPr>
        <w:tc>
          <w:tcPr>
            <w:tcW w:w="37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行政事业性收费</w:t>
            </w:r>
          </w:p>
        </w:tc>
        <w:tc>
          <w:tcPr>
            <w:tcW w:w="23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4"/>
                <w:szCs w:val="24"/>
                <w:bdr w:val="none" w:color="auto" w:sz="0" w:space="0"/>
                <w:lang w:val="en-US" w:eastAsia="zh-CN" w:bidi="ar"/>
              </w:rPr>
              <w:t>27</w:t>
            </w:r>
          </w:p>
        </w:tc>
        <w:tc>
          <w:tcPr>
            <w:tcW w:w="3218" w:type="dxa"/>
            <w:gridSpan w:val="2"/>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4"/>
                <w:szCs w:val="24"/>
                <w:bdr w:val="none" w:color="auto" w:sz="0" w:space="0"/>
                <w:lang w:val="en-US" w:eastAsia="zh-CN" w:bidi="ar"/>
              </w:rPr>
              <w:t>减3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 w:hRule="atLeast"/>
          <w:jc w:val="center"/>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5" w:hRule="atLeast"/>
          <w:jc w:val="center"/>
        </w:trPr>
        <w:tc>
          <w:tcPr>
            <w:tcW w:w="37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信息内容</w:t>
            </w:r>
          </w:p>
        </w:tc>
        <w:tc>
          <w:tcPr>
            <w:tcW w:w="23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采购项目数量</w:t>
            </w:r>
          </w:p>
        </w:tc>
        <w:tc>
          <w:tcPr>
            <w:tcW w:w="3218"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jc w:val="center"/>
        </w:trPr>
        <w:tc>
          <w:tcPr>
            <w:tcW w:w="37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政府集中采购</w:t>
            </w:r>
          </w:p>
        </w:tc>
        <w:tc>
          <w:tcPr>
            <w:tcW w:w="23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4"/>
                <w:szCs w:val="24"/>
                <w:bdr w:val="none" w:color="auto" w:sz="0" w:space="0"/>
                <w:lang w:val="en-US" w:eastAsia="zh-CN" w:bidi="ar"/>
              </w:rPr>
              <w:t>40</w:t>
            </w:r>
          </w:p>
        </w:tc>
        <w:tc>
          <w:tcPr>
            <w:tcW w:w="3218" w:type="dxa"/>
            <w:gridSpan w:val="2"/>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4"/>
                <w:szCs w:val="24"/>
                <w:bdr w:val="none" w:color="auto" w:sz="0" w:space="0"/>
                <w:lang w:val="en-US" w:eastAsia="zh-CN" w:bidi="ar"/>
              </w:rPr>
              <w:t>7609.69万元</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8" w:lineRule="atLeast"/>
        <w:ind w:left="0" w:right="0"/>
        <w:jc w:val="both"/>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578" w:lineRule="atLeast"/>
        <w:ind w:left="0" w:right="0"/>
        <w:jc w:val="both"/>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三、收到和处理政府信息公开申请情况</w:t>
      </w:r>
    </w:p>
    <w:tbl>
      <w:tblPr>
        <w:tblW w:w="9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53"/>
        <w:gridCol w:w="855"/>
        <w:gridCol w:w="1919"/>
        <w:gridCol w:w="851"/>
        <w:gridCol w:w="709"/>
        <w:gridCol w:w="850"/>
        <w:gridCol w:w="851"/>
        <w:gridCol w:w="850"/>
        <w:gridCol w:w="709"/>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827" w:type="dxa"/>
            <w:gridSpan w:val="3"/>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（本列数据的勾稽关系为：第一项加第二项之和，等于第三项加第四项之和）</w:t>
            </w:r>
          </w:p>
        </w:tc>
        <w:tc>
          <w:tcPr>
            <w:tcW w:w="5529"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827"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1"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自然人</w:t>
            </w:r>
          </w:p>
        </w:tc>
        <w:tc>
          <w:tcPr>
            <w:tcW w:w="3969"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法人或其他组织</w:t>
            </w:r>
          </w:p>
        </w:tc>
        <w:tc>
          <w:tcPr>
            <w:tcW w:w="709"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827"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商业企业</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科研机构</w:t>
            </w:r>
          </w:p>
        </w:tc>
        <w:tc>
          <w:tcPr>
            <w:tcW w:w="85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社会公益组织</w:t>
            </w:r>
          </w:p>
        </w:tc>
        <w:tc>
          <w:tcPr>
            <w:tcW w:w="85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法律服务机构</w:t>
            </w:r>
          </w:p>
        </w:tc>
        <w:tc>
          <w:tcPr>
            <w:tcW w:w="7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其他</w:t>
            </w:r>
          </w:p>
        </w:tc>
        <w:tc>
          <w:tcPr>
            <w:tcW w:w="70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827" w:type="dxa"/>
            <w:gridSpan w:val="3"/>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宋体" w:hAnsi="宋体" w:eastAsia="宋体" w:cs="宋体"/>
                <w:kern w:val="0"/>
                <w:sz w:val="20"/>
                <w:szCs w:val="20"/>
                <w:bdr w:val="none" w:color="auto" w:sz="0" w:space="0"/>
                <w:lang w:val="en-US" w:eastAsia="zh-CN" w:bidi="ar"/>
              </w:rPr>
              <w:t>一、本年新收政府信息公开申请数量</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14</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r>
              <w:rPr>
                <w:rFonts w:hint="default" w:ascii="Calibri" w:hAnsi="Calibri" w:eastAsia="宋体" w:cs="Calibri"/>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r>
              <w:rPr>
                <w:rFonts w:hint="default" w:ascii="Calibri" w:hAnsi="Calibri" w:eastAsia="宋体" w:cs="Calibri"/>
                <w:kern w:val="0"/>
                <w:sz w:val="20"/>
                <w:szCs w:val="20"/>
                <w:bdr w:val="none" w:color="auto" w:sz="0" w:space="0"/>
                <w:lang w:val="en-US" w:eastAsia="zh-CN" w:bidi="ar"/>
              </w:rPr>
              <w:t> </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r>
              <w:rPr>
                <w:rFonts w:hint="default" w:ascii="Calibri" w:hAnsi="Calibri" w:eastAsia="宋体" w:cs="Calibri"/>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827" w:type="dxa"/>
            <w:gridSpan w:val="3"/>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宋体" w:hAnsi="宋体" w:eastAsia="宋体" w:cs="宋体"/>
                <w:kern w:val="0"/>
                <w:sz w:val="20"/>
                <w:szCs w:val="20"/>
                <w:bdr w:val="none" w:color="auto" w:sz="0" w:space="0"/>
                <w:lang w:val="en-US" w:eastAsia="zh-CN" w:bidi="ar"/>
              </w:rPr>
              <w:t>二、上年结转政府信息公开申请数量</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Calibri" w:hAnsi="Calibri" w:eastAsia="宋体" w:cs="Calibri"/>
                <w:kern w:val="0"/>
                <w:sz w:val="20"/>
                <w:szCs w:val="20"/>
                <w:bdr w:val="none" w:color="auto" w:sz="0" w:space="0"/>
                <w:lang w:val="en-US" w:eastAsia="zh-CN" w:bidi="ar"/>
              </w:rPr>
              <w:t>4</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r>
              <w:rPr>
                <w:rFonts w:hint="default" w:ascii="Calibri" w:hAnsi="Calibri" w:eastAsia="宋体" w:cs="Calibri"/>
                <w:kern w:val="0"/>
                <w:sz w:val="20"/>
                <w:szCs w:val="20"/>
                <w:bdr w:val="none" w:color="auto" w:sz="0" w:space="0"/>
                <w:lang w:val="en-US" w:eastAsia="zh-CN" w:bidi="ar"/>
              </w:rPr>
              <w:t> </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r>
              <w:rPr>
                <w:rFonts w:hint="default" w:ascii="Calibri" w:hAnsi="Calibri" w:eastAsia="宋体" w:cs="Calibri"/>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r>
              <w:rPr>
                <w:rFonts w:hint="default" w:ascii="Calibri" w:hAnsi="Calibri" w:eastAsia="宋体" w:cs="Calibri"/>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3"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三、本年度办理结果</w:t>
            </w:r>
          </w:p>
        </w:tc>
        <w:tc>
          <w:tcPr>
            <w:tcW w:w="2774" w:type="dxa"/>
            <w:gridSpan w:val="2"/>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78" w:lineRule="atLeast"/>
              <w:ind w:left="0" w:right="0"/>
              <w:jc w:val="left"/>
            </w:pPr>
            <w:r>
              <w:rPr>
                <w:rFonts w:ascii="楷体" w:hAnsi="楷体" w:eastAsia="楷体" w:cs="楷体"/>
                <w:kern w:val="0"/>
                <w:sz w:val="20"/>
                <w:szCs w:val="20"/>
                <w:bdr w:val="none" w:color="auto" w:sz="0" w:space="0"/>
                <w:lang w:val="en-US" w:eastAsia="zh-CN" w:bidi="ar"/>
              </w:rPr>
              <w:t>（一）予以公开</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Calibri" w:hAnsi="Calibri" w:eastAsia="宋体" w:cs="Calibri"/>
                <w:kern w:val="0"/>
                <w:sz w:val="20"/>
                <w:szCs w:val="20"/>
                <w:bdr w:val="none" w:color="auto" w:sz="0" w:space="0"/>
                <w:lang w:val="en-US" w:eastAsia="zh-CN" w:bidi="ar"/>
              </w:rPr>
              <w:t>10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r>
              <w:rPr>
                <w:rFonts w:hint="default" w:ascii="Calibri" w:hAnsi="Calibri" w:eastAsia="宋体" w:cs="Calibri"/>
                <w:kern w:val="0"/>
                <w:sz w:val="20"/>
                <w:szCs w:val="20"/>
                <w:bdr w:val="none" w:color="auto" w:sz="0" w:space="0"/>
                <w:lang w:val="en-US" w:eastAsia="zh-CN" w:bidi="ar"/>
              </w:rPr>
              <w:t> </w:t>
            </w:r>
          </w:p>
        </w:tc>
        <w:tc>
          <w:tcPr>
            <w:tcW w:w="7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3"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774" w:type="dxa"/>
            <w:gridSpan w:val="2"/>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（二）部分公开（区分处理的，只计这一情形，不计其他情形）</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Calibri" w:hAnsi="Calibri" w:eastAsia="宋体" w:cs="Calibri"/>
                <w:kern w:val="0"/>
                <w:sz w:val="20"/>
                <w:szCs w:val="20"/>
                <w:bdr w:val="none" w:color="auto" w:sz="0" w:space="0"/>
                <w:lang w:val="en-US" w:eastAsia="zh-CN" w:bidi="ar"/>
              </w:rPr>
              <w:t>2</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r>
              <w:rPr>
                <w:rFonts w:hint="default" w:ascii="Calibri" w:hAnsi="Calibri" w:eastAsia="宋体" w:cs="Calibri"/>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3"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85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（三）不予公开</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1.属于国家秘密</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3"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2.其他法律行政法规禁止公开</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3"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3.危及“三安全一稳定”</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3"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4.保护第三方合法权益</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3"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5.属于三类内部事务信息</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3"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6.属于四类过程性信息</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3"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7.属于行政执法案卷</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3"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8.属于行政查询事项</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3"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85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（四）无法提供</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1.本机关不掌握相关政府信息</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Calibri" w:hAnsi="Calibri" w:eastAsia="宋体" w:cs="Calibri"/>
                <w:kern w:val="0"/>
                <w:sz w:val="20"/>
                <w:szCs w:val="20"/>
                <w:bdr w:val="none" w:color="auto" w:sz="0" w:space="0"/>
                <w:lang w:val="en-US" w:eastAsia="zh-CN" w:bidi="ar"/>
              </w:rPr>
              <w:t>4</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3"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2.没有现成信息需要另行制作</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1</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3"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3.补正后申请内容仍不明确</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3"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85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（五）不予处理</w:t>
            </w: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1.信访举报投诉类申请</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3"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2.重复申请</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3"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3.要求提供公开出版物</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3"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4.无正当理由大量反复申请</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3"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9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5.要求行政机关确认或重新出具已获取信息</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3"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774" w:type="dxa"/>
            <w:gridSpan w:val="2"/>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（六）其他处理</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Calibri" w:hAnsi="Calibri" w:eastAsia="宋体" w:cs="Calibri"/>
                <w:kern w:val="0"/>
                <w:sz w:val="20"/>
                <w:szCs w:val="20"/>
                <w:bdr w:val="none" w:color="auto" w:sz="0" w:space="0"/>
                <w:lang w:val="en-US" w:eastAsia="zh-CN" w:bidi="ar"/>
              </w:rPr>
              <w:t>1</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3"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2774" w:type="dxa"/>
            <w:gridSpan w:val="2"/>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楷体" w:hAnsi="楷体" w:eastAsia="楷体" w:cs="楷体"/>
                <w:kern w:val="0"/>
                <w:sz w:val="20"/>
                <w:szCs w:val="20"/>
                <w:bdr w:val="none" w:color="auto" w:sz="0" w:space="0"/>
                <w:lang w:val="en-US" w:eastAsia="zh-CN" w:bidi="ar"/>
              </w:rPr>
              <w:t>（七）总计</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Calibri" w:hAnsi="Calibri" w:eastAsia="宋体" w:cs="Times New Roman"/>
                <w:kern w:val="2"/>
                <w:sz w:val="21"/>
                <w:szCs w:val="21"/>
                <w:bdr w:val="none" w:color="auto" w:sz="0" w:space="0"/>
                <w:lang w:val="en-US" w:eastAsia="zh-CN" w:bidi="ar"/>
              </w:rPr>
              <w:t>18</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r>
              <w:rPr>
                <w:rFonts w:hint="default" w:ascii="Calibri" w:hAnsi="Calibri" w:eastAsia="宋体" w:cs="Calibri"/>
                <w:kern w:val="0"/>
                <w:sz w:val="20"/>
                <w:szCs w:val="20"/>
                <w:bdr w:val="none" w:color="auto" w:sz="0" w:space="0"/>
                <w:lang w:val="en-US" w:eastAsia="zh-CN" w:bidi="ar"/>
              </w:rPr>
              <w:t> </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r>
              <w:rPr>
                <w:rFonts w:hint="default" w:ascii="Calibri" w:hAnsi="Calibri" w:eastAsia="宋体" w:cs="Calibri"/>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827" w:type="dxa"/>
            <w:gridSpan w:val="3"/>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宋体" w:hAnsi="宋体" w:eastAsia="宋体" w:cs="宋体"/>
                <w:kern w:val="0"/>
                <w:sz w:val="20"/>
                <w:szCs w:val="20"/>
                <w:bdr w:val="none" w:color="auto" w:sz="0" w:space="0"/>
                <w:lang w:val="en-US" w:eastAsia="zh-CN" w:bidi="ar"/>
              </w:rPr>
              <w:t>四、结转下年度继续办理</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r>
              <w:rPr>
                <w:rFonts w:hint="default" w:ascii="Calibri" w:hAnsi="Calibri" w:eastAsia="宋体" w:cs="Calibri"/>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8" w:lineRule="atLeast"/>
        <w:ind w:left="0" w:right="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8" w:lineRule="atLeast"/>
        <w:ind w:left="0" w:right="0"/>
        <w:jc w:val="both"/>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四、政府信息公开行政复议、行政诉讼情况</w:t>
      </w:r>
    </w:p>
    <w:tbl>
      <w:tblPr>
        <w:tblW w:w="92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00"/>
        <w:gridCol w:w="604"/>
        <w:gridCol w:w="604"/>
        <w:gridCol w:w="604"/>
        <w:gridCol w:w="658"/>
        <w:gridCol w:w="550"/>
        <w:gridCol w:w="605"/>
        <w:gridCol w:w="605"/>
        <w:gridCol w:w="605"/>
        <w:gridCol w:w="502"/>
        <w:gridCol w:w="709"/>
        <w:gridCol w:w="604"/>
        <w:gridCol w:w="530"/>
        <w:gridCol w:w="567"/>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370"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行政复议</w:t>
            </w:r>
          </w:p>
        </w:tc>
        <w:tc>
          <w:tcPr>
            <w:tcW w:w="5844"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0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结果维持</w:t>
            </w:r>
          </w:p>
        </w:tc>
        <w:tc>
          <w:tcPr>
            <w:tcW w:w="60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总计</w:t>
            </w:r>
          </w:p>
        </w:tc>
        <w:tc>
          <w:tcPr>
            <w:tcW w:w="2867"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未经复议直接起诉</w:t>
            </w:r>
          </w:p>
        </w:tc>
        <w:tc>
          <w:tcPr>
            <w:tcW w:w="2977"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0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结果维持</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结果纠正</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其他结果</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尚未审结</w:t>
            </w:r>
          </w:p>
        </w:tc>
        <w:tc>
          <w:tcPr>
            <w:tcW w:w="50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总计</w:t>
            </w:r>
          </w:p>
        </w:tc>
        <w:tc>
          <w:tcPr>
            <w:tcW w:w="7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结果维持</w:t>
            </w:r>
          </w:p>
        </w:tc>
        <w:tc>
          <w:tcPr>
            <w:tcW w:w="60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结果纠正</w:t>
            </w:r>
          </w:p>
        </w:tc>
        <w:tc>
          <w:tcPr>
            <w:tcW w:w="53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其他结果</w:t>
            </w:r>
          </w:p>
        </w:tc>
        <w:tc>
          <w:tcPr>
            <w:tcW w:w="56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尚未审结</w:t>
            </w:r>
          </w:p>
        </w:tc>
        <w:tc>
          <w:tcPr>
            <w:tcW w:w="56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r>
              <w:rPr>
                <w:rFonts w:hint="default" w:ascii="Calibri" w:hAnsi="Calibri" w:eastAsia="宋体" w:cs="Calibri"/>
                <w:kern w:val="0"/>
                <w:sz w:val="20"/>
                <w:szCs w:val="20"/>
                <w:bdr w:val="none" w:color="auto" w:sz="0" w:space="0"/>
                <w:lang w:val="en-US" w:eastAsia="zh-CN" w:bidi="ar"/>
              </w:rPr>
              <w:t> </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default" w:ascii="Calibri" w:hAnsi="Calibri" w:eastAsia="宋体" w:cs="Calibr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0</w:t>
            </w:r>
            <w:r>
              <w:rPr>
                <w:rFonts w:hint="default" w:ascii="Calibri" w:hAnsi="Calibri" w:eastAsia="宋体" w:cs="Calibri"/>
                <w:kern w:val="0"/>
                <w:sz w:val="20"/>
                <w:szCs w:val="20"/>
                <w:bdr w:val="none" w:color="auto" w:sz="0" w:space="0"/>
                <w:lang w:val="en-US" w:eastAsia="zh-CN" w:bidi="ar"/>
              </w:rPr>
              <w:t> </w:t>
            </w: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 xml:space="preserve"> 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 xml:space="preserve"> 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 xml:space="preserve">0 </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 xml:space="preserve">0 </w:t>
            </w:r>
          </w:p>
        </w:tc>
        <w:tc>
          <w:tcPr>
            <w:tcW w:w="5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 xml:space="preserve"> 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 xml:space="preserve"> 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 xml:space="preserve"> 0</w:t>
            </w:r>
          </w:p>
        </w:tc>
        <w:tc>
          <w:tcPr>
            <w:tcW w:w="5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 xml:space="preserve"> 0</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center"/>
            </w:pPr>
            <w:r>
              <w:rPr>
                <w:rFonts w:hint="eastAsia" w:ascii="宋体" w:hAnsi="宋体" w:eastAsia="宋体" w:cs="宋体"/>
                <w:kern w:val="0"/>
                <w:sz w:val="20"/>
                <w:szCs w:val="20"/>
                <w:bdr w:val="none" w:color="auto" w:sz="0" w:space="0"/>
                <w:lang w:val="en-US" w:eastAsia="zh-CN" w:bidi="ar"/>
              </w:rPr>
              <w:t xml:space="preserve">0 </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578" w:lineRule="atLeast"/>
              <w:ind w:left="0" w:right="0"/>
              <w:jc w:val="left"/>
            </w:pPr>
            <w:r>
              <w:rPr>
                <w:rFonts w:hint="eastAsia" w:ascii="宋体" w:hAnsi="宋体" w:eastAsia="宋体" w:cs="宋体"/>
                <w:kern w:val="0"/>
                <w:sz w:val="24"/>
                <w:szCs w:val="24"/>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8" w:lineRule="atLeast"/>
        <w:ind w:left="0" w:right="0"/>
        <w:jc w:val="both"/>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8" w:lineRule="atLeast"/>
        <w:ind w:left="0" w:right="-92" w:rightChars="-44"/>
        <w:jc w:val="both"/>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71" w:beforeAutospacing="0" w:after="0" w:afterAutospacing="0" w:line="240" w:lineRule="atLeast"/>
        <w:ind w:left="0" w:right="-92" w:rightChars="-44" w:firstLine="636"/>
        <w:jc w:val="both"/>
      </w:pPr>
      <w:r>
        <w:rPr>
          <w:rFonts w:hint="eastAsia" w:ascii="仿宋" w:hAnsi="仿宋" w:eastAsia="仿宋" w:cs="仿宋"/>
          <w:i w:val="0"/>
          <w:iCs w:val="0"/>
          <w:caps w:val="0"/>
          <w:color w:val="333333"/>
          <w:spacing w:val="0"/>
          <w:kern w:val="0"/>
          <w:sz w:val="32"/>
          <w:szCs w:val="32"/>
          <w:bdr w:val="none" w:color="auto" w:sz="0" w:space="0"/>
          <w:shd w:val="clear" w:fill="FFFFFF"/>
        </w:rPr>
        <w:t>2019</w:t>
      </w:r>
      <w:r>
        <w:rPr>
          <w:rFonts w:hint="eastAsia" w:ascii="仿宋" w:hAnsi="仿宋" w:eastAsia="仿宋" w:cs="仿宋"/>
          <w:i w:val="0"/>
          <w:iCs w:val="0"/>
          <w:caps w:val="0"/>
          <w:color w:val="333333"/>
          <w:spacing w:val="-11"/>
          <w:kern w:val="0"/>
          <w:sz w:val="32"/>
          <w:szCs w:val="32"/>
          <w:bdr w:val="none" w:color="auto" w:sz="0" w:space="0"/>
          <w:shd w:val="clear" w:fill="FFFFFF"/>
        </w:rPr>
        <w:t>年，我县政府信息公开工作总体有起伏波动，虽取得了新成效，但仍存</w:t>
      </w:r>
      <w:r>
        <w:rPr>
          <w:rFonts w:hint="eastAsia" w:ascii="仿宋" w:hAnsi="仿宋" w:eastAsia="仿宋" w:cs="仿宋"/>
          <w:i w:val="0"/>
          <w:iCs w:val="0"/>
          <w:caps w:val="0"/>
          <w:color w:val="333333"/>
          <w:spacing w:val="-8"/>
          <w:kern w:val="0"/>
          <w:sz w:val="32"/>
          <w:szCs w:val="32"/>
          <w:bdr w:val="none" w:color="auto" w:sz="0" w:space="0"/>
          <w:shd w:val="clear" w:fill="FFFFFF"/>
        </w:rPr>
        <w:t>在一些不足和问题：一是需要提升各政府部门信息公开的主观能动性；二是公开信息的内容形式不丰富，如新闻发布会较少等；三是对群众关心的热点难点问题回应不及时</w:t>
      </w:r>
      <w:r>
        <w:rPr>
          <w:rFonts w:hint="eastAsia" w:ascii="仿宋" w:hAnsi="仿宋" w:eastAsia="仿宋" w:cs="仿宋"/>
          <w:i w:val="0"/>
          <w:iCs w:val="0"/>
          <w:caps w:val="0"/>
          <w:color w:val="333333"/>
          <w:spacing w:val="-5"/>
          <w:kern w:val="0"/>
          <w:sz w:val="32"/>
          <w:szCs w:val="32"/>
          <w:bdr w:val="none" w:color="auto" w:sz="0" w:space="0"/>
          <w:shd w:val="clear" w:fill="FFFFFF"/>
        </w:rPr>
        <w:t>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 w:beforeAutospacing="0" w:after="0" w:afterAutospacing="0" w:line="240" w:lineRule="atLeast"/>
        <w:ind w:left="0" w:right="-92" w:rightChars="-44" w:firstLine="636"/>
        <w:jc w:val="both"/>
      </w:pPr>
      <w:r>
        <w:rPr>
          <w:rFonts w:hint="eastAsia" w:ascii="仿宋" w:hAnsi="仿宋" w:eastAsia="仿宋" w:cs="仿宋"/>
          <w:i w:val="0"/>
          <w:iCs w:val="0"/>
          <w:caps w:val="0"/>
          <w:color w:val="333333"/>
          <w:spacing w:val="0"/>
          <w:kern w:val="0"/>
          <w:sz w:val="32"/>
          <w:szCs w:val="32"/>
          <w:bdr w:val="none" w:color="auto" w:sz="0" w:space="0"/>
          <w:shd w:val="clear" w:fill="FFFFFF"/>
        </w:rPr>
        <w:t>2020</w:t>
      </w:r>
      <w:r>
        <w:rPr>
          <w:rFonts w:hint="eastAsia" w:ascii="仿宋" w:hAnsi="仿宋" w:eastAsia="仿宋" w:cs="仿宋"/>
          <w:i w:val="0"/>
          <w:iCs w:val="0"/>
          <w:caps w:val="0"/>
          <w:color w:val="333333"/>
          <w:spacing w:val="-11"/>
          <w:kern w:val="0"/>
          <w:sz w:val="32"/>
          <w:szCs w:val="32"/>
          <w:bdr w:val="none" w:color="auto" w:sz="0" w:space="0"/>
          <w:shd w:val="clear" w:fill="FFFFFF"/>
        </w:rPr>
        <w:t>年，我县将重点加强政府信息公开各项制度的落实</w:t>
      </w:r>
      <w:r>
        <w:rPr>
          <w:rFonts w:hint="eastAsia" w:ascii="仿宋" w:hAnsi="仿宋" w:eastAsia="仿宋" w:cs="仿宋"/>
          <w:i w:val="0"/>
          <w:iCs w:val="0"/>
          <w:caps w:val="0"/>
          <w:color w:val="333333"/>
          <w:spacing w:val="-6"/>
          <w:kern w:val="0"/>
          <w:sz w:val="32"/>
          <w:szCs w:val="32"/>
          <w:bdr w:val="none" w:color="auto" w:sz="0" w:space="0"/>
          <w:shd w:val="clear" w:fill="FFFFFF"/>
        </w:rPr>
        <w:t>，树立正确的主观意识、增强能动性；深入探索政府信息公开的创新和与时俱进；信息公开以关心群众之关心，公开群众之所需为重点</w:t>
      </w:r>
      <w:r>
        <w:rPr>
          <w:rFonts w:hint="eastAsia" w:ascii="仿宋" w:hAnsi="仿宋" w:eastAsia="仿宋" w:cs="仿宋"/>
          <w:i w:val="0"/>
          <w:iCs w:val="0"/>
          <w:caps w:val="0"/>
          <w:color w:val="333333"/>
          <w:spacing w:val="-4"/>
          <w:kern w:val="0"/>
          <w:sz w:val="32"/>
          <w:szCs w:val="3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 w:beforeAutospacing="0" w:after="0" w:afterAutospacing="0" w:line="240" w:lineRule="atLeast"/>
        <w:ind w:left="0" w:right="-92" w:rightChars="-44" w:firstLine="639"/>
        <w:jc w:val="both"/>
      </w:pPr>
      <w:r>
        <w:rPr>
          <w:rFonts w:hint="eastAsia" w:ascii="仿宋" w:hAnsi="仿宋" w:eastAsia="仿宋" w:cs="仿宋"/>
          <w:b/>
          <w:bCs/>
          <w:i w:val="0"/>
          <w:iCs w:val="0"/>
          <w:caps w:val="0"/>
          <w:color w:val="333333"/>
          <w:spacing w:val="0"/>
          <w:kern w:val="0"/>
          <w:sz w:val="32"/>
          <w:szCs w:val="32"/>
          <w:bdr w:val="none" w:color="auto" w:sz="0" w:space="0"/>
          <w:shd w:val="clear" w:fill="FFFFFF"/>
        </w:rPr>
        <w:t>一是树立正确的观念意识，改进工作方法。</w:t>
      </w:r>
      <w:r>
        <w:rPr>
          <w:rFonts w:hint="eastAsia" w:ascii="仿宋" w:hAnsi="仿宋" w:eastAsia="仿宋" w:cs="仿宋"/>
          <w:i w:val="0"/>
          <w:iCs w:val="0"/>
          <w:caps w:val="0"/>
          <w:color w:val="333333"/>
          <w:spacing w:val="0"/>
          <w:kern w:val="0"/>
          <w:sz w:val="32"/>
          <w:szCs w:val="32"/>
          <w:bdr w:val="none" w:color="auto" w:sz="0" w:space="0"/>
          <w:shd w:val="clear" w:fill="FFFFFF"/>
        </w:rPr>
        <w:t>进一步加强学习新《条例》，把认真贯彻落实新《条例》作为信息公开工作的首要标准</w:t>
      </w:r>
      <w:r>
        <w:rPr>
          <w:rFonts w:hint="eastAsia" w:ascii="仿宋" w:hAnsi="仿宋" w:eastAsia="仿宋" w:cs="仿宋"/>
          <w:i w:val="0"/>
          <w:iCs w:val="0"/>
          <w:caps w:val="0"/>
          <w:color w:val="333333"/>
          <w:spacing w:val="-6"/>
          <w:kern w:val="0"/>
          <w:sz w:val="32"/>
          <w:szCs w:val="32"/>
          <w:bdr w:val="none" w:color="auto" w:sz="0" w:space="0"/>
          <w:shd w:val="clear" w:fill="FFFFFF"/>
        </w:rPr>
        <w:t>。常态化进行政府信息公开的意识培训，从历史的高度和社会发展的必然性方面进行宣传和教育，让每一位工作人员都能树立政府信息公开的正确观念意识</w:t>
      </w:r>
      <w:r>
        <w:rPr>
          <w:rFonts w:hint="eastAsia" w:ascii="仿宋" w:hAnsi="仿宋" w:eastAsia="仿宋" w:cs="仿宋"/>
          <w:i w:val="0"/>
          <w:iCs w:val="0"/>
          <w:caps w:val="0"/>
          <w:color w:val="333333"/>
          <w:spacing w:val="-2"/>
          <w:kern w:val="0"/>
          <w:sz w:val="32"/>
          <w:szCs w:val="32"/>
          <w:bdr w:val="none" w:color="auto" w:sz="0" w:space="0"/>
          <w:shd w:val="clear" w:fill="FFFFFF"/>
        </w:rPr>
        <w:t>。加强向先进县区学习，重点学习先进县区的工作意识和工作方法，作为权威发布平台要提高政府信息公开的及时性、完整性。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line="240" w:lineRule="atLeast"/>
        <w:ind w:left="0" w:right="-92" w:rightChars="-44" w:firstLine="631"/>
        <w:jc w:val="left"/>
      </w:pPr>
      <w:r>
        <w:rPr>
          <w:rFonts w:hint="eastAsia" w:ascii="仿宋" w:hAnsi="仿宋" w:eastAsia="仿宋" w:cs="仿宋"/>
          <w:b/>
          <w:bCs/>
          <w:i w:val="0"/>
          <w:iCs w:val="0"/>
          <w:caps w:val="0"/>
          <w:color w:val="333333"/>
          <w:spacing w:val="-2"/>
          <w:kern w:val="0"/>
          <w:sz w:val="32"/>
          <w:szCs w:val="32"/>
          <w:bdr w:val="none" w:color="auto" w:sz="0" w:space="0"/>
          <w:shd w:val="clear" w:fill="FFFFFF"/>
        </w:rPr>
        <w:t>二是提升信息公开的质量、丰富信息公开的内容形式。</w:t>
      </w:r>
      <w:r>
        <w:rPr>
          <w:rFonts w:hint="eastAsia" w:ascii="仿宋" w:hAnsi="仿宋" w:eastAsia="仿宋" w:cs="仿宋"/>
          <w:b w:val="0"/>
          <w:bCs w:val="0"/>
          <w:i w:val="0"/>
          <w:iCs w:val="0"/>
          <w:caps w:val="0"/>
          <w:color w:val="333333"/>
          <w:spacing w:val="-2"/>
          <w:kern w:val="0"/>
          <w:sz w:val="32"/>
          <w:szCs w:val="32"/>
          <w:bdr w:val="none" w:color="auto" w:sz="0" w:space="0"/>
          <w:shd w:val="clear" w:fill="FFFFFF"/>
        </w:rPr>
        <w:t>首先</w:t>
      </w:r>
      <w:r>
        <w:rPr>
          <w:rFonts w:hint="eastAsia" w:ascii="仿宋" w:hAnsi="仿宋" w:eastAsia="仿宋" w:cs="仿宋"/>
          <w:i w:val="0"/>
          <w:iCs w:val="0"/>
          <w:caps w:val="0"/>
          <w:color w:val="333333"/>
          <w:spacing w:val="-2"/>
          <w:kern w:val="0"/>
          <w:sz w:val="32"/>
          <w:szCs w:val="32"/>
          <w:bdr w:val="none" w:color="auto" w:sz="0" w:space="0"/>
          <w:shd w:val="clear" w:fill="FFFFFF"/>
        </w:rPr>
        <w:t>要提升政策解读的质量，让群众能更加简单有效的了解政府的各项政策，同时按照新《条例》的要求对目录进行不断完善；其次，要学习运用群众喜闻乐见的内容形式，拉近信息公开与群众的距离，让信息公开融入群众的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1" w:lineRule="atLeast"/>
        <w:ind w:left="0" w:right="0" w:firstLine="663"/>
        <w:jc w:val="left"/>
      </w:pPr>
      <w:r>
        <w:rPr>
          <w:rFonts w:hint="eastAsia" w:ascii="仿宋" w:hAnsi="仿宋" w:eastAsia="仿宋" w:cs="仿宋"/>
          <w:b/>
          <w:bCs/>
          <w:i w:val="0"/>
          <w:iCs w:val="0"/>
          <w:caps w:val="0"/>
          <w:color w:val="333333"/>
          <w:spacing w:val="-2"/>
          <w:kern w:val="0"/>
          <w:sz w:val="32"/>
          <w:szCs w:val="32"/>
          <w:bdr w:val="none" w:color="auto" w:sz="0" w:space="0"/>
          <w:shd w:val="clear" w:fill="FFFFFF"/>
          <w:lang w:val="en-US" w:eastAsia="zh-CN" w:bidi="ar"/>
        </w:rPr>
        <w:t>三是要</w:t>
      </w:r>
      <w:r>
        <w:rPr>
          <w:rFonts w:hint="eastAsia" w:ascii="仿宋" w:hAnsi="仿宋" w:eastAsia="仿宋" w:cs="仿宋"/>
          <w:b/>
          <w:bCs/>
          <w:i w:val="0"/>
          <w:iCs w:val="0"/>
          <w:caps w:val="0"/>
          <w:color w:val="333333"/>
          <w:spacing w:val="-6"/>
          <w:kern w:val="0"/>
          <w:sz w:val="32"/>
          <w:szCs w:val="32"/>
          <w:bdr w:val="none" w:color="auto" w:sz="0" w:space="0"/>
          <w:shd w:val="clear" w:fill="FFFFFF"/>
          <w:lang w:val="en-US" w:eastAsia="zh-CN" w:bidi="ar"/>
        </w:rPr>
        <w:t>关心群众之关心，公开群众之所需。</w:t>
      </w:r>
      <w:r>
        <w:rPr>
          <w:rFonts w:hint="eastAsia" w:ascii="仿宋" w:hAnsi="仿宋" w:eastAsia="仿宋" w:cs="仿宋"/>
          <w:b w:val="0"/>
          <w:bCs w:val="0"/>
          <w:i w:val="0"/>
          <w:iCs w:val="0"/>
          <w:caps w:val="0"/>
          <w:color w:val="333333"/>
          <w:spacing w:val="-6"/>
          <w:kern w:val="0"/>
          <w:sz w:val="32"/>
          <w:szCs w:val="32"/>
          <w:bdr w:val="none" w:color="auto" w:sz="0" w:space="0"/>
          <w:shd w:val="clear" w:fill="FFFFFF"/>
          <w:lang w:val="en-US" w:eastAsia="zh-CN" w:bidi="ar"/>
        </w:rPr>
        <w:t>对于关系到百姓生活、群众热点话题的政府信息，要及时公开决不拖沓，向群众公开准确、正导向信息。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8" w:lineRule="atLeast"/>
        <w:ind w:left="0" w:right="0" w:firstLine="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六、其他需要报告的事项</w:t>
      </w:r>
    </w:p>
    <w:p>
      <w:pPr>
        <w:keepNext w:val="0"/>
        <w:keepLines w:val="0"/>
        <w:widowControl/>
        <w:suppressLineNumbers w:val="0"/>
        <w:spacing w:before="0" w:beforeAutospacing="1" w:after="0" w:afterAutospacing="1"/>
        <w:ind w:left="0" w:leftChars="0" w:right="0" w:firstLine="640" w:firstLineChars="200"/>
        <w:jc w:val="left"/>
      </w:pPr>
      <w:r>
        <w:rPr>
          <w:rFonts w:ascii="仿宋_GB2312" w:hAnsi="微软雅黑" w:eastAsia="仿宋_GB2312" w:cs="仿宋_GB2312"/>
          <w:i w:val="0"/>
          <w:iCs w:val="0"/>
          <w:caps w:val="0"/>
          <w:color w:val="333333"/>
          <w:spacing w:val="0"/>
          <w:kern w:val="0"/>
          <w:sz w:val="32"/>
          <w:szCs w:val="32"/>
          <w:shd w:val="clear" w:fill="FFFFFF"/>
          <w:lang w:val="en-US" w:eastAsia="zh-CN" w:bidi="ar"/>
        </w:rPr>
        <w:t>2019年度因机构改革，凤台县政府信息公开的职责划转至凤台县数据资源管理局，在职责划转期间内本项工作的情况存在一定的起伏，下半年通过补短板、稳长处、常自查三项措施分阶段对政府信息公开工作进行了专项整改，到2019年底整改显现一定成效，但仍需坚持整改工作，不断从基础方面进行整改，完善政府信息公开的各项基础性工作，积累量变，尽早实现质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YmZjZjVhYWNhOTI1ZjdhOTZmOTJhNTBhZDMwNjMifQ=="/>
  </w:docVars>
  <w:rsids>
    <w:rsidRoot w:val="36B04F53"/>
    <w:rsid w:val="36B04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2023-06-13T07:51:00Z</dcterms:created>
  <dc:creator>Destiny*</dc:creator>
  <cp:lastModifiedBy>Destiny*</cp:lastModifiedBy>
  <dcterms:modified xsi:type="dcterms:W3CDTF">2023-06-13T07:52:00Z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8923DDB760C14BC0A91DFA43E36FD2F7</vt:lpwstr>
  </property>
</Properties>
</file>