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right="-525" w:rightChars="-250"/>
        <w:rPr>
          <w:rFonts w:ascii="Times New Roman" w:hAnsi="Times New Roman" w:eastAsia="方正小标宋简体"/>
          <w:b/>
          <w:color w:val="FF0000"/>
          <w:w w:val="66"/>
          <w:sz w:val="44"/>
          <w:szCs w:val="44"/>
        </w:rPr>
      </w:pPr>
    </w:p>
    <w:p>
      <w:pPr>
        <w:spacing w:line="240" w:lineRule="atLeast"/>
        <w:ind w:right="-525" w:rightChars="-250"/>
        <w:rPr>
          <w:rFonts w:ascii="Times New Roman" w:hAnsi="Times New Roman" w:eastAsia="方正小标宋简体"/>
          <w:b/>
          <w:color w:val="FF0000"/>
          <w:w w:val="66"/>
          <w:sz w:val="44"/>
          <w:szCs w:val="44"/>
        </w:rPr>
      </w:pPr>
    </w:p>
    <w:p>
      <w:pPr>
        <w:spacing w:line="240" w:lineRule="atLeast"/>
        <w:ind w:left="-1050" w:leftChars="-500" w:right="-1155" w:rightChars="-550" w:firstLine="1043" w:firstLineChars="497"/>
        <w:rPr>
          <w:rFonts w:ascii="Times New Roman" w:hAnsi="Times New Roman" w:eastAsia="仿宋_GB2312"/>
          <w:sz w:val="144"/>
          <w:szCs w:val="144"/>
        </w:rPr>
      </w:pPr>
      <w:r>
        <w:rPr>
          <w:rFonts w:ascii="Times New Roman" w:hAnsi="Times New Roman"/>
        </w:rPr>
        <w:pict>
          <v:shape id="_x0000_s1026" o:spid="_x0000_s1026" o:spt="202" type="#_x0000_t202" style="position:absolute;left:0pt;margin-left:147pt;margin-top:12.6pt;height:81pt;width:185.4pt;z-index:251659264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60" w:lineRule="exact"/>
                    <w:textAlignment w:val="auto"/>
                    <w:rPr>
                      <w:rFonts w:ascii="黑体" w:hAnsi="黑体" w:eastAsia="黑体"/>
                      <w:b/>
                      <w:color w:val="FF0000"/>
                      <w:spacing w:val="-40"/>
                      <w:position w:val="-6"/>
                      <w:sz w:val="72"/>
                      <w:szCs w:val="72"/>
                    </w:rPr>
                  </w:pPr>
                  <w:r>
                    <w:rPr>
                      <w:rFonts w:hint="eastAsia" w:ascii="黑体" w:hAnsi="黑体" w:eastAsia="黑体"/>
                      <w:b/>
                      <w:color w:val="FF0000"/>
                      <w:spacing w:val="-40"/>
                      <w:position w:val="-6"/>
                      <w:sz w:val="72"/>
                      <w:szCs w:val="72"/>
                    </w:rPr>
                    <w:t>科学技术局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60" w:lineRule="exact"/>
                    <w:textAlignment w:val="auto"/>
                    <w:rPr>
                      <w:rFonts w:ascii="黑体" w:hAnsi="黑体" w:eastAsia="黑体"/>
                      <w:b/>
                      <w:color w:val="FF0000"/>
                      <w:spacing w:val="28"/>
                      <w:position w:val="-6"/>
                      <w:sz w:val="72"/>
                      <w:szCs w:val="72"/>
                    </w:rPr>
                  </w:pPr>
                  <w:r>
                    <w:rPr>
                      <w:rFonts w:hint="eastAsia" w:ascii="黑体" w:hAnsi="黑体" w:eastAsia="黑体"/>
                      <w:b/>
                      <w:color w:val="FF0000"/>
                      <w:spacing w:val="28"/>
                      <w:position w:val="-6"/>
                      <w:sz w:val="72"/>
                      <w:szCs w:val="72"/>
                    </w:rPr>
                    <w:t xml:space="preserve">财 </w:t>
                  </w:r>
                  <w:r>
                    <w:rPr>
                      <w:rFonts w:hint="eastAsia" w:ascii="黑体" w:hAnsi="黑体" w:eastAsia="黑体"/>
                      <w:b/>
                      <w:color w:val="FF0000"/>
                      <w:spacing w:val="64"/>
                      <w:position w:val="-6"/>
                      <w:sz w:val="72"/>
                      <w:szCs w:val="72"/>
                    </w:rPr>
                    <w:t>政 局</w:t>
                  </w:r>
                </w:p>
              </w:txbxContent>
            </v:textbox>
          </v:shape>
        </w:pict>
      </w:r>
      <w:r>
        <w:rPr>
          <w:rFonts w:hint="eastAsia" w:ascii="Times New Roman" w:hAnsi="Times New Roman" w:eastAsia="黑体"/>
          <w:b/>
          <w:color w:val="FF0000"/>
          <w:spacing w:val="-20"/>
          <w:w w:val="66"/>
          <w:sz w:val="144"/>
          <w:szCs w:val="144"/>
        </w:rPr>
        <w:t>凤台县</w:t>
      </w:r>
      <w:r>
        <w:rPr>
          <w:rFonts w:hint="eastAsia" w:ascii="Times New Roman" w:hAnsi="Times New Roman" w:eastAsia="黑体"/>
          <w:b/>
          <w:color w:val="FF0000"/>
          <w:w w:val="50"/>
          <w:sz w:val="72"/>
          <w:szCs w:val="72"/>
        </w:rPr>
        <w:t xml:space="preserve">                      </w:t>
      </w:r>
      <w:r>
        <w:rPr>
          <w:rFonts w:hint="eastAsia" w:ascii="Times New Roman" w:hAnsi="Times New Roman" w:eastAsia="黑体"/>
          <w:b/>
          <w:color w:val="FF0000"/>
          <w:spacing w:val="-20"/>
          <w:w w:val="66"/>
          <w:sz w:val="144"/>
          <w:szCs w:val="144"/>
        </w:rPr>
        <w:t>文件</w:t>
      </w:r>
      <w:r>
        <w:rPr>
          <w:rFonts w:hint="eastAsia" w:ascii="Times New Roman" w:hAnsi="Times New Roman" w:eastAsia="黑体"/>
          <w:b/>
          <w:color w:val="FF0000"/>
          <w:w w:val="50"/>
          <w:sz w:val="144"/>
          <w:szCs w:val="144"/>
        </w:rPr>
        <w:t xml:space="preserve"> </w:t>
      </w:r>
      <w:r>
        <w:rPr>
          <w:rFonts w:hint="eastAsia" w:ascii="Times New Roman" w:hAnsi="Times New Roman"/>
          <w:b/>
          <w:color w:val="FF0000"/>
          <w:w w:val="50"/>
          <w:sz w:val="144"/>
          <w:szCs w:val="144"/>
        </w:rPr>
        <w:t xml:space="preserve">       </w:t>
      </w:r>
    </w:p>
    <w:p>
      <w:pPr>
        <w:spacing w:line="500" w:lineRule="exact"/>
        <w:ind w:firstLine="3200" w:firstLineChars="1000"/>
        <w:rPr>
          <w:rFonts w:ascii="Times New Roman" w:hAnsi="Times New Roman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凤科字</w:t>
      </w:r>
      <w:r>
        <w:rPr>
          <w:rFonts w:hint="eastAsia" w:ascii="Times New Roman" w:hAnsi="Times New Roman" w:eastAsia="仿宋_GB2312"/>
          <w:sz w:val="32"/>
          <w:szCs w:val="32"/>
        </w:rPr>
        <w:t>〔</w:t>
      </w: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</w:rPr>
        <w:t>3〕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号</w:t>
      </w:r>
    </w:p>
    <w:p>
      <w:pPr>
        <w:spacing w:line="500" w:lineRule="exact"/>
        <w:ind w:left="-210" w:leftChars="-100" w:right="-210" w:rightChars="-10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/>
        </w:rPr>
        <w:pict>
          <v:line id="_x0000_s1027" o:spid="_x0000_s1027" o:spt="20" style="position:absolute;left:0pt;flip:y;margin-left:-9pt;margin-top:21.8pt;height:0pt;width:477pt;z-index:251660288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</w:p>
    <w:p>
      <w:pPr>
        <w:rPr>
          <w:rFonts w:ascii="Times New Roman" w:hAnsi="Times New Roman" w:eastAsia="黑体"/>
          <w:color w:val="000000"/>
          <w:sz w:val="44"/>
          <w:szCs w:val="44"/>
        </w:rPr>
      </w:pPr>
    </w:p>
    <w:p>
      <w:pPr>
        <w:rPr>
          <w:rFonts w:ascii="Times New Roman" w:hAnsi="Times New Roman" w:eastAsia="黑体"/>
          <w:color w:val="000000"/>
          <w:sz w:val="28"/>
          <w:szCs w:val="28"/>
        </w:rPr>
      </w:pPr>
    </w:p>
    <w:p>
      <w:pPr>
        <w:spacing w:line="0" w:lineRule="atLeas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 xml:space="preserve">  关于下达2022年县本级科技资金</w:t>
      </w:r>
    </w:p>
    <w:p>
      <w:pPr>
        <w:spacing w:line="0" w:lineRule="atLeas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 xml:space="preserve"> 使用计划的通知</w:t>
      </w:r>
    </w:p>
    <w:p>
      <w:pPr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各有关单位：</w:t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2年县本级科技资金使用计划，已经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shd w:val="clear" w:color="auto" w:fill="FFFFFF"/>
        </w:rPr>
        <w:t>第十八届县人民政府第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19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shd w:val="clear" w:color="auto" w:fill="FFFFFF"/>
        </w:rPr>
        <w:t>次常务会议研究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同意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sz w:val="32"/>
          <w:szCs w:val="32"/>
        </w:rPr>
        <w:t>，现下达给你们。请接通知后认真填写《县科技专项资金使用管理合同》，报县科技局。</w:t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县财政局、</w:t>
      </w:r>
      <w:r>
        <w:rPr>
          <w:rFonts w:hint="eastAsia" w:ascii="Times New Roman" w:hAnsi="Times New Roman" w:eastAsia="仿宋_GB2312"/>
          <w:color w:val="000000"/>
          <w:sz w:val="32"/>
        </w:rPr>
        <w:t>科技局将对科技资金管理使用情况进行监督检查，建立制度化监管机制，切实提高财政专项资金的使用效益。项目单位要专款专用、单独核算，并接受财政、审计、监察等部门和社会的监督，确保资金安全规范使用，违纪违规的，将按照有关规定严肃处理。</w:t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附件：</w:t>
      </w:r>
      <w:r>
        <w:rPr>
          <w:rFonts w:ascii="Times New Roman" w:hAnsi="Times New Roman" w:eastAsia="仿宋_GB2312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2年县本级科技资金使用计划表</w:t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jc w:val="righ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   凤台县科学技术局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凤台县财政局</w:t>
      </w:r>
    </w:p>
    <w:p>
      <w:pPr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                   </w:t>
      </w:r>
    </w:p>
    <w:p>
      <w:pPr>
        <w:jc w:val="center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           </w:t>
      </w:r>
    </w:p>
    <w:p>
      <w:pPr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日</w:t>
      </w:r>
    </w:p>
    <w:p>
      <w:pPr>
        <w:jc w:val="center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</w:rPr>
        <w:t>2022年县本级科技资金使用计划表</w:t>
      </w:r>
    </w:p>
    <w:tbl>
      <w:tblPr>
        <w:tblStyle w:val="5"/>
        <w:tblW w:w="10170" w:type="dxa"/>
        <w:tblInd w:w="-7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709"/>
        <w:gridCol w:w="4115"/>
        <w:gridCol w:w="3398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color w:val="000000" w:themeColor="text1"/>
                <w:kern w:val="0"/>
                <w:sz w:val="32"/>
                <w:szCs w:val="32"/>
              </w:rPr>
              <w:t>类型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color w:val="000000" w:themeColor="text1"/>
                <w:kern w:val="0"/>
                <w:sz w:val="32"/>
                <w:szCs w:val="32"/>
              </w:rPr>
              <w:t>序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color w:val="000000" w:themeColor="text1"/>
                <w:kern w:val="0"/>
                <w:sz w:val="32"/>
                <w:szCs w:val="32"/>
              </w:rPr>
              <w:t>号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color w:val="000000" w:themeColor="text1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color w:val="000000" w:themeColor="text1"/>
                <w:kern w:val="0"/>
                <w:sz w:val="32"/>
                <w:szCs w:val="32"/>
              </w:rPr>
              <w:t>承担单位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color w:val="000000" w:themeColor="text1"/>
                <w:kern w:val="0"/>
                <w:sz w:val="32"/>
                <w:szCs w:val="32"/>
              </w:rPr>
              <w:t>金额</w:t>
            </w:r>
          </w:p>
          <w:p>
            <w:pPr>
              <w:spacing w:line="0" w:lineRule="atLeast"/>
              <w:rPr>
                <w:rFonts w:ascii="Times New Roman" w:hAnsi="Times New Roman" w:eastAsia="仿宋_GB2312"/>
                <w:b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color w:val="000000" w:themeColor="text1"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exac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right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 xml:space="preserve">政策兑现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对纳入国家研发经费统计范围的单位，研发投入首次超过 500万元一次性奖励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淮南海螺水泥有限责任公司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exact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中央引导地方科技发展专项省拨资金20%配套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凤台县水稻原种场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exact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登记技术合同交易总额在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100-500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万元的，给予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5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万元奖励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凤台企飞科技信息服务有限公司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7" w:hRule="exact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高新技术企业奖励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淮南市众兴机械制造有限责任公司、安徽赛月环境科技有限公司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家重新认定各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万元，安徽卓科智能装备有限公司、安徽明桐软件有限公司、安徽润航农业科技开发有限公司、淮南时光科技有限公司、安徽艾葛赛环境投资开发有限公司、安徽赛乐普制药有限公司6家首次认定各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万元。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exact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首次进入国家高新技术企业评审组评审资助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安徽靳氏食品有限公司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exact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市“科技小巨人”企业培育期满达到合同目标的，一次性奖励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凤台县正祥农业科技发展有限公司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  <w:tc>
          <w:tcPr>
            <w:tcW w:w="41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主要农作物新品种奖励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安徽绿洲农业发展有限公司（小麦新品种“丰星麦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号”、“丰星麦4号”、“丰星麦8号”和水稻新品种“徽绿占”、“弘优秋占”）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exact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1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凤台县农业科学研究所（小麦新品种“凤科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1205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”）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exac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color w:val="000000" w:themeColor="text1"/>
                <w:kern w:val="0"/>
                <w:sz w:val="32"/>
                <w:szCs w:val="32"/>
              </w:rPr>
              <w:t>科技特派员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  <w:t>1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5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1名县级科技特派员生活补助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32.1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万元</w:t>
            </w:r>
          </w:p>
        </w:tc>
        <w:tc>
          <w:tcPr>
            <w:tcW w:w="33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960" w:firstLineChars="300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县科技局</w:t>
            </w:r>
          </w:p>
        </w:tc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/>
                <w:bCs/>
                <w:color w:val="000000" w:themeColor="text1"/>
                <w:kern w:val="0"/>
                <w:sz w:val="32"/>
                <w:szCs w:val="32"/>
              </w:rPr>
              <w:t>52.5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exac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13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名大学生科技特派员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8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个月（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2023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—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8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月）的生活补助资金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10.4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万元</w:t>
            </w:r>
          </w:p>
        </w:tc>
        <w:tc>
          <w:tcPr>
            <w:tcW w:w="3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640" w:firstLineChars="200"/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楷体_GB2312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exact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凤台县主要粮食作物产业发展科技特派团专项经费10万元</w:t>
            </w:r>
          </w:p>
        </w:tc>
        <w:tc>
          <w:tcPr>
            <w:tcW w:w="3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640" w:firstLineChars="200"/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楷体_GB2312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exac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楷体_GB2312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楷体_GB2312"/>
                <w:bCs/>
                <w:color w:val="000000" w:themeColor="text1"/>
                <w:kern w:val="0"/>
                <w:sz w:val="32"/>
                <w:szCs w:val="32"/>
              </w:rPr>
              <w:t>科技服务活动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高新技术企业培育、科技人才培训、科技宣传等费用20万元</w:t>
            </w:r>
          </w:p>
        </w:tc>
        <w:tc>
          <w:tcPr>
            <w:tcW w:w="33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960" w:firstLineChars="300"/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县科技局</w:t>
            </w:r>
          </w:p>
        </w:tc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color w:val="000000" w:themeColor="text1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pacing w:val="-20"/>
                <w:kern w:val="2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exact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楷体_GB2312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各级科技计划项目调研、项目评审、中期检查、结题验收等费用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>万元。</w:t>
            </w:r>
          </w:p>
        </w:tc>
        <w:tc>
          <w:tcPr>
            <w:tcW w:w="33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pacing w:val="-2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</w:trPr>
        <w:tc>
          <w:tcPr>
            <w:tcW w:w="8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right"/>
              <w:rPr>
                <w:rFonts w:ascii="Times New Roman" w:hAnsi="Times New Roman" w:eastAsia="仿宋_GB2312"/>
                <w:color w:val="000000" w:themeColor="text1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32"/>
                <w:szCs w:val="32"/>
              </w:rPr>
              <w:t xml:space="preserve">合计                                                        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pacing w:val="-20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pacing w:val="-20"/>
                <w:kern w:val="2"/>
                <w:sz w:val="32"/>
                <w:szCs w:val="32"/>
              </w:rPr>
              <w:t>329.5</w:t>
            </w:r>
          </w:p>
        </w:tc>
      </w:tr>
    </w:tbl>
    <w:p>
      <w:pPr>
        <w:rPr>
          <w:rFonts w:ascii="Times New Roman" w:hAnsi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NiYTIzNmExM2Q5Y2EyZGIxNDJiMzRkOTY5ODhhYTAifQ=="/>
  </w:docVars>
  <w:rsids>
    <w:rsidRoot w:val="003B7D10"/>
    <w:rsid w:val="00001429"/>
    <w:rsid w:val="00030EF6"/>
    <w:rsid w:val="00036FDE"/>
    <w:rsid w:val="00041890"/>
    <w:rsid w:val="0005058E"/>
    <w:rsid w:val="00062BE4"/>
    <w:rsid w:val="0011391D"/>
    <w:rsid w:val="001E3E56"/>
    <w:rsid w:val="00262C9C"/>
    <w:rsid w:val="002C051D"/>
    <w:rsid w:val="002C2466"/>
    <w:rsid w:val="003301EB"/>
    <w:rsid w:val="003B7D10"/>
    <w:rsid w:val="00516EBA"/>
    <w:rsid w:val="00547C3E"/>
    <w:rsid w:val="005647D0"/>
    <w:rsid w:val="00606ACE"/>
    <w:rsid w:val="0063372F"/>
    <w:rsid w:val="00633985"/>
    <w:rsid w:val="006A475C"/>
    <w:rsid w:val="007C1E3F"/>
    <w:rsid w:val="007F4039"/>
    <w:rsid w:val="008B2EF4"/>
    <w:rsid w:val="00990616"/>
    <w:rsid w:val="009A3147"/>
    <w:rsid w:val="00A1107F"/>
    <w:rsid w:val="00B718F0"/>
    <w:rsid w:val="00BD1251"/>
    <w:rsid w:val="00CC4A9B"/>
    <w:rsid w:val="00D41970"/>
    <w:rsid w:val="00F2092A"/>
    <w:rsid w:val="00F26453"/>
    <w:rsid w:val="00F421B2"/>
    <w:rsid w:val="00F762AE"/>
    <w:rsid w:val="1A9B7347"/>
    <w:rsid w:val="1D6A33AE"/>
    <w:rsid w:val="6ACE7ED9"/>
    <w:rsid w:val="79F6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right="0"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spacing w:line="240" w:lineRule="auto"/>
      <w:ind w:right="0" w:firstLine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888</Words>
  <Characters>952</Characters>
  <Lines>8</Lines>
  <Paragraphs>2</Paragraphs>
  <TotalTime>8</TotalTime>
  <ScaleCrop>false</ScaleCrop>
  <LinksUpToDate>false</LinksUpToDate>
  <CharactersWithSpaces>1109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2022-01-20T00:36:00Z</dcterms:created>
  <dc:creator>USER-</dc:creator>
  <cp:lastModifiedBy>银子</cp:lastModifiedBy>
  <cp:lastPrinted>2023-03-31T02:29:51Z</cp:lastPrinted>
  <dcterms:modified xsi:type="dcterms:W3CDTF">2023-03-31T02:31:03Z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0DB14A998CA54903B3948354933178B8</vt:lpwstr>
  </property>
</Properties>
</file>