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atLeast"/>
        <w:jc w:val="center"/>
        <w:rPr>
          <w:rFonts w:hint="eastAsia" w:ascii="黑体" w:hAnsi="黑体" w:eastAsia="黑体" w:cs="黑体"/>
          <w:color w:val="333333"/>
          <w:sz w:val="44"/>
          <w:szCs w:val="44"/>
        </w:rPr>
      </w:pPr>
      <w:r>
        <w:rPr>
          <w:rFonts w:hint="eastAsia" w:ascii="黑体" w:hAnsi="黑体" w:eastAsia="黑体" w:cs="黑体"/>
          <w:color w:val="333333"/>
          <w:sz w:val="44"/>
          <w:szCs w:val="44"/>
        </w:rPr>
        <w:t>凤台县乡镇政府重大决策</w:t>
      </w:r>
    </w:p>
    <w:p>
      <w:pPr>
        <w:pStyle w:val="2"/>
        <w:shd w:val="clear" w:color="auto" w:fill="FFFFFF"/>
        <w:spacing w:before="0" w:beforeAutospacing="0" w:after="0" w:afterAutospacing="0" w:line="560" w:lineRule="atLeast"/>
        <w:jc w:val="center"/>
        <w:rPr>
          <w:rFonts w:ascii="Times New Roman" w:hAnsi="Times New Roman" w:cs="Times New Roman"/>
          <w:color w:val="333333"/>
          <w:sz w:val="32"/>
          <w:szCs w:val="32"/>
        </w:rPr>
      </w:pPr>
      <w:r>
        <w:rPr>
          <w:rFonts w:hint="eastAsia" w:ascii="黑体" w:hAnsi="黑体" w:eastAsia="黑体" w:cs="黑体"/>
          <w:color w:val="333333"/>
          <w:sz w:val="44"/>
          <w:szCs w:val="44"/>
        </w:rPr>
        <w:t>合法性审查全覆盖工作实施方案</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Times New Roman" w:hAnsi="Times New Roman" w:cs="Times New Roman"/>
          <w:color w:val="333333"/>
          <w:sz w:val="32"/>
          <w:szCs w:val="32"/>
        </w:rPr>
        <w:t> </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仿宋_GB2312" w:hAnsi="仿宋" w:eastAsia="仿宋_GB2312" w:cs="Times New Roman"/>
          <w:color w:val="333333"/>
          <w:sz w:val="32"/>
          <w:szCs w:val="32"/>
        </w:rPr>
        <w:t>为深入贯彻落实习近平法治思想和党的二十大精神，加快推进基层法治建设进程，实现省、市、县、乡四级政府重大决策合法性审查全覆盖，根据《安徽省人民政府关于印发安徽省开展法治政府建设率先突破三年行动计划（</w:t>
      </w:r>
      <w:r>
        <w:rPr>
          <w:rFonts w:hint="eastAsia" w:ascii="Times New Roman" w:hAnsi="Times New Roman" w:eastAsia="仿宋" w:cs="Times New Roman"/>
          <w:color w:val="333333"/>
          <w:sz w:val="32"/>
          <w:szCs w:val="32"/>
        </w:rPr>
        <w:t>2022</w:t>
      </w:r>
      <w:r>
        <w:rPr>
          <w:rFonts w:hint="eastAsia" w:ascii="仿宋_GB2312" w:hAnsi="仿宋" w:eastAsia="仿宋_GB2312" w:cs="Times New Roman"/>
          <w:color w:val="333333"/>
          <w:sz w:val="32"/>
          <w:szCs w:val="32"/>
        </w:rPr>
        <w:t>—</w:t>
      </w:r>
      <w:r>
        <w:rPr>
          <w:rFonts w:hint="eastAsia" w:ascii="Times New Roman" w:hAnsi="Times New Roman" w:eastAsia="仿宋" w:cs="Times New Roman"/>
          <w:color w:val="333333"/>
          <w:sz w:val="32"/>
          <w:szCs w:val="32"/>
        </w:rPr>
        <w:t>2024 </w:t>
      </w:r>
      <w:r>
        <w:rPr>
          <w:rFonts w:hint="eastAsia" w:ascii="仿宋_GB2312" w:hAnsi="仿宋" w:eastAsia="仿宋_GB2312" w:cs="Times New Roman"/>
          <w:color w:val="333333"/>
          <w:sz w:val="32"/>
          <w:szCs w:val="32"/>
        </w:rPr>
        <w:t>年）的通知》（皖政〔</w:t>
      </w:r>
      <w:r>
        <w:rPr>
          <w:rFonts w:hint="eastAsia" w:ascii="Times New Roman" w:hAnsi="Times New Roman" w:eastAsia="仿宋" w:cs="Times New Roman"/>
          <w:color w:val="333333"/>
          <w:sz w:val="32"/>
          <w:szCs w:val="32"/>
        </w:rPr>
        <w:t>2022</w:t>
      </w:r>
      <w:r>
        <w:rPr>
          <w:rFonts w:hint="eastAsia" w:ascii="仿宋_GB2312" w:hAnsi="仿宋" w:eastAsia="仿宋_GB2312" w:cs="Times New Roman"/>
          <w:color w:val="333333"/>
          <w:sz w:val="32"/>
          <w:szCs w:val="32"/>
        </w:rPr>
        <w:t>〕</w:t>
      </w:r>
      <w:r>
        <w:rPr>
          <w:rFonts w:hint="eastAsia" w:ascii="Times New Roman" w:hAnsi="Times New Roman" w:eastAsia="仿宋" w:cs="Times New Roman"/>
          <w:color w:val="333333"/>
          <w:sz w:val="32"/>
          <w:szCs w:val="32"/>
        </w:rPr>
        <w:t>69 </w:t>
      </w:r>
      <w:r>
        <w:rPr>
          <w:rFonts w:hint="eastAsia" w:ascii="仿宋_GB2312" w:hAnsi="仿宋" w:eastAsia="仿宋_GB2312" w:cs="Times New Roman"/>
          <w:color w:val="333333"/>
          <w:sz w:val="32"/>
          <w:szCs w:val="32"/>
        </w:rPr>
        <w:t>号）和</w:t>
      </w:r>
      <w:r>
        <w:rPr>
          <w:rFonts w:hint="eastAsia" w:ascii="仿宋_GB2312" w:hAnsi="仿宋" w:eastAsia="仿宋_GB2312" w:cs="Times New Roman"/>
          <w:color w:val="333333"/>
          <w:sz w:val="32"/>
          <w:szCs w:val="32"/>
          <w:lang w:eastAsia="zh-CN"/>
        </w:rPr>
        <w:t>省市</w:t>
      </w:r>
      <w:r>
        <w:rPr>
          <w:rFonts w:hint="eastAsia" w:ascii="仿宋_GB2312" w:hAnsi="仿宋" w:eastAsia="仿宋_GB2312" w:cs="Times New Roman"/>
          <w:color w:val="333333"/>
          <w:sz w:val="32"/>
          <w:szCs w:val="32"/>
        </w:rPr>
        <w:t>《关于开展乡镇（街道）合法性审查规范化建设工作方案》，结合我县实际，制定本实施方案。</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黑体" w:hAnsi="黑体" w:eastAsia="黑体" w:cs="Times New Roman"/>
          <w:color w:val="333333"/>
          <w:sz w:val="32"/>
          <w:szCs w:val="32"/>
        </w:rPr>
        <w:t>一、总体要求</w:t>
      </w:r>
    </w:p>
    <w:p>
      <w:pPr>
        <w:pStyle w:val="2"/>
        <w:shd w:val="clear" w:color="auto" w:fill="FFFFFF"/>
        <w:spacing w:before="0" w:beforeAutospacing="0" w:after="0" w:afterAutospacing="0" w:line="560" w:lineRule="atLeast"/>
        <w:ind w:firstLine="640"/>
        <w:jc w:val="both"/>
        <w:rPr>
          <w:rFonts w:hint="eastAsia" w:ascii="仿宋_GB2312" w:hAnsi="仿宋" w:eastAsia="仿宋_GB2312" w:cs="Times New Roman"/>
          <w:color w:val="333333"/>
          <w:sz w:val="32"/>
          <w:szCs w:val="32"/>
        </w:rPr>
      </w:pPr>
      <w:r>
        <w:rPr>
          <w:rFonts w:hint="eastAsia" w:ascii="楷体_GB2312" w:hAnsi="楷体" w:eastAsia="楷体_GB2312" w:cs="Times New Roman"/>
          <w:color w:val="333333"/>
          <w:sz w:val="32"/>
          <w:szCs w:val="32"/>
        </w:rPr>
        <w:t>（一）指导思想。</w:t>
      </w:r>
      <w:r>
        <w:rPr>
          <w:rFonts w:hint="eastAsia" w:ascii="仿宋_GB2312" w:eastAsia="仿宋_GB2312"/>
          <w:color w:val="333333"/>
          <w:sz w:val="32"/>
          <w:szCs w:val="32"/>
          <w:shd w:val="clear" w:color="auto" w:fill="FFFFFF"/>
        </w:rPr>
        <w:t>以习近平新时代中国特色社会主义思想为指导，全面贯彻党中央关于法治乡村建设、加快基层治理体系和治理能力现代化建设要求，坚持以法治建设为统领，深入推进基层依法治理，完善乡镇法治</w:t>
      </w:r>
      <w:r>
        <w:rPr>
          <w:rFonts w:hint="eastAsia" w:ascii="仿宋_GB2312" w:eastAsia="仿宋_GB2312"/>
          <w:color w:val="333333"/>
          <w:sz w:val="32"/>
          <w:szCs w:val="32"/>
          <w:shd w:val="clear" w:color="auto" w:fill="FFFFFF"/>
          <w:lang w:eastAsia="zh-CN"/>
        </w:rPr>
        <w:t>政府</w:t>
      </w:r>
      <w:r>
        <w:rPr>
          <w:rFonts w:hint="eastAsia" w:ascii="仿宋_GB2312" w:eastAsia="仿宋_GB2312"/>
          <w:color w:val="333333"/>
          <w:sz w:val="32"/>
          <w:szCs w:val="32"/>
          <w:shd w:val="clear" w:color="auto" w:fill="FFFFFF"/>
        </w:rPr>
        <w:t>建设体制机制，全面推进合法性审查全覆盖建设，为实现乡村振兴、基层治理现代化提供法治保障。</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_GB2312" w:eastAsia="仿宋_GB2312"/>
          <w:color w:val="333333"/>
          <w:sz w:val="32"/>
          <w:szCs w:val="32"/>
          <w:shd w:val="clear" w:color="auto" w:fill="FFFFFF"/>
        </w:rPr>
      </w:pPr>
      <w:r>
        <w:rPr>
          <w:rFonts w:hint="eastAsia" w:ascii="楷体_GB2312" w:hAnsi="楷体" w:eastAsia="楷体_GB2312" w:cs="Times New Roman"/>
          <w:color w:val="333333"/>
          <w:sz w:val="32"/>
          <w:szCs w:val="32"/>
        </w:rPr>
        <w:t>（二）工作目标。</w:t>
      </w:r>
      <w:r>
        <w:rPr>
          <w:rFonts w:hint="eastAsia" w:ascii="仿宋_GB2312" w:hAnsi="仿宋" w:eastAsia="仿宋_GB2312" w:cs="Times New Roman"/>
          <w:color w:val="333333"/>
          <w:sz w:val="32"/>
          <w:szCs w:val="32"/>
        </w:rPr>
        <w:t>严格遵守《重大行政决策程序暂行条例》《安徽省重大行政决策程序规定》《淮南市人民政府办公室关于全面推行行政规范性文件合法性审核机制的实施意见》</w:t>
      </w:r>
      <w:r>
        <w:rPr>
          <w:rFonts w:hint="eastAsia" w:ascii="仿宋_GB2312" w:hAnsi="仿宋" w:eastAsia="仿宋_GB2312" w:cs="Times New Roman"/>
          <w:color w:val="333333"/>
          <w:sz w:val="32"/>
          <w:szCs w:val="32"/>
          <w:lang w:eastAsia="zh-CN"/>
        </w:rPr>
        <w:t>和</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sz w:val="32"/>
          <w:szCs w:val="32"/>
        </w:rPr>
        <w:t>关于进一步规范重大行政决策工作的通知</w:t>
      </w:r>
      <w:r>
        <w:rPr>
          <w:rFonts w:hint="eastAsia" w:ascii="仿宋" w:hAnsi="仿宋" w:eastAsia="仿宋" w:cs="仿宋"/>
          <w:i w:val="0"/>
          <w:iCs w:val="0"/>
          <w:caps w:val="0"/>
          <w:color w:val="333333"/>
          <w:spacing w:val="0"/>
          <w:sz w:val="32"/>
          <w:szCs w:val="32"/>
          <w:shd w:val="clear" w:fill="FFFFFF"/>
          <w:lang w:val="en-US" w:eastAsia="zh-CN"/>
        </w:rPr>
        <w:t>》（凤府法领办[2022]12号）</w:t>
      </w:r>
      <w:r>
        <w:rPr>
          <w:rFonts w:hint="eastAsia" w:ascii="仿宋_GB2312" w:hAnsi="仿宋" w:eastAsia="仿宋_GB2312" w:cs="Times New Roman"/>
          <w:color w:val="333333"/>
          <w:sz w:val="32"/>
          <w:szCs w:val="32"/>
        </w:rPr>
        <w:t>等规定，坚持将合法性审查作为乡镇重大行政决策、制定规范性文件、签订各类合同、作出重大行政执法决定的必经程序，确保未经合法性审查或经审查不合法的，不得提交决策机关集体审议或出台实施。</w:t>
      </w:r>
      <w:r>
        <w:rPr>
          <w:rFonts w:ascii="Times New Roman" w:hAnsi="Times New Roman" w:cs="Times New Roman"/>
          <w:color w:val="333333"/>
          <w:sz w:val="32"/>
          <w:szCs w:val="32"/>
          <w:shd w:val="clear" w:color="auto" w:fill="FFFFFF"/>
        </w:rPr>
        <w:t>202</w:t>
      </w:r>
      <w:r>
        <w:rPr>
          <w:rFonts w:hint="eastAsia" w:ascii="Times New Roman" w:hAnsi="Times New Roman" w:cs="Times New Roman"/>
          <w:color w:val="333333"/>
          <w:sz w:val="32"/>
          <w:szCs w:val="32"/>
          <w:shd w:val="clear" w:color="auto" w:fill="FFFFFF"/>
        </w:rPr>
        <w:t>3</w:t>
      </w:r>
      <w:r>
        <w:rPr>
          <w:rFonts w:hint="eastAsia" w:ascii="仿宋_GB2312" w:eastAsia="仿宋_GB2312"/>
          <w:color w:val="333333"/>
          <w:sz w:val="32"/>
          <w:szCs w:val="32"/>
          <w:shd w:val="clear" w:color="auto" w:fill="FFFFFF"/>
        </w:rPr>
        <w:t>年</w:t>
      </w:r>
      <w:r>
        <w:rPr>
          <w:rFonts w:ascii="Times New Roman" w:hAnsi="Times New Roman" w:cs="Times New Roman"/>
          <w:color w:val="333333"/>
          <w:sz w:val="32"/>
          <w:szCs w:val="32"/>
          <w:shd w:val="clear" w:color="auto" w:fill="FFFFFF"/>
        </w:rPr>
        <w:t>9</w:t>
      </w:r>
      <w:r>
        <w:rPr>
          <w:rFonts w:hint="eastAsia" w:ascii="仿宋_GB2312" w:eastAsia="仿宋_GB2312"/>
          <w:color w:val="333333"/>
          <w:sz w:val="32"/>
          <w:szCs w:val="32"/>
          <w:shd w:val="clear" w:color="auto" w:fill="FFFFFF"/>
        </w:rPr>
        <w:t>月底前，基本实现全县乡镇合法性审查力量、审查范围、审查机制全覆盖，构建起</w:t>
      </w:r>
      <w:r>
        <w:rPr>
          <w:rFonts w:ascii="Times New Roman" w:hAnsi="Times New Roman" w:cs="Times New Roman"/>
          <w:color w:val="333333"/>
          <w:sz w:val="32"/>
          <w:szCs w:val="32"/>
          <w:shd w:val="clear" w:color="auto" w:fill="FFFFFF"/>
        </w:rPr>
        <w:t>“</w:t>
      </w:r>
      <w:r>
        <w:rPr>
          <w:rFonts w:hint="eastAsia" w:ascii="仿宋_GB2312" w:eastAsia="仿宋_GB2312"/>
          <w:color w:val="333333"/>
          <w:sz w:val="32"/>
          <w:szCs w:val="32"/>
          <w:shd w:val="clear" w:color="auto" w:fill="FFFFFF"/>
        </w:rPr>
        <w:t>横向到边、纵向到底</w:t>
      </w:r>
      <w:r>
        <w:rPr>
          <w:rFonts w:ascii="Times New Roman" w:hAnsi="Times New Roman" w:cs="Times New Roman"/>
          <w:color w:val="333333"/>
          <w:sz w:val="32"/>
          <w:szCs w:val="32"/>
          <w:shd w:val="clear" w:color="auto" w:fill="FFFFFF"/>
        </w:rPr>
        <w:t>”</w:t>
      </w:r>
      <w:r>
        <w:rPr>
          <w:rFonts w:hint="eastAsia" w:ascii="仿宋_GB2312" w:eastAsia="仿宋_GB2312"/>
          <w:color w:val="333333"/>
          <w:sz w:val="32"/>
          <w:szCs w:val="32"/>
          <w:shd w:val="clear" w:color="auto" w:fill="FFFFFF"/>
        </w:rPr>
        <w:t>的合法性审查工作格局；</w:t>
      </w:r>
      <w:r>
        <w:rPr>
          <w:rFonts w:ascii="Times New Roman" w:hAnsi="Times New Roman" w:cs="Times New Roman"/>
          <w:color w:val="333333"/>
          <w:sz w:val="32"/>
          <w:szCs w:val="32"/>
          <w:shd w:val="clear" w:color="auto" w:fill="FFFFFF"/>
        </w:rPr>
        <w:t>202</w:t>
      </w:r>
      <w:r>
        <w:rPr>
          <w:rFonts w:hint="eastAsia" w:ascii="Times New Roman" w:hAnsi="Times New Roman" w:cs="Times New Roman"/>
          <w:color w:val="333333"/>
          <w:sz w:val="32"/>
          <w:szCs w:val="32"/>
          <w:shd w:val="clear" w:color="auto" w:fill="FFFFFF"/>
        </w:rPr>
        <w:t>3</w:t>
      </w:r>
      <w:r>
        <w:rPr>
          <w:rFonts w:hint="eastAsia" w:ascii="仿宋_GB2312" w:eastAsia="仿宋_GB2312"/>
          <w:color w:val="333333"/>
          <w:sz w:val="32"/>
          <w:szCs w:val="32"/>
          <w:shd w:val="clear" w:color="auto" w:fill="FFFFFF"/>
        </w:rPr>
        <w:t>年底前，实现乡镇合法性审查工作标准化建设提质增效，全面提升乡镇各项工作法治化水平。</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黑体" w:hAnsi="黑体" w:eastAsia="黑体" w:cs="Times New Roman"/>
          <w:color w:val="333333"/>
          <w:sz w:val="32"/>
          <w:szCs w:val="32"/>
        </w:rPr>
        <w:t>二、主要举措</w:t>
      </w:r>
    </w:p>
    <w:p>
      <w:pPr>
        <w:pStyle w:val="2"/>
        <w:shd w:val="clear" w:color="auto" w:fill="FFFFFF"/>
        <w:spacing w:before="0" w:beforeAutospacing="0" w:after="0" w:afterAutospacing="0" w:line="560" w:lineRule="atLeast"/>
        <w:ind w:firstLine="640"/>
        <w:jc w:val="both"/>
        <w:rPr>
          <w:rFonts w:hint="eastAsia" w:ascii="仿宋_GB2312" w:eastAsia="仿宋_GB2312"/>
          <w:color w:val="333333"/>
          <w:sz w:val="32"/>
          <w:szCs w:val="32"/>
          <w:shd w:val="clear" w:color="auto" w:fill="FFFFFF"/>
        </w:rPr>
      </w:pPr>
      <w:r>
        <w:rPr>
          <w:rFonts w:hint="eastAsia" w:ascii="楷体_GB2312" w:hAnsi="楷体" w:eastAsia="楷体_GB2312" w:cs="Times New Roman"/>
          <w:color w:val="333333"/>
          <w:sz w:val="32"/>
          <w:szCs w:val="32"/>
        </w:rPr>
        <w:t>（一）明确合法性审查机构和人员。</w:t>
      </w:r>
      <w:r>
        <w:rPr>
          <w:rFonts w:hint="eastAsia" w:ascii="仿宋_GB2312" w:eastAsia="仿宋_GB2312"/>
          <w:color w:val="333333"/>
          <w:sz w:val="32"/>
          <w:szCs w:val="32"/>
          <w:shd w:val="clear" w:color="auto" w:fill="FFFFFF"/>
        </w:rPr>
        <w:t>在机构设置上，</w:t>
      </w:r>
      <w:r>
        <w:rPr>
          <w:rFonts w:hint="eastAsia" w:ascii="仿宋_GB2312" w:eastAsia="仿宋_GB2312"/>
          <w:color w:val="333333"/>
          <w:sz w:val="32"/>
          <w:szCs w:val="32"/>
          <w:shd w:val="clear" w:color="auto" w:fill="FFFFFF"/>
          <w:lang w:eastAsia="zh-CN"/>
        </w:rPr>
        <w:t>各</w:t>
      </w:r>
      <w:r>
        <w:rPr>
          <w:rFonts w:hint="eastAsia" w:ascii="仿宋_GB2312" w:eastAsia="仿宋_GB2312"/>
          <w:color w:val="333333"/>
          <w:sz w:val="32"/>
          <w:szCs w:val="32"/>
          <w:shd w:val="clear" w:color="auto" w:fill="FFFFFF"/>
        </w:rPr>
        <w:t>乡镇党政办公室为乡镇合法性审查</w:t>
      </w:r>
      <w:r>
        <w:rPr>
          <w:rFonts w:hint="eastAsia" w:ascii="仿宋_GB2312" w:eastAsia="仿宋_GB2312"/>
          <w:color w:val="333333"/>
          <w:sz w:val="32"/>
          <w:szCs w:val="32"/>
          <w:shd w:val="clear" w:color="auto" w:fill="FFFFFF"/>
          <w:lang w:eastAsia="zh-CN"/>
        </w:rPr>
        <w:t>承办</w:t>
      </w:r>
      <w:r>
        <w:rPr>
          <w:rFonts w:hint="eastAsia" w:ascii="仿宋_GB2312" w:eastAsia="仿宋_GB2312"/>
          <w:color w:val="333333"/>
          <w:sz w:val="32"/>
          <w:szCs w:val="32"/>
          <w:shd w:val="clear" w:color="auto" w:fill="FFFFFF"/>
        </w:rPr>
        <w:t>机构，负责统筹合法性审查工作。在人员配备上，明确</w:t>
      </w:r>
      <w:r>
        <w:rPr>
          <w:rFonts w:ascii="Times New Roman" w:hAnsi="Times New Roman" w:cs="Times New Roman"/>
          <w:color w:val="333333"/>
          <w:sz w:val="32"/>
          <w:szCs w:val="32"/>
          <w:shd w:val="clear" w:color="auto" w:fill="FFFFFF"/>
        </w:rPr>
        <w:t>1</w:t>
      </w:r>
      <w:r>
        <w:rPr>
          <w:rFonts w:hint="eastAsia" w:ascii="仿宋_GB2312" w:eastAsia="仿宋_GB2312"/>
          <w:color w:val="333333"/>
          <w:sz w:val="32"/>
          <w:szCs w:val="32"/>
          <w:shd w:val="clear" w:color="auto" w:fill="FFFFFF"/>
        </w:rPr>
        <w:t>名领导分管合法性审查工作，落实至少</w:t>
      </w:r>
      <w:r>
        <w:rPr>
          <w:rFonts w:ascii="Times New Roman" w:hAnsi="Times New Roman" w:cs="Times New Roman"/>
          <w:color w:val="333333"/>
          <w:sz w:val="32"/>
          <w:szCs w:val="32"/>
          <w:shd w:val="clear" w:color="auto" w:fill="FFFFFF"/>
        </w:rPr>
        <w:t>1</w:t>
      </w:r>
      <w:r>
        <w:rPr>
          <w:rFonts w:hint="eastAsia" w:ascii="仿宋_GB2312" w:eastAsia="仿宋_GB2312"/>
          <w:color w:val="333333"/>
          <w:sz w:val="32"/>
          <w:szCs w:val="32"/>
          <w:shd w:val="clear" w:color="auto" w:fill="FFFFFF"/>
        </w:rPr>
        <w:t>名党政办公室工作人员负责合法性审查工作，并可整合司法所工作人员、公职律师、法律顾问等力量参与合法性审查，或通过政府购买法律服务方式解决；审查人员力量薄弱的乡镇，可以吸收基层法律服务工作者、通过法律职业资格考试或具有法律专业背景及村（社区）法律顾问等人员协助审查。县司法局为乡镇合法性审查工作提供指导服务支撑。</w:t>
      </w:r>
    </w:p>
    <w:p>
      <w:pPr>
        <w:pStyle w:val="2"/>
        <w:shd w:val="clear" w:color="auto" w:fill="FFFFFF"/>
        <w:spacing w:before="0" w:beforeAutospacing="0" w:after="0" w:afterAutospacing="0" w:line="560" w:lineRule="atLeast"/>
        <w:ind w:firstLine="640"/>
        <w:jc w:val="both"/>
        <w:rPr>
          <w:rFonts w:hint="eastAsia" w:ascii="仿宋_GB2312" w:eastAsia="仿宋_GB2312"/>
          <w:color w:val="333333"/>
          <w:sz w:val="32"/>
          <w:szCs w:val="32"/>
          <w:shd w:val="clear" w:color="auto" w:fill="FFFFFF"/>
        </w:rPr>
      </w:pPr>
      <w:r>
        <w:rPr>
          <w:rFonts w:hint="eastAsia" w:ascii="楷体_GB2312" w:hAnsi="楷体" w:eastAsia="楷体_GB2312" w:cs="Times New Roman"/>
          <w:color w:val="333333"/>
          <w:sz w:val="32"/>
          <w:szCs w:val="32"/>
        </w:rPr>
        <w:t>（二）明确审查范围。</w:t>
      </w:r>
      <w:r>
        <w:rPr>
          <w:rFonts w:hint="eastAsia" w:ascii="仿宋_GB2312" w:eastAsia="仿宋_GB2312"/>
          <w:color w:val="333333"/>
          <w:sz w:val="32"/>
          <w:szCs w:val="32"/>
          <w:shd w:val="clear" w:color="auto" w:fill="FFFFFF"/>
        </w:rPr>
        <w:t>应当进行合法性审查的事项主要包括乡镇拟制定的行政规范性文件；乡镇提请县政府常务会议审议的事项；涉及乡镇区域经济社会发展全局的行政决策事项；涉及重大合作、招商引资、民商事等内容的协议；涉及乡镇职权范围内的行政执法行为；其他可能引起重大社会影响需要进行合法性审查的事项；乡镇在基层治理中的其他涉法事务等。特别是涉及公民、法人和其他组织权利义务的重大决策事项，要做到合法性审查全覆盖。县司法局提供乡镇合法性审查范围清单（参考）（详见附件</w:t>
      </w:r>
      <w:r>
        <w:rPr>
          <w:rFonts w:ascii="Times New Roman" w:hAnsi="Times New Roman" w:cs="Times New Roman"/>
          <w:color w:val="333333"/>
          <w:sz w:val="32"/>
          <w:szCs w:val="32"/>
          <w:shd w:val="clear" w:color="auto" w:fill="FFFFFF"/>
        </w:rPr>
        <w:t>2</w:t>
      </w:r>
      <w:r>
        <w:rPr>
          <w:rFonts w:hint="eastAsia" w:ascii="仿宋_GB2312" w:eastAsia="仿宋_GB2312"/>
          <w:color w:val="333333"/>
          <w:sz w:val="32"/>
          <w:szCs w:val="32"/>
          <w:shd w:val="clear" w:color="auto" w:fill="FFFFFF"/>
        </w:rPr>
        <w:t>），各乡镇可根据审查范围清单明确本乡镇的合法性审查范围，并以清单形式报送县司法局汇总。</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（三）明确审查方式。</w:t>
      </w:r>
      <w:r>
        <w:rPr>
          <w:rFonts w:hint="eastAsia" w:ascii="仿宋_GB2312" w:hAnsi="仿宋" w:eastAsia="仿宋_GB2312" w:cs="Times New Roman"/>
          <w:color w:val="333333"/>
          <w:sz w:val="32"/>
          <w:szCs w:val="32"/>
        </w:rPr>
        <w:t>在开展合法性审查时，可根据实际情况采取书面审查、实地调查、召开座谈论证会，以及委托其他人员或机构研究论证等方式进行，确保合法性审查质量。合法性审查机构应严把合法性审查关口，对权限、程序、内容是否合法，适用依据是否正确，是否符合法律、法规、规章及政策规定等方面进行严格审查，确保应审必审。</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（四）明确审查流程。</w:t>
      </w:r>
      <w:r>
        <w:rPr>
          <w:rFonts w:hint="eastAsia" w:ascii="仿宋_GB2312" w:hAnsi="仿宋" w:eastAsia="仿宋_GB2312" w:cs="Times New Roman"/>
          <w:color w:val="333333"/>
          <w:sz w:val="32"/>
          <w:szCs w:val="32"/>
        </w:rPr>
        <w:t>行政规范性文件和其他有必要审查的文件、重大行政决策、行政合同及其他涉法事务的合法性审查由承办机构提起。</w:t>
      </w:r>
      <w:r>
        <w:rPr>
          <w:rFonts w:hint="eastAsia" w:ascii="仿宋_GB2312" w:hAnsi="仿宋" w:eastAsia="仿宋_GB2312" w:cs="Times New Roman"/>
          <w:color w:val="333333"/>
          <w:sz w:val="32"/>
          <w:szCs w:val="32"/>
          <w:lang w:eastAsia="zh-CN"/>
        </w:rPr>
        <w:t>被审查</w:t>
      </w:r>
      <w:r>
        <w:rPr>
          <w:rFonts w:hint="eastAsia" w:ascii="仿宋_GB2312" w:hAnsi="仿宋" w:eastAsia="仿宋_GB2312" w:cs="Times New Roman"/>
          <w:color w:val="333333"/>
          <w:sz w:val="32"/>
          <w:szCs w:val="32"/>
        </w:rPr>
        <w:t>事项的承办机构应当按照要求提供送审稿、起草说明和有关材料，并保障必要的审查时间。送审材料不齐全可能影响审查的，审查人员应当一次性告知承办机构在指定期限内补齐相关材料。合法性审查机构应当组织审查力量围绕主体、程序、内容等方面进行严格审查，对审查意见负责，坚决杜绝重形式、轻内容、走过场现象。对专业性强、涉及面广、影响群众切身利益的重大涉法事项，可以通过征求意见、听证论证、专家咨询、听取法律顾问意见等方式提高审查质量。乡镇班子集体讨论涉及合法性审查事项的议题时，应当安排合法性审查机构负责人列席会议、发表意见。</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黑体" w:hAnsi="黑体" w:eastAsia="黑体" w:cs="Times New Roman"/>
          <w:color w:val="333333"/>
          <w:sz w:val="32"/>
          <w:szCs w:val="32"/>
        </w:rPr>
        <w:t>三、组织保障</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（一）抓好工作部署。</w:t>
      </w:r>
      <w:r>
        <w:rPr>
          <w:rFonts w:hint="eastAsia" w:ascii="仿宋_GB2312" w:hAnsi="仿宋" w:eastAsia="仿宋_GB2312" w:cs="Times New Roman"/>
          <w:color w:val="333333"/>
          <w:sz w:val="32"/>
          <w:szCs w:val="32"/>
        </w:rPr>
        <w:t>合法性审查是法治政府建设的内在要求，各乡镇要将合法性审查工作列入议事日程，成立领导小组，</w:t>
      </w:r>
      <w:r>
        <w:rPr>
          <w:rFonts w:hint="eastAsia" w:ascii="仿宋_GB2312" w:hAnsi="仿宋" w:eastAsia="仿宋_GB2312" w:cs="Times New Roman"/>
          <w:color w:val="333333"/>
          <w:sz w:val="32"/>
          <w:szCs w:val="32"/>
          <w:lang w:eastAsia="zh-CN"/>
        </w:rPr>
        <w:t>确定</w:t>
      </w:r>
      <w:r>
        <w:rPr>
          <w:rFonts w:hint="eastAsia" w:ascii="仿宋_GB2312" w:hAnsi="仿宋" w:eastAsia="仿宋_GB2312" w:cs="Times New Roman"/>
          <w:color w:val="333333"/>
          <w:sz w:val="32"/>
          <w:szCs w:val="32"/>
        </w:rPr>
        <w:t>专门合法性审查工作机构，结合本乡镇实际制定具体工作方案，进一步完善工作制度、明确责任分工、细化具体措施，召开专题会议进行安排部署，</w:t>
      </w:r>
      <w:r>
        <w:rPr>
          <w:rFonts w:hint="eastAsia" w:ascii="Times New Roman" w:hAnsi="Times New Roman" w:eastAsia="仿宋" w:cs="Times New Roman"/>
          <w:color w:val="333333"/>
          <w:sz w:val="32"/>
          <w:szCs w:val="32"/>
        </w:rPr>
        <w:t>2023</w:t>
      </w:r>
      <w:r>
        <w:rPr>
          <w:rFonts w:hint="eastAsia" w:ascii="仿宋_GB2312" w:hAnsi="仿宋" w:eastAsia="仿宋_GB2312" w:cs="Times New Roman"/>
          <w:color w:val="333333"/>
          <w:sz w:val="32"/>
          <w:szCs w:val="32"/>
        </w:rPr>
        <w:t>年</w:t>
      </w:r>
      <w:r>
        <w:rPr>
          <w:rFonts w:hint="eastAsia" w:ascii="Times New Roman" w:hAnsi="Times New Roman" w:eastAsia="仿宋" w:cs="Times New Roman"/>
          <w:color w:val="333333"/>
          <w:sz w:val="32"/>
          <w:szCs w:val="32"/>
        </w:rPr>
        <w:t>6</w:t>
      </w:r>
      <w:r>
        <w:rPr>
          <w:rFonts w:hint="eastAsia" w:ascii="仿宋_GB2312" w:hAnsi="仿宋" w:eastAsia="仿宋_GB2312" w:cs="Times New Roman"/>
          <w:color w:val="333333"/>
          <w:sz w:val="32"/>
          <w:szCs w:val="32"/>
        </w:rPr>
        <w:t>月</w:t>
      </w:r>
      <w:r>
        <w:rPr>
          <w:rFonts w:hint="eastAsia" w:ascii="Times New Roman" w:hAnsi="Times New Roman" w:eastAsia="仿宋" w:cs="Times New Roman"/>
          <w:color w:val="333333"/>
          <w:sz w:val="32"/>
          <w:szCs w:val="32"/>
        </w:rPr>
        <w:t>30</w:t>
      </w:r>
      <w:r>
        <w:rPr>
          <w:rFonts w:hint="eastAsia" w:ascii="仿宋_GB2312" w:hAnsi="仿宋" w:eastAsia="仿宋_GB2312" w:cs="Times New Roman"/>
          <w:color w:val="333333"/>
          <w:sz w:val="32"/>
          <w:szCs w:val="32"/>
        </w:rPr>
        <w:t>日前各乡镇将具体工作方案报县司法局。乡镇合法性审查机构每年第一季度向本级政府报送上年度合法性审查工作报告。</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（二）强化支持保障。</w:t>
      </w:r>
      <w:r>
        <w:rPr>
          <w:rFonts w:hint="eastAsia" w:ascii="仿宋_GB2312" w:hAnsi="仿宋" w:eastAsia="仿宋_GB2312" w:cs="Times New Roman"/>
          <w:color w:val="333333"/>
          <w:sz w:val="32"/>
          <w:szCs w:val="32"/>
        </w:rPr>
        <w:t>机构编制、财政等部门，要支持乡镇合法性审查工作，指导加强合法性审查人员力量配备，加大政府购买法律服务财政保障力度。司法行政部门要加强对乡镇合法性审查工作的督促检查和业务培训，指导建立健全合法性审查工作制度。乡镇要加强合法性审查工作保障，配强合法性审查力量，将合法性审查工作经费列入乡镇年度财政预算，配备必要的办公场所和设备。</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（三）落实工作责任。</w:t>
      </w:r>
      <w:r>
        <w:rPr>
          <w:rFonts w:hint="eastAsia" w:ascii="仿宋_GB2312" w:hAnsi="仿宋" w:eastAsia="仿宋_GB2312" w:cs="Times New Roman"/>
          <w:color w:val="333333"/>
          <w:sz w:val="32"/>
          <w:szCs w:val="32"/>
        </w:rPr>
        <w:t>要充分认识推行乡镇合法性审查工作的重要意义，构建严密的责任体系，强化责任传导，</w:t>
      </w:r>
      <w:r>
        <w:rPr>
          <w:rFonts w:hint="eastAsia" w:ascii="仿宋_GB2312" w:hAnsi="仿宋" w:eastAsia="仿宋_GB2312" w:cs="Times New Roman"/>
          <w:color w:val="333333"/>
          <w:sz w:val="32"/>
          <w:szCs w:val="32"/>
          <w:lang w:eastAsia="zh-CN"/>
        </w:rPr>
        <w:t>切</w:t>
      </w:r>
      <w:bookmarkStart w:id="0" w:name="_GoBack"/>
      <w:bookmarkEnd w:id="0"/>
      <w:r>
        <w:rPr>
          <w:rFonts w:hint="eastAsia" w:ascii="仿宋_GB2312" w:hAnsi="仿宋" w:eastAsia="仿宋_GB2312" w:cs="Times New Roman"/>
          <w:color w:val="333333"/>
          <w:sz w:val="32"/>
          <w:szCs w:val="32"/>
        </w:rPr>
        <w:t>实形成合法性审查工作合力。乡镇要建立健全合法性审查体制和机制，构建起确保实现全覆盖、应审必审、规范审查的长效机制。乡镇主要负责人为合法性审查工作第一责任人，要经常听取合法性审查工作情况的汇报，解决工作中存在的困难和问题，调度、督促好合法性审查工作；分管领导是合法性审查的具体责任人，对合法性审查及审查意见负责；其他班子成员和部门负责人对分管领域和部门合法性审查工作具体负责；参与合法性审查工作的人员是直接责任人，要对合法性审查工作直接负责。</w:t>
      </w:r>
    </w:p>
    <w:p>
      <w:pPr>
        <w:pStyle w:val="2"/>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hint="eastAsia" w:ascii="楷体_GB2312" w:hAnsi="楷体" w:eastAsia="楷体_GB2312" w:cs="Times New Roman"/>
          <w:color w:val="333333"/>
          <w:sz w:val="32"/>
          <w:szCs w:val="32"/>
        </w:rPr>
        <w:t>（四）强化工作考核。</w:t>
      </w:r>
      <w:r>
        <w:rPr>
          <w:rFonts w:hint="eastAsia" w:ascii="仿宋_GB2312" w:hAnsi="仿宋" w:eastAsia="仿宋_GB2312" w:cs="Times New Roman"/>
          <w:color w:val="333333"/>
          <w:sz w:val="32"/>
          <w:szCs w:val="32"/>
        </w:rPr>
        <w:t>合法性审查是法治政府建设的重要内容，列入全县法治政府建设考核指标体系、列入每年法治督察内容。各乡镇要扎实开展合法性审查工作，及时总结工作中的经验和做法，确保工作成效。县委依法治县办、县司法局要加大指导、督导、考核力度，对好的经验做法及时在全县推广。</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mM2E4NjIzNjQ5Njc4ODEyYjQ2NDAyM2JlNmUwZGIifQ=="/>
  </w:docVars>
  <w:rsids>
    <w:rsidRoot w:val="00C145E0"/>
    <w:rsid w:val="0018286C"/>
    <w:rsid w:val="002976CD"/>
    <w:rsid w:val="00951B22"/>
    <w:rsid w:val="00A46875"/>
    <w:rsid w:val="00AE453E"/>
    <w:rsid w:val="00C145E0"/>
    <w:rsid w:val="21046B5F"/>
    <w:rsid w:val="3D895CE3"/>
    <w:rsid w:val="53000AE5"/>
    <w:rsid w:val="7B01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240" w:lineRule="atLeas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2376</Words>
  <Characters>2403</Characters>
  <Lines>17</Lines>
  <Paragraphs>4</Paragraphs>
  <TotalTime>1</TotalTime>
  <ScaleCrop>false</ScaleCrop>
  <LinksUpToDate>false</LinksUpToDate>
  <CharactersWithSpaces>2406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2023-05-15T07:41:00Z</dcterms:created>
  <dc:creator>Administrator</dc:creator>
  <cp:lastModifiedBy>彩玲珑</cp:lastModifiedBy>
  <dcterms:modified xsi:type="dcterms:W3CDTF">2023-05-19T07:58:56Z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EDBF7C3E061E441D9D31C72E790AE5DE_12</vt:lpwstr>
  </property>
</Properties>
</file>