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Arial" w:eastAsia="方正小标宋简体" w:cs="Arial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凤台县科技局项目支出绩效评价报告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hAnsi="宋体" w:eastAsia="楷体_GB2312" w:cs="仿宋_GB2312"/>
          <w:b/>
          <w:bCs/>
          <w:sz w:val="32"/>
          <w:szCs w:val="32"/>
          <w:shd w:val="clear" w:color="auto" w:fill="FFFFFF"/>
        </w:rPr>
        <w:t>科技创新项目</w:t>
      </w:r>
    </w:p>
    <w:p>
      <w:pPr>
        <w:spacing w:line="60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项目概述及内容：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贯彻省、市关于创新驱动发展战略的政策措施，健全财政科技投入稳定增长机制，完善以企业为主体、政府引导、金融部门支持、社会各界参与的多层次的科技投入体系。引导全社会增加对科技的投入，支持企业持续开展研究与开发活动，加快产业转型发展，培育高新技术企业和创新型企业，推动科技成果转移转化，加强创新人才队伍建设，落实《凤台县支持科技创新若干政策》，足额兑现奖励资助。</w:t>
      </w:r>
    </w:p>
    <w:p>
      <w:pPr>
        <w:widowControl/>
        <w:shd w:val="clear" w:color="auto" w:fill="FFFFFF"/>
        <w:spacing w:line="600" w:lineRule="exact"/>
        <w:ind w:firstLine="585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立项依据：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《中华人民共和国科学技术进步法》《凤台县人民政府关于印发支持科技创新若干政策的通知》（凤政〔2018〕55号）有关规定。</w:t>
      </w:r>
    </w:p>
    <w:p>
      <w:pPr>
        <w:widowControl/>
        <w:shd w:val="clear" w:color="auto" w:fill="FFFFFF"/>
        <w:spacing w:line="600" w:lineRule="exact"/>
        <w:ind w:firstLine="64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实施主体：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凤台县科技局。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起止时间：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2021年1月至2021年12月。</w:t>
      </w:r>
    </w:p>
    <w:p>
      <w:pPr>
        <w:widowControl/>
        <w:shd w:val="clear" w:color="auto" w:fill="FFFFFF"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年度预算安排：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一般公共预算安排320.00万元。</w:t>
      </w:r>
    </w:p>
    <w:p>
      <w:pPr>
        <w:spacing w:line="600" w:lineRule="exact"/>
        <w:ind w:firstLine="643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项目绩效目标：</w:t>
      </w:r>
      <w:r>
        <w:rPr>
          <w:rFonts w:hint="eastAsia" w:ascii="仿宋_GB2312"/>
          <w:sz w:val="32"/>
          <w:szCs w:val="32"/>
        </w:rPr>
        <w:t>根据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《中华人民共和国科学技术进步法》《凤台县人民政府关于印发支持科技创新若干政策的通知》（凤政〔2018〕55号）</w:t>
      </w:r>
      <w:r>
        <w:rPr>
          <w:rFonts w:hint="eastAsia" w:ascii="仿宋_GB2312"/>
          <w:sz w:val="32"/>
          <w:szCs w:val="32"/>
        </w:rPr>
        <w:t>等法律、法规、文件的规定，监督、检查本县的科技创新工作，组织贯彻国家有关科学技术的方针、政策、法规，研究提出县级科技发展和科技促进经济、社会发展、科技体制改革、多渠道增加科技投入、基础研究、应用研究、高新技术研究及其产业化的方案和措施；强化高新技术产业化及其应用技术的开发与推广工作，聚力主体培育，注重平台搭建，强化项目支撑，加速成果转化，聚焦招才引智，负责科技政策兑现等工作，进一步提升工作能力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二、绩效评价工作开展情况</w:t>
      </w:r>
    </w:p>
    <w:p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加强预算绩效管理，强化支出责任，建立科学、合理的财政支出绩效评价管理体系，提高财政资金使用效益。范围为财政预算单位。</w:t>
      </w:r>
    </w:p>
    <w:p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（二）绩效评价原则、评价指标体系（附表说明）、评价方法、评价标准等。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579" w:firstLineChars="181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FFFFFF"/>
        </w:rPr>
        <w:t>绩效评价原则：科学公正。绩效评价应当运用科学合理的方法，按照规范的程序，对项目绩效进行客观、公正的反映。 统筹兼顾。单位自评应由项目单位自主实施，即“谁支出、谁自评”。部门评价和财政评价应在单位自评的基础上开展，必要时可委托第三方机构实施。激励约束。绩效评价结果应与预算安排、政策调整、改进管理实质性挂钩，体现奖优罚劣和激励相容导向，有效要安排、低效要压减、无效要问责。公开透明。绩效评价结果应依法依规公开，并自觉接受社会监督。  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绩效评价标准：绩效评价标准通常包括:计划标准，计划标准是指以预先制定的目标、计划、预算、定额等数据作为评价的标准。行业标准，行业标准是指参照国家公布的行业指标数据制定的评标准。历史标准，历史标准是指参照同类指标的历史数据制定的评价标准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绩效评价方法：绩效评价方法主要采用成本效益分析法、比较法、因素分析法、最低成本法、公众评判法等。</w:t>
      </w:r>
    </w:p>
    <w:p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（三）绩效评价工作过程。</w:t>
      </w:r>
    </w:p>
    <w:p>
      <w:pPr>
        <w:spacing w:line="600" w:lineRule="exact"/>
        <w:ind w:firstLine="630" w:firstLineChars="196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cs="仿宋_GB2312"/>
          <w:sz w:val="32"/>
          <w:szCs w:val="32"/>
        </w:rPr>
        <w:t>准备创段，成立项目评价领导小组，制定工作计划。</w:t>
      </w:r>
      <w:r>
        <w:rPr>
          <w:rFonts w:hint="eastAsia" w:ascii="仿宋_GB2312" w:hAnsi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cs="仿宋_GB2312"/>
          <w:sz w:val="32"/>
          <w:szCs w:val="32"/>
        </w:rPr>
        <w:t>评价工作执行阶段，按照评价方案收集相关数据，开展问卷调查和调研，开展资金使用情况调查。</w:t>
      </w:r>
      <w:r>
        <w:rPr>
          <w:rFonts w:hint="eastAsia" w:ascii="仿宋_GB2312" w:hAnsi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cs="仿宋_GB2312"/>
          <w:sz w:val="32"/>
          <w:szCs w:val="32"/>
        </w:rPr>
        <w:t>评价报告撰写，根据前期调研，查看资料撰写评价报告。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</w:p>
    <w:p>
      <w:pPr>
        <w:spacing w:line="600" w:lineRule="exact"/>
        <w:rPr>
          <w:rFonts w:ascii="黑体" w:hAnsi="黑体" w:eastAsia="黑体"/>
        </w:rPr>
        <w:sectPr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三、综合评价情况及评价结论</w:t>
      </w:r>
    </w:p>
    <w:p>
      <w:pPr>
        <w:spacing w:line="560" w:lineRule="exact"/>
        <w:rPr>
          <w:rFonts w:ascii="黑体" w:hAnsi="宋体" w:eastAsia="黑体" w:cs="黑体"/>
          <w:color w:val="000000"/>
          <w:sz w:val="32"/>
          <w:szCs w:val="32"/>
        </w:rPr>
      </w:pPr>
    </w:p>
    <w:tbl>
      <w:tblPr>
        <w:tblW w:w="11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94"/>
        <w:gridCol w:w="1027"/>
        <w:gridCol w:w="2185"/>
        <w:gridCol w:w="1369"/>
        <w:gridCol w:w="549"/>
        <w:gridCol w:w="853"/>
        <w:gridCol w:w="1059"/>
        <w:gridCol w:w="555"/>
        <w:gridCol w:w="688"/>
        <w:gridCol w:w="914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0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高企等政策兑现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凤台县科学技术局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凤台县科学技术局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目标1：完成县本级科技资金工作开展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目标2：落实对企业的支助政策，及时足额拨付，推动全县经济健康发展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目标1完成情况：全面完成政策兑现工作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目标2完成情况：推进创新型城市建设，激发企                             业创新动力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目标3完成情况：推动全县经济健康发展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圆满完成全县科技项目及政策兑现工作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330万元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330万元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确保完成全县科技项目及政策兑现工作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县科技局收到财政拨款后，按照年度计划完成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2021年12月31日前完成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2021年12月31日前完成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320万元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320万元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330万元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(30分)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通过科技项目及政策兑现工作，扩大群众影响，为凤台县经济发展提供保障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提高对科技项目及政策兑现工作认知度，为全面做好县级科技项目及政策兑现工作提供有力支持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促进全县科技发展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规范预算执行，严肃财经纪律，发挥资金效益，保障政策性兑现业务长期开展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1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群众满意度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700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注：1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.一级指标分值统一设置为：产出指标50分、效益指标30分、服务对象满意度指标10分、预算资金执行率10分。如有特殊情况，上述权重可做适当调整，但加总后应等于100分。各部门根据各项指标重要程度确定三级指标的分值。得分一档最高不能超过该指标分值上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2.定性指标根据指标完成情况分为：达成预期指标、部分达成预期指标并具有一定效果、未达成预期指标且效果较差三档，分别按照该指标对应分值区间100-80%(含80%)、80-60%(含60%)、60-0%合理确定分值。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 xml:space="preserve">    3.定量指标若为正向指标（即指标值为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≥*），则得分计算方法应用全年实际值/年度指标值</w:t>
            </w:r>
            <w:r>
              <w:rPr>
                <w:rStyle w:val="18"/>
                <w:bdr w:val="none" w:color="auto" w:sz="0" w:space="0"/>
                <w:lang w:val="en-US" w:eastAsia="zh-CN" w:bidi="ar"/>
              </w:rPr>
              <w:t>╳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该指标分值；若定量指标为反向指标（即指标值为≤*），则得分计算方法应用年度指标值/全年实际值</w:t>
            </w:r>
            <w:r>
              <w:rPr>
                <w:rStyle w:val="18"/>
                <w:bdr w:val="none" w:color="auto" w:sz="0" w:space="0"/>
                <w:lang w:val="en-US" w:eastAsia="zh-CN" w:bidi="ar"/>
              </w:rPr>
              <w:t>╳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该指标分值；定量指标得分最高不得超过该指标分值上限。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 xml:space="preserve">    4.评价得分说明：说明全年实际值与年度指标值偏离情况（未达、持平、超额）。</w:t>
            </w:r>
          </w:p>
        </w:tc>
      </w:tr>
    </w:tbl>
    <w:p>
      <w:pPr>
        <w:spacing w:line="600" w:lineRule="exact"/>
        <w:ind w:firstLine="600" w:firstLineChars="200"/>
        <w:rPr>
          <w:rFonts w:ascii="黑体" w:hAnsi="黑体" w:eastAsia="黑体"/>
        </w:rPr>
        <w:sectPr>
          <w:pgSz w:w="16838" w:h="11906" w:orient="landscape"/>
          <w:pgMar w:top="1531" w:right="1928" w:bottom="1531" w:left="1701" w:header="737" w:footer="850" w:gutter="0"/>
          <w:cols w:space="0" w:num="1"/>
          <w:docGrid w:type="lines" w:linePitch="421" w:charSpace="0"/>
        </w:sect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四、绩效评价指标分析</w:t>
      </w:r>
    </w:p>
    <w:p>
      <w:pPr>
        <w:spacing w:line="600" w:lineRule="exact"/>
        <w:ind w:firstLine="630" w:firstLineChars="196"/>
        <w:rPr>
          <w:rFonts w:hint="eastAsia" w:eastAsia="楷体" w:cs="楷体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（一）项目决策情况。</w:t>
      </w:r>
      <w:r>
        <w:rPr>
          <w:rFonts w:hint="eastAsia" w:eastAsia="楷体" w:cs="楷体"/>
          <w:b/>
          <w:bCs/>
          <w:sz w:val="32"/>
          <w:szCs w:val="32"/>
        </w:rPr>
        <w:t>一是</w:t>
      </w:r>
      <w:r>
        <w:rPr>
          <w:rFonts w:hint="eastAsia" w:cs="仿宋_GB2312"/>
          <w:color w:val="000000"/>
          <w:sz w:val="32"/>
          <w:szCs w:val="32"/>
        </w:rPr>
        <w:t>发挥企业创新主体作用，促进高新技术产业发展。围绕生物医药、高端装备制造、新能源等战略性新兴产业，狠抓高企培育，及早动员、反复摸排，制定高新技术企业培育方案，引进代理机构，采取“一企一策”方式重点培育。申报高新技术企业10家，通过认定9家，净增5家，超额完成市下达任务。申报省高新技术培育企业1家，认定市科技小巨人企业1家。1-12月高新技术产业增加值2.47亿元。</w:t>
      </w:r>
      <w:r>
        <w:rPr>
          <w:rFonts w:hint="eastAsia" w:eastAsia="楷体" w:cs="楷体"/>
          <w:b/>
          <w:sz w:val="32"/>
          <w:szCs w:val="32"/>
        </w:rPr>
        <w:t>二是</w:t>
      </w:r>
      <w:r>
        <w:rPr>
          <w:rFonts w:hint="eastAsia" w:cs="仿宋_GB2312"/>
          <w:color w:val="000000"/>
          <w:sz w:val="32"/>
          <w:szCs w:val="32"/>
        </w:rPr>
        <w:t>鼓励企业与高校院所合作，组建研发中心、院士工作站等创新平台。县农科所、国力液压和城北湖渔场3家省级工程技术研究中心顺利通过省绩效考核。良木农业、坤林生物2家国家星创天地通过科技部绩效评估。国力液压市级星创天地通过市级绩效考核。</w:t>
      </w:r>
      <w:r>
        <w:rPr>
          <w:rFonts w:hint="eastAsia" w:eastAsia="楷体" w:cs="楷体"/>
          <w:b/>
          <w:sz w:val="32"/>
          <w:szCs w:val="32"/>
        </w:rPr>
        <w:t>三是</w:t>
      </w:r>
      <w:r>
        <w:rPr>
          <w:rFonts w:hint="eastAsia" w:cs="仿宋_GB2312"/>
          <w:sz w:val="32"/>
          <w:szCs w:val="32"/>
        </w:rPr>
        <w:t>聚焦产业核心技术，</w:t>
      </w:r>
      <w:r>
        <w:rPr>
          <w:rFonts w:hint="eastAsia" w:cs="仿宋_GB2312"/>
          <w:color w:val="000000"/>
          <w:sz w:val="32"/>
          <w:szCs w:val="32"/>
        </w:rPr>
        <w:t>围绕我县支柱产业、优势产业、新兴产业，</w:t>
      </w:r>
      <w:r>
        <w:rPr>
          <w:rFonts w:hint="eastAsia" w:cs="仿宋_GB2312"/>
          <w:sz w:val="32"/>
          <w:szCs w:val="32"/>
        </w:rPr>
        <w:t>指导企业谋划一批产业前景好、带动能力强的优质项目，积极申报国家、省级重大专项和科技攻关项目。</w:t>
      </w:r>
      <w:r>
        <w:rPr>
          <w:rFonts w:hint="eastAsia" w:cs="仿宋_GB2312"/>
          <w:color w:val="000000"/>
          <w:sz w:val="32"/>
          <w:szCs w:val="32"/>
        </w:rPr>
        <w:t>配合上级部门抓好在研</w:t>
      </w:r>
      <w:r>
        <w:rPr>
          <w:rFonts w:hint="eastAsia" w:cs="仿宋_GB2312"/>
          <w:bCs/>
          <w:color w:val="000000"/>
          <w:sz w:val="32"/>
          <w:szCs w:val="32"/>
        </w:rPr>
        <w:t>省科技重大专项，省、市重点研究与开发项目监管</w:t>
      </w:r>
      <w:r>
        <w:rPr>
          <w:rFonts w:hint="eastAsia" w:cs="仿宋_GB2312"/>
          <w:color w:val="000000"/>
          <w:sz w:val="32"/>
          <w:szCs w:val="32"/>
        </w:rPr>
        <w:t>。申报省科技重大专项3个、省高层次人才团队项目1个。获</w:t>
      </w:r>
      <w:r>
        <w:rPr>
          <w:rFonts w:hint="eastAsia" w:cs="仿宋_GB2312"/>
          <w:bCs/>
          <w:color w:val="000000"/>
          <w:sz w:val="32"/>
          <w:szCs w:val="32"/>
        </w:rPr>
        <w:t>国家科技助力2020重点专项1项，获省科技重大专项1项、</w:t>
      </w:r>
      <w:r>
        <w:fldChar w:fldCharType="begin"/>
      </w:r>
      <w:r>
        <w:instrText xml:space="preserve"> HYPERLINK "http://www.ft.gov.cn/DocHtml/1/18/06/00072244.html" \t "_blank" \o "县农科所研发项目获省重点研究与开发计划立项" </w:instrText>
      </w:r>
      <w:r>
        <w:fldChar w:fldCharType="separate"/>
      </w:r>
      <w:r>
        <w:rPr>
          <w:rStyle w:val="8"/>
          <w:rFonts w:hint="eastAsia" w:ascii="仿宋_GB2312" w:cs="仿宋_GB2312"/>
          <w:color w:val="000000" w:themeColor="text1"/>
          <w:u w:val="none"/>
        </w:rPr>
        <w:t>省重点研究与开发计划立项</w:t>
      </w:r>
      <w:r>
        <w:rPr>
          <w:rStyle w:val="8"/>
          <w:rFonts w:hint="eastAsia" w:ascii="仿宋_GB2312" w:cs="仿宋_GB2312"/>
          <w:color w:val="000000" w:themeColor="text1"/>
          <w:u w:val="none"/>
        </w:rPr>
        <w:fldChar w:fldCharType="end"/>
      </w:r>
      <w:r>
        <w:rPr>
          <w:rFonts w:hint="eastAsia" w:cs="仿宋_GB2312"/>
          <w:bCs/>
          <w:color w:val="000000"/>
          <w:sz w:val="32"/>
          <w:szCs w:val="32"/>
        </w:rPr>
        <w:t>4项，</w:t>
      </w:r>
      <w:r>
        <w:rPr>
          <w:rFonts w:hint="eastAsia" w:cs="仿宋_GB2312"/>
          <w:color w:val="000000"/>
          <w:sz w:val="32"/>
          <w:szCs w:val="32"/>
        </w:rPr>
        <w:t>争取省财政资金200万元。</w:t>
      </w:r>
      <w:r>
        <w:rPr>
          <w:rFonts w:hint="eastAsia" w:eastAsia="楷体" w:cs="楷体"/>
          <w:b/>
          <w:sz w:val="32"/>
          <w:szCs w:val="32"/>
        </w:rPr>
        <w:t>四是</w:t>
      </w:r>
      <w:r>
        <w:rPr>
          <w:rFonts w:hint="eastAsia" w:cs="仿宋_GB2312"/>
          <w:color w:val="000000"/>
          <w:sz w:val="32"/>
          <w:szCs w:val="32"/>
        </w:rPr>
        <w:t>申报省高层次人才团队项目1个。申报市“50科技之星”创新团队2家。推进润航农业、年丰农业和国力液压3家创新团队建设。</w:t>
      </w:r>
    </w:p>
    <w:p>
      <w:pPr>
        <w:spacing w:line="600" w:lineRule="exact"/>
        <w:ind w:firstLine="643" w:firstLineChars="200"/>
        <w:outlineLvl w:val="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（二）项目过程情况。</w:t>
      </w:r>
      <w:r>
        <w:rPr>
          <w:rFonts w:hint="eastAsia" w:ascii="仿宋_GB2312"/>
          <w:sz w:val="32"/>
          <w:szCs w:val="32"/>
        </w:rPr>
        <w:t>贯彻落实《凤台县支持科技创新若干政策》（凤政〔2018〕55号），及时足额兑现高新技术企业奖励资金，年末全面完成年初制定目标任务。</w:t>
      </w:r>
    </w:p>
    <w:p>
      <w:pPr>
        <w:spacing w:line="600" w:lineRule="exact"/>
        <w:ind w:firstLine="643" w:firstLineChars="200"/>
        <w:outlineLvl w:val="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（三）项目产出情况。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创新型城市建设稳步推进，科技创新引领产业转型升级更加强劲，区域创新体系更加完善，创新创业生态环境更加优化，主要创新指标达到全市中等以上水平，科技支撑经济社会发展能力凸显。</w:t>
      </w:r>
    </w:p>
    <w:p>
      <w:pPr>
        <w:spacing w:line="600" w:lineRule="exact"/>
        <w:ind w:firstLine="643" w:firstLineChars="200"/>
        <w:outlineLvl w:val="0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（四）项目效益情况。</w:t>
      </w:r>
      <w:r>
        <w:rPr>
          <w:rFonts w:hint="eastAsia" w:ascii="仿宋_GB2312" w:hAnsi="仿宋_GB2312" w:cs="仿宋_GB2312"/>
          <w:sz w:val="32"/>
          <w:szCs w:val="32"/>
        </w:rPr>
        <w:t>通过项目开展，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推进创新科技建设，激发企业创新动力，推动全县经济健康发展。</w:t>
      </w:r>
    </w:p>
    <w:p>
      <w:pPr>
        <w:spacing w:line="600" w:lineRule="exact"/>
        <w:ind w:firstLine="600" w:firstLineChars="200"/>
        <w:outlineLv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五、主要经验及做法、存在的问题及原因分析</w:t>
      </w:r>
    </w:p>
    <w:p>
      <w:pPr>
        <w:pStyle w:val="12"/>
        <w:shd w:val="clear" w:color="auto" w:fill="FFFFFF"/>
        <w:spacing w:before="0" w:beforeAutospacing="0" w:after="0" w:afterAutospacing="0" w:line="600" w:lineRule="exact"/>
        <w:ind w:firstLine="634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预算绩效管理工作有待进一步推进，管理内容不全面。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政策制订科学性有待进一步提高，少数政策存在重叠现象。执行过程中发现部门之间有少数政策存在趋同现象，建议下一步认真梳理整合，提高政策制订的科学性。</w:t>
      </w: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三是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部分创新成效还有待进一步提高。科技创新对经济增长的贡献率尚未实现全面引领，科技与经济发展的对接和促进作用仍有待加强，创新成果、创新项目转化较慢，有效的成果转化和激励机制不够完善，科技成果转化的人才仍然缺乏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六、有关建议</w:t>
      </w:r>
    </w:p>
    <w:p>
      <w:pPr>
        <w:pStyle w:val="12"/>
        <w:spacing w:before="0" w:beforeAutospacing="0" w:after="0" w:afterAutospacing="0" w:line="600" w:lineRule="exact"/>
        <w:ind w:firstLine="634"/>
        <w:jc w:val="both"/>
        <w:rPr>
          <w:rFonts w:ascii="仿宋_GB2312" w:hAnsi="Calibri" w:eastAsia="仿宋_GB2312" w:cs="Calibri"/>
          <w:color w:val="111111"/>
          <w:sz w:val="32"/>
          <w:szCs w:val="32"/>
        </w:rPr>
      </w:pP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一是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加强预算绩效管理，提高预算执行率</w:t>
      </w:r>
      <w:r>
        <w:rPr>
          <w:rFonts w:hint="eastAsia" w:ascii="仿宋_GB2312" w:hAnsi="Calibri" w:eastAsia="仿宋_GB2312" w:cs="Calibri"/>
          <w:color w:val="111111"/>
          <w:sz w:val="32"/>
          <w:szCs w:val="32"/>
        </w:rPr>
        <w:t>。</w:t>
      </w: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进一步增强部门预算和专项资金预算的精准性和细化程度，强化预算执行刚性。引入事前绩效评估机制，对重大政策和项目实行开展事前绩效评估，争取以最优政策组合激励产业发展。</w:t>
      </w:r>
      <w:r>
        <w:rPr>
          <w:rFonts w:hint="eastAsia" w:ascii="仿宋_GB2312" w:eastAsia="仿宋_GB2312" w:cs="Calibri"/>
          <w:b/>
          <w:color w:val="000000"/>
          <w:sz w:val="32"/>
          <w:szCs w:val="32"/>
        </w:rPr>
        <w:t>二是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加快科技成果转化，提升科技服务效能。重点打造一批高精尖科研成果转化型企业，将最先进技术和科研成果应用于经济领域。坚持市场与计划两手抓，逐步建立健全科技服务运行机制，加快培养科技服务型企业和人才，不断提升科技服务水平。</w:t>
      </w:r>
      <w:r>
        <w:rPr>
          <w:rStyle w:val="7"/>
          <w:rFonts w:hint="eastAsia" w:ascii="仿宋_GB2312" w:eastAsia="仿宋_GB2312" w:cs="Calibri"/>
          <w:color w:val="000000"/>
          <w:sz w:val="32"/>
          <w:szCs w:val="32"/>
        </w:rPr>
        <w:t>三是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按“宽进严出” 原则，进一步完善培育机制，推进新型研发机构提质增效。</w:t>
      </w:r>
      <w:r>
        <w:rPr>
          <w:rStyle w:val="7"/>
          <w:rFonts w:hint="eastAsia" w:ascii="仿宋_GB2312" w:eastAsia="仿宋_GB2312" w:cs="Calibri"/>
          <w:color w:val="000000"/>
          <w:sz w:val="32"/>
          <w:szCs w:val="32"/>
        </w:rPr>
        <w:t>四是</w:t>
      </w:r>
      <w:r>
        <w:rPr>
          <w:rFonts w:hint="eastAsia" w:ascii="仿宋_GB2312" w:eastAsia="仿宋_GB2312" w:cs="Calibri"/>
          <w:color w:val="000000"/>
          <w:sz w:val="32"/>
          <w:szCs w:val="32"/>
        </w:rPr>
        <w:t>拓宽融资渠道，搭建平台，加强引导宣传，通过进一步强化银企对接、校企融合等形式，引导多渠道资金投入创新型城市建设。</w:t>
      </w:r>
    </w:p>
    <w:p>
      <w:pPr>
        <w:spacing w:line="60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七、其他需要说明的问题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无</w:t>
      </w: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spacing w:line="600" w:lineRule="exact"/>
        <w:ind w:right="960" w:firstLine="640" w:firstLineChars="20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凤台县科技局</w:t>
      </w:r>
    </w:p>
    <w:p>
      <w:pPr>
        <w:spacing w:line="600" w:lineRule="exact"/>
        <w:ind w:right="480" w:firstLine="640" w:firstLineChars="20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2022年8月22日</w:t>
      </w:r>
    </w:p>
    <w:sectPr>
      <w:pgSz w:w="11906" w:h="16838"/>
      <w:pgMar w:top="1928" w:right="1531" w:bottom="1701" w:left="1531" w:header="737" w:footer="850" w:gutter="0"/>
      <w:cols w:space="0" w:num="1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FjN2JlMzQ1MTA5ZGZlOTg4MGI0N2RmZjkzNDgxZDUifQ=="/>
  </w:docVars>
  <w:rsids>
    <w:rsidRoot w:val="55AE45D4"/>
    <w:rsid w:val="00181AD1"/>
    <w:rsid w:val="0022296E"/>
    <w:rsid w:val="006E2943"/>
    <w:rsid w:val="00AA7EDB"/>
    <w:rsid w:val="00D645CD"/>
    <w:rsid w:val="00E24B2F"/>
    <w:rsid w:val="04F86CFD"/>
    <w:rsid w:val="070C20BE"/>
    <w:rsid w:val="235B3821"/>
    <w:rsid w:val="237E3EE8"/>
    <w:rsid w:val="252E4469"/>
    <w:rsid w:val="2A196F08"/>
    <w:rsid w:val="2A8F6FFB"/>
    <w:rsid w:val="30C15385"/>
    <w:rsid w:val="36877830"/>
    <w:rsid w:val="45042999"/>
    <w:rsid w:val="48D26B99"/>
    <w:rsid w:val="4B3E5819"/>
    <w:rsid w:val="4D5179FF"/>
    <w:rsid w:val="55AE45D4"/>
    <w:rsid w:val="5F3F297A"/>
    <w:rsid w:val="69136792"/>
    <w:rsid w:val="69AD4343"/>
    <w:rsid w:val="6E992E87"/>
    <w:rsid w:val="7F1B4A79"/>
    <w:rsid w:val="7F7E4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font9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2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22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131"/>
    <w:basedOn w:val="6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3877</Words>
  <Characters>4014</Characters>
  <Lines>33</Lines>
  <Paragraphs>9</Paragraphs>
  <TotalTime>1</TotalTime>
  <ScaleCrop>false</ScaleCrop>
  <LinksUpToDate>false</LinksUpToDate>
  <CharactersWithSpaces>4044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2021-12-24T08:18:00Z</dcterms:created>
  <dc:creator>胡继猛</dc:creator>
  <cp:lastModifiedBy>心动无痕</cp:lastModifiedBy>
  <dcterms:modified xsi:type="dcterms:W3CDTF">2023-09-06T09:04:30Z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0DF22E6707F4449F93F36103C85D3159</vt:lpwstr>
  </property>
</Properties>
</file>