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宋体" w:cs="Arial"/>
          <w:b/>
          <w:bCs/>
          <w:sz w:val="36"/>
          <w:szCs w:val="36"/>
        </w:rPr>
      </w:pPr>
      <w:r>
        <w:rPr>
          <w:rFonts w:hint="eastAsia" w:ascii="宋体" w:hAnsi="宋体" w:eastAsia="宋体" w:cs="Arial"/>
          <w:b/>
          <w:bCs/>
          <w:sz w:val="36"/>
          <w:szCs w:val="36"/>
        </w:rPr>
        <w:t>凤台县招商服务中心项目支出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00" w:firstLineChars="200"/>
        <w:outlineLvl w:val="0"/>
        <w:rPr>
          <w:rFonts w:ascii="仿宋_GB2312" w:hAnsi="宋体" w:cs="仿宋_GB2312"/>
          <w:b/>
          <w:bCs/>
          <w:color w:val="333333"/>
          <w:sz w:val="32"/>
          <w:szCs w:val="32"/>
          <w:shd w:val="clear" w:color="auto" w:fill="FFFFFF"/>
        </w:rPr>
      </w:pPr>
      <w:r>
        <w:rPr>
          <w:rFonts w:hint="eastAsia" w:ascii="仿宋_GB2312"/>
        </w:rPr>
        <w:t>（一）</w:t>
      </w:r>
      <w:r>
        <w:rPr>
          <w:rFonts w:ascii="仿宋_GB2312" w:hAnsi="宋体" w:cs="仿宋_GB2312"/>
          <w:b/>
          <w:bCs/>
          <w:color w:val="333333"/>
          <w:sz w:val="32"/>
          <w:szCs w:val="32"/>
          <w:shd w:val="clear" w:color="auto" w:fill="FFFFFF"/>
        </w:rPr>
        <w:t>“</w:t>
      </w:r>
      <w:r>
        <w:rPr>
          <w:rFonts w:hint="eastAsia" w:ascii="仿宋_GB2312" w:hAnsi="宋体" w:cs="仿宋_GB2312"/>
          <w:b/>
          <w:bCs/>
          <w:color w:val="333333"/>
          <w:sz w:val="32"/>
          <w:szCs w:val="32"/>
          <w:shd w:val="clear" w:color="auto" w:fill="FFFFFF"/>
          <w:lang w:val="en-US" w:eastAsia="zh-CN"/>
        </w:rPr>
        <w:t>驻外招商组</w:t>
      </w:r>
      <w:r>
        <w:rPr>
          <w:rFonts w:hint="eastAsia" w:ascii="仿宋_GB2312" w:hAnsi="宋体" w:cs="仿宋_GB2312"/>
          <w:b/>
          <w:bCs/>
          <w:color w:val="333333"/>
          <w:sz w:val="32"/>
          <w:szCs w:val="32"/>
          <w:shd w:val="clear" w:color="auto" w:fill="FFFFFF"/>
        </w:rPr>
        <w:t>工作经费”项目。</w:t>
      </w:r>
    </w:p>
    <w:p>
      <w:pPr>
        <w:spacing w:line="360" w:lineRule="auto"/>
        <w:ind w:firstLine="640" w:firstLineChars="200"/>
        <w:outlineLvl w:val="0"/>
        <w:rPr>
          <w:rFonts w:ascii="仿宋" w:hAnsi="仿宋" w:eastAsia="仿宋" w:cs="仿宋"/>
          <w:b/>
          <w:bCs/>
          <w:color w:val="333333"/>
          <w:sz w:val="32"/>
          <w:szCs w:val="32"/>
          <w:shd w:val="clear" w:color="auto" w:fill="FFFFFF"/>
        </w:rPr>
      </w:pPr>
      <w:r>
        <w:rPr>
          <w:rFonts w:hint="eastAsia" w:ascii="仿宋" w:hAnsi="仿宋" w:eastAsia="仿宋" w:cs="仿宋"/>
          <w:color w:val="333333"/>
          <w:sz w:val="32"/>
          <w:szCs w:val="32"/>
          <w:shd w:val="clear" w:color="auto" w:fill="FFFFFF"/>
        </w:rPr>
        <w:t>项目概述及内容：用于驻点工作组日常开展招商引资工作，完成年度工作计划，通过项目实施，进一步优化招商队伍，锻炼培养干部，宣传推介凤台，围绕我县重点产业招大引强，实施精准招商，推动一批优质项目落户。</w:t>
      </w:r>
    </w:p>
    <w:p>
      <w:pPr>
        <w:widowControl/>
        <w:shd w:val="clear" w:color="auto" w:fill="FFFFFF"/>
        <w:spacing w:line="360" w:lineRule="auto"/>
        <w:ind w:firstLine="64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立项依据。《中共凤台县委办公室  凤台县人民政府办公室关于组建县招商团的通知》（凤办秘〔2021〕15号）、《关于组建长三角驻点招商组的通知》（凤组字〔2021〕11号）</w:t>
      </w:r>
    </w:p>
    <w:p>
      <w:pPr>
        <w:widowControl/>
        <w:shd w:val="clear" w:color="auto" w:fill="FFFFFF"/>
        <w:spacing w:line="360" w:lineRule="auto"/>
        <w:ind w:firstLine="640"/>
        <w:rPr>
          <w:rFonts w:ascii="宋体" w:hAnsi="宋体" w:eastAsia="宋体" w:cs="宋体"/>
          <w:color w:val="333333"/>
          <w:sz w:val="24"/>
        </w:rPr>
      </w:pPr>
      <w:r>
        <w:rPr>
          <w:rFonts w:hint="eastAsia" w:ascii="仿宋" w:hAnsi="仿宋" w:eastAsia="仿宋" w:cs="仿宋"/>
          <w:color w:val="333333"/>
          <w:kern w:val="0"/>
          <w:sz w:val="32"/>
          <w:szCs w:val="32"/>
          <w:shd w:val="clear" w:color="auto" w:fill="FFFFFF"/>
        </w:rPr>
        <w:t>实施主体：凤台县招商服务中心</w:t>
      </w:r>
    </w:p>
    <w:p>
      <w:pPr>
        <w:widowControl/>
        <w:shd w:val="clear" w:color="auto" w:fill="FFFFFF"/>
        <w:spacing w:line="360" w:lineRule="auto"/>
        <w:ind w:firstLine="640" w:firstLineChars="200"/>
        <w:rPr>
          <w:rFonts w:ascii="宋体" w:hAnsi="宋体" w:eastAsia="宋体" w:cs="宋体"/>
          <w:color w:val="333333"/>
          <w:sz w:val="24"/>
        </w:rPr>
      </w:pPr>
      <w:r>
        <w:rPr>
          <w:rFonts w:hint="eastAsia" w:ascii="仿宋" w:hAnsi="仿宋" w:eastAsia="仿宋" w:cs="仿宋"/>
          <w:color w:val="333333"/>
          <w:kern w:val="0"/>
          <w:sz w:val="32"/>
          <w:szCs w:val="32"/>
          <w:shd w:val="clear" w:color="auto" w:fill="FFFFFF"/>
        </w:rPr>
        <w:t>起止时间。202</w:t>
      </w:r>
      <w:r>
        <w:rPr>
          <w:rFonts w:hint="eastAsia" w:ascii="仿宋" w:hAnsi="仿宋" w:eastAsia="仿宋" w:cs="仿宋"/>
          <w:color w:val="333333"/>
          <w:kern w:val="0"/>
          <w:sz w:val="32"/>
          <w:szCs w:val="32"/>
          <w:shd w:val="clear" w:color="auto" w:fill="FFFFFF"/>
          <w:lang w:val="en-US" w:eastAsia="zh-CN"/>
        </w:rPr>
        <w:t>2</w:t>
      </w:r>
      <w:r>
        <w:rPr>
          <w:rFonts w:hint="eastAsia" w:ascii="仿宋" w:hAnsi="仿宋" w:eastAsia="仿宋" w:cs="仿宋"/>
          <w:color w:val="333333"/>
          <w:kern w:val="0"/>
          <w:sz w:val="32"/>
          <w:szCs w:val="32"/>
          <w:shd w:val="clear" w:color="auto" w:fill="FFFFFF"/>
        </w:rPr>
        <w:t>年1月至202</w:t>
      </w:r>
      <w:r>
        <w:rPr>
          <w:rFonts w:hint="eastAsia" w:ascii="仿宋" w:hAnsi="仿宋" w:eastAsia="仿宋" w:cs="仿宋"/>
          <w:color w:val="333333"/>
          <w:kern w:val="0"/>
          <w:sz w:val="32"/>
          <w:szCs w:val="32"/>
          <w:shd w:val="clear" w:color="auto" w:fill="FFFFFF"/>
          <w:lang w:val="en-US" w:eastAsia="zh-CN"/>
        </w:rPr>
        <w:t>2</w:t>
      </w:r>
      <w:r>
        <w:rPr>
          <w:rFonts w:hint="eastAsia" w:ascii="仿宋" w:hAnsi="仿宋" w:eastAsia="仿宋" w:cs="仿宋"/>
          <w:color w:val="333333"/>
          <w:kern w:val="0"/>
          <w:sz w:val="32"/>
          <w:szCs w:val="32"/>
          <w:shd w:val="clear" w:color="auto" w:fill="FFFFFF"/>
        </w:rPr>
        <w:t>年12月。</w:t>
      </w:r>
    </w:p>
    <w:p>
      <w:pPr>
        <w:widowControl/>
        <w:shd w:val="clear" w:color="auto" w:fill="FFFFFF"/>
        <w:spacing w:line="360" w:lineRule="auto"/>
        <w:ind w:firstLine="640"/>
        <w:rPr>
          <w:rFonts w:ascii="仿宋_GB2312"/>
        </w:rPr>
      </w:pPr>
      <w:r>
        <w:rPr>
          <w:rFonts w:hint="eastAsia" w:ascii="仿宋" w:hAnsi="仿宋" w:eastAsia="仿宋" w:cs="仿宋"/>
          <w:color w:val="333333"/>
          <w:kern w:val="0"/>
          <w:sz w:val="32"/>
          <w:szCs w:val="32"/>
          <w:shd w:val="clear" w:color="auto" w:fill="FFFFFF"/>
        </w:rPr>
        <w:t>年度预算安排。一般公共预算安排160万元。</w:t>
      </w:r>
    </w:p>
    <w:p>
      <w:pPr>
        <w:spacing w:line="360" w:lineRule="auto"/>
        <w:ind w:firstLine="640" w:firstLineChars="200"/>
        <w:rPr>
          <w:rFonts w:ascii="仿宋_GB2312"/>
          <w:sz w:val="32"/>
          <w:szCs w:val="32"/>
        </w:rPr>
      </w:pPr>
      <w:r>
        <w:rPr>
          <w:rFonts w:hint="eastAsia" w:ascii="仿宋_GB2312"/>
          <w:sz w:val="32"/>
          <w:szCs w:val="32"/>
        </w:rPr>
        <w:t>项目绩效目标：宣传推介凤台投资环境，扩大我县知名度和影响力，促进我县经济发展、提升城市竞争力。</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（一）绩效评价目的、对象和范围。</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加强预算绩效管理，强化支出责任，建立科学、合理的财政支出绩效评价管理体系，提高财政资金使用效益。范围为财政预算单位。</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（二）绩效评价原则、评价指标体系（附表说明）、评价方法、评价标准等。</w:t>
      </w:r>
    </w:p>
    <w:p>
      <w:pPr>
        <w:pStyle w:val="3"/>
        <w:widowControl/>
        <w:shd w:val="clear" w:color="auto" w:fill="FFFFFF"/>
        <w:spacing w:beforeAutospacing="0" w:afterAutospacing="0" w:line="360" w:lineRule="auto"/>
        <w:ind w:firstLine="420"/>
        <w:rPr>
          <w:rFonts w:ascii="仿宋_GB2312" w:hAnsi="仿宋_GB2312" w:cs="仿宋_GB2312"/>
          <w:color w:val="333333"/>
          <w:sz w:val="32"/>
          <w:szCs w:val="32"/>
        </w:rPr>
      </w:pPr>
      <w:r>
        <w:rPr>
          <w:rFonts w:hint="eastAsia" w:ascii="仿宋_GB2312" w:hAnsi="仿宋_GB2312" w:cs="仿宋_GB2312"/>
          <w:color w:val="333333"/>
          <w:sz w:val="32"/>
          <w:szCs w:val="32"/>
          <w:shd w:val="clear" w:color="auto" w:fill="FFFFFF"/>
        </w:rPr>
        <w:t>绩效评价原则：科学公正。绩效评价应当运用科学合理的方法，按照规范的程序，对项目绩效进行客观、公正的反映。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  公开透明。绩效评价结果应依法依规公开，并自觉接受社会监督。  </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绩效评价方法：绩效评价方法主要采用成本效益分析法、比较法、因素分析法、最低成本法、公众评判法等。</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（三）绩效评价工作过程。</w:t>
      </w:r>
    </w:p>
    <w:p>
      <w:pPr>
        <w:spacing w:line="360" w:lineRule="auto"/>
        <w:ind w:firstLine="640" w:firstLineChars="200"/>
        <w:rPr>
          <w:rFonts w:ascii="仿宋_GB2312" w:hAnsi="仿宋_GB2312" w:cs="仿宋_GB2312"/>
          <w:sz w:val="32"/>
          <w:szCs w:val="32"/>
        </w:rPr>
      </w:pPr>
      <w:r>
        <w:rPr>
          <w:rFonts w:hint="eastAsia" w:ascii="仿宋_GB2312" w:hAnsi="仿宋_GB2312" w:cs="仿宋_GB2312"/>
          <w:sz w:val="32"/>
          <w:szCs w:val="32"/>
        </w:rPr>
        <w:t>一是准备创段，成立项目评价领导小组，制定工作计划。二是评价工作执行阶段， 按照评价方案收集相关数据，开展问卷调查和调研，开展资金使用情况调查。三是评价报告撰写，根据前期调研，查看资料撰写评价报告。</w:t>
      </w:r>
    </w:p>
    <w:p>
      <w:pPr>
        <w:spacing w:line="600" w:lineRule="exact"/>
        <w:ind w:firstLine="600" w:firstLineChars="200"/>
        <w:rPr>
          <w:rFonts w:ascii="黑体" w:hAnsi="黑体" w:eastAsia="黑体"/>
        </w:rPr>
      </w:pPr>
    </w:p>
    <w:p>
      <w:pPr>
        <w:spacing w:line="600" w:lineRule="exact"/>
        <w:ind w:firstLine="600" w:firstLineChars="200"/>
        <w:rPr>
          <w:rFonts w:ascii="黑体" w:hAnsi="黑体" w:eastAsia="黑体"/>
        </w:rPr>
      </w:pPr>
    </w:p>
    <w:p>
      <w:pPr>
        <w:spacing w:line="600" w:lineRule="exact"/>
        <w:ind w:firstLine="600" w:firstLineChars="200"/>
        <w:rPr>
          <w:rFonts w:ascii="黑体" w:hAnsi="黑体" w:eastAsia="黑体"/>
        </w:rPr>
        <w:sectPr>
          <w:pgSz w:w="11906" w:h="16838"/>
          <w:pgMar w:top="1928" w:right="1531" w:bottom="1701" w:left="1531" w:header="737" w:footer="851" w:gutter="0"/>
          <w:cols w:space="720" w:num="1"/>
          <w:docGrid w:type="lines" w:linePitch="408" w:charSpace="0"/>
        </w:sectPr>
      </w:pPr>
    </w:p>
    <w:p>
      <w:pPr>
        <w:spacing w:line="600" w:lineRule="exact"/>
        <w:rPr>
          <w:rFonts w:ascii="黑体" w:hAnsi="黑体" w:eastAsia="黑体"/>
        </w:rPr>
      </w:pPr>
      <w:r>
        <w:rPr>
          <w:rFonts w:hint="eastAsia" w:ascii="黑体" w:hAnsi="黑体" w:eastAsia="黑体"/>
        </w:rPr>
        <w:t>三、综合评价情况及评价结论</w:t>
      </w:r>
    </w:p>
    <w:tbl>
      <w:tblPr>
        <w:tblStyle w:val="4"/>
        <w:tblW w:w="5000" w:type="pct"/>
        <w:tblInd w:w="0" w:type="dxa"/>
        <w:tblLayout w:type="autofit"/>
        <w:tblCellMar>
          <w:top w:w="0" w:type="dxa"/>
          <w:left w:w="0" w:type="dxa"/>
          <w:bottom w:w="0" w:type="dxa"/>
          <w:right w:w="0" w:type="dxa"/>
        </w:tblCellMar>
      </w:tblPr>
      <w:tblGrid>
        <w:gridCol w:w="1187"/>
        <w:gridCol w:w="1188"/>
        <w:gridCol w:w="1217"/>
        <w:gridCol w:w="1199"/>
        <w:gridCol w:w="1204"/>
        <w:gridCol w:w="1202"/>
        <w:gridCol w:w="1199"/>
        <w:gridCol w:w="1202"/>
        <w:gridCol w:w="1202"/>
        <w:gridCol w:w="1202"/>
        <w:gridCol w:w="1231"/>
      </w:tblGrid>
      <w:tr>
        <w:tblPrEx>
          <w:tblCellMar>
            <w:top w:w="0" w:type="dxa"/>
            <w:left w:w="0" w:type="dxa"/>
            <w:bottom w:w="0" w:type="dxa"/>
            <w:right w:w="0" w:type="dxa"/>
          </w:tblCellMar>
        </w:tblPrEx>
        <w:trPr>
          <w:trHeight w:val="408" w:hRule="atLeast"/>
        </w:trPr>
        <w:tc>
          <w:tcPr>
            <w:tcW w:w="5000" w:type="pct"/>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b/>
                <w:color w:val="000000"/>
                <w:kern w:val="0"/>
                <w:sz w:val="32"/>
                <w:szCs w:val="32"/>
              </w:rPr>
              <w:t>项目支出绩效自评表</w:t>
            </w:r>
            <w:r>
              <w:rPr>
                <w:rStyle w:val="12"/>
                <w:rFonts w:hint="default"/>
              </w:rPr>
              <w:t xml:space="preserve"> </w:t>
            </w:r>
          </w:p>
        </w:tc>
      </w:tr>
      <w:tr>
        <w:tblPrEx>
          <w:tblCellMar>
            <w:top w:w="0" w:type="dxa"/>
            <w:left w:w="0" w:type="dxa"/>
            <w:bottom w:w="0" w:type="dxa"/>
            <w:right w:w="0" w:type="dxa"/>
          </w:tblCellMar>
        </w:tblPrEx>
        <w:trPr>
          <w:trHeight w:val="288" w:hRule="atLeast"/>
        </w:trPr>
        <w:tc>
          <w:tcPr>
            <w:tcW w:w="5000" w:type="pct"/>
            <w:gridSpan w:val="11"/>
            <w:tcBorders>
              <w:top w:val="nil"/>
              <w:left w:val="nil"/>
              <w:bottom w:val="single" w:color="000000" w:sz="4" w:space="0"/>
              <w:right w:val="nil"/>
            </w:tcBorders>
            <w:shd w:val="clear" w:color="auto" w:fill="auto"/>
            <w:tcMar>
              <w:top w:w="12" w:type="dxa"/>
              <w:left w:w="12" w:type="dxa"/>
              <w:right w:w="12" w:type="dxa"/>
            </w:tcMar>
          </w:tcPr>
          <w:p>
            <w:pPr>
              <w:widowControl/>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rPr>
              <w:t>（202</w:t>
            </w:r>
            <w:r>
              <w:rPr>
                <w:rFonts w:hint="eastAsia" w:ascii="宋体" w:hAnsi="宋体" w:eastAsia="宋体" w:cs="宋体"/>
                <w:color w:val="000000"/>
                <w:kern w:val="0"/>
                <w:sz w:val="22"/>
                <w:szCs w:val="22"/>
                <w:lang w:val="en-US" w:eastAsia="zh-CN"/>
              </w:rPr>
              <w:t>2</w:t>
            </w:r>
            <w:r>
              <w:rPr>
                <w:rFonts w:hint="eastAsia" w:ascii="宋体" w:hAnsi="宋体" w:eastAsia="宋体" w:cs="宋体"/>
                <w:color w:val="000000"/>
                <w:kern w:val="0"/>
                <w:sz w:val="22"/>
                <w:szCs w:val="22"/>
              </w:rPr>
              <w:t>年度）</w:t>
            </w:r>
          </w:p>
        </w:tc>
      </w:tr>
      <w:tr>
        <w:tblPrEx>
          <w:tblCellMar>
            <w:top w:w="0" w:type="dxa"/>
            <w:left w:w="0" w:type="dxa"/>
            <w:bottom w:w="0" w:type="dxa"/>
            <w:right w:w="0" w:type="dxa"/>
          </w:tblCellMar>
        </w:tblPrEx>
        <w:trPr>
          <w:trHeight w:val="288" w:hRule="atLeast"/>
        </w:trPr>
        <w:tc>
          <w:tcPr>
            <w:tcW w:w="1358"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项目名称</w:t>
            </w:r>
          </w:p>
        </w:tc>
        <w:tc>
          <w:tcPr>
            <w:tcW w:w="3641" w:type="pct"/>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驻外招商组</w:t>
            </w:r>
            <w:r>
              <w:rPr>
                <w:rFonts w:hint="eastAsia" w:ascii="宋体" w:hAnsi="宋体" w:eastAsia="宋体" w:cs="宋体"/>
                <w:color w:val="000000"/>
                <w:kern w:val="0"/>
                <w:sz w:val="20"/>
                <w:szCs w:val="20"/>
              </w:rPr>
              <w:t>工作经费</w:t>
            </w:r>
          </w:p>
        </w:tc>
      </w:tr>
      <w:tr>
        <w:tblPrEx>
          <w:tblCellMar>
            <w:top w:w="0" w:type="dxa"/>
            <w:left w:w="0" w:type="dxa"/>
            <w:bottom w:w="0" w:type="dxa"/>
            <w:right w:w="0" w:type="dxa"/>
          </w:tblCellMar>
        </w:tblPrEx>
        <w:trPr>
          <w:trHeight w:val="288" w:hRule="atLeast"/>
        </w:trPr>
        <w:tc>
          <w:tcPr>
            <w:tcW w:w="1358"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主管部门</w:t>
            </w:r>
          </w:p>
        </w:tc>
        <w:tc>
          <w:tcPr>
            <w:tcW w:w="1362"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凤台县招商服务中心</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实施单位</w:t>
            </w:r>
          </w:p>
        </w:tc>
        <w:tc>
          <w:tcPr>
            <w:tcW w:w="1826"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凤台县招商服务中心</w:t>
            </w:r>
          </w:p>
        </w:tc>
      </w:tr>
      <w:tr>
        <w:tblPrEx>
          <w:tblCellMar>
            <w:top w:w="0" w:type="dxa"/>
            <w:left w:w="0" w:type="dxa"/>
            <w:bottom w:w="0" w:type="dxa"/>
            <w:right w:w="0" w:type="dxa"/>
          </w:tblCellMar>
        </w:tblPrEx>
        <w:trPr>
          <w:trHeight w:val="480" w:hRule="atLeast"/>
        </w:trPr>
        <w:tc>
          <w:tcPr>
            <w:tcW w:w="135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资金情况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0"/>
                <w:szCs w:val="20"/>
              </w:rPr>
            </w:pP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全年预算数（A）</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全年执行数（B）</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分值</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执行率（B/A)</w:t>
            </w:r>
          </w:p>
        </w:tc>
        <w:tc>
          <w:tcPr>
            <w:tcW w:w="46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得分</w:t>
            </w:r>
          </w:p>
        </w:tc>
      </w:tr>
      <w:tr>
        <w:tblPrEx>
          <w:tblCellMar>
            <w:top w:w="0" w:type="dxa"/>
            <w:left w:w="0" w:type="dxa"/>
            <w:bottom w:w="0" w:type="dxa"/>
            <w:right w:w="0" w:type="dxa"/>
          </w:tblCellMar>
        </w:tblPrEx>
        <w:trPr>
          <w:trHeight w:val="480" w:hRule="atLeast"/>
        </w:trPr>
        <w:tc>
          <w:tcPr>
            <w:tcW w:w="13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年度资金总额：</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160</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90.65</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56.65</w:t>
            </w:r>
          </w:p>
        </w:tc>
        <w:tc>
          <w:tcPr>
            <w:tcW w:w="46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98</w:t>
            </w:r>
          </w:p>
        </w:tc>
      </w:tr>
      <w:tr>
        <w:tblPrEx>
          <w:tblCellMar>
            <w:top w:w="0" w:type="dxa"/>
            <w:left w:w="0" w:type="dxa"/>
            <w:bottom w:w="0" w:type="dxa"/>
            <w:right w:w="0" w:type="dxa"/>
          </w:tblCellMar>
        </w:tblPrEx>
        <w:trPr>
          <w:trHeight w:val="720" w:hRule="atLeast"/>
        </w:trPr>
        <w:tc>
          <w:tcPr>
            <w:tcW w:w="13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其中：本年财政拨款</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160</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90.65</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56.65</w:t>
            </w:r>
          </w:p>
        </w:tc>
        <w:tc>
          <w:tcPr>
            <w:tcW w:w="46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480" w:hRule="atLeast"/>
        </w:trPr>
        <w:tc>
          <w:tcPr>
            <w:tcW w:w="135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其他资金</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288"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年度总体目标完成情况</w:t>
            </w:r>
          </w:p>
        </w:tc>
        <w:tc>
          <w:tcPr>
            <w:tcW w:w="2270"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预期目标</w:t>
            </w:r>
          </w:p>
        </w:tc>
        <w:tc>
          <w:tcPr>
            <w:tcW w:w="2279"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实际完成情况综述</w:t>
            </w:r>
          </w:p>
        </w:tc>
      </w:tr>
      <w:tr>
        <w:tblPrEx>
          <w:tblCellMar>
            <w:top w:w="0" w:type="dxa"/>
            <w:left w:w="0" w:type="dxa"/>
            <w:bottom w:w="0" w:type="dxa"/>
            <w:right w:w="0" w:type="dxa"/>
          </w:tblCellMar>
        </w:tblPrEx>
        <w:trPr>
          <w:trHeight w:val="1080"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270"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用于驻点工作组日常开展招商引资工作，完成年度工作计划，通过项目实施，进一步优化招商队伍，锻炼培养干部，宣传推介凤台，围绕我县重点产业招大引强，实施精准招商，推动一批优质项目落户。</w:t>
            </w:r>
          </w:p>
        </w:tc>
        <w:tc>
          <w:tcPr>
            <w:tcW w:w="2279"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完成驻点工作组日常开展招商引资工作，完成年度工作计划，通过项目实施，进一步优化招商队伍，锻炼培养干部，宣传推介凤台，围绕我县重点产业招大引强，实施精准招商，推动一批优质项目落户。</w:t>
            </w:r>
          </w:p>
        </w:tc>
      </w:tr>
      <w:tr>
        <w:tblPrEx>
          <w:tblCellMar>
            <w:top w:w="0" w:type="dxa"/>
            <w:left w:w="0" w:type="dxa"/>
            <w:bottom w:w="0" w:type="dxa"/>
            <w:right w:w="0" w:type="dxa"/>
          </w:tblCellMar>
        </w:tblPrEx>
        <w:trPr>
          <w:trHeight w:val="480"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年度绩效指标完成情况</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二级指标</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三级指标</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分值</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年度指标值</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全年实际值</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得分</w:t>
            </w:r>
          </w:p>
        </w:tc>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偏差原因分析及改进措施</w:t>
            </w:r>
          </w:p>
        </w:tc>
      </w:tr>
      <w:tr>
        <w:tblPrEx>
          <w:tblCellMar>
            <w:top w:w="0" w:type="dxa"/>
            <w:left w:w="0" w:type="dxa"/>
            <w:bottom w:w="0" w:type="dxa"/>
            <w:right w:w="0" w:type="dxa"/>
          </w:tblCellMar>
        </w:tblPrEx>
        <w:trPr>
          <w:trHeight w:val="540"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(50分)</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指标1：每月报送招商信息</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w:t>
            </w:r>
          </w:p>
        </w:tc>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80"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全年新签约项目至少8项</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w:t>
            </w:r>
            <w:bookmarkStart w:id="0" w:name="_GoBack"/>
            <w:bookmarkEnd w:id="0"/>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w:t>
            </w:r>
          </w:p>
        </w:tc>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720"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质量指标</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访商邀商符合组建方案相关要求</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定性</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定性</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时效指标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项目计划完成时间</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成本指标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小分队工作经费160万元</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60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90.65</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8</w:t>
            </w:r>
          </w:p>
        </w:tc>
        <w:tc>
          <w:tcPr>
            <w:tcW w:w="9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16"/>
                <w:szCs w:val="16"/>
                <w:shd w:val="clear" w:color="auto" w:fill="FFFFFF"/>
                <w:lang w:val="en-US" w:eastAsia="zh-CN"/>
              </w:rPr>
              <w:t>未达</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(30分)</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经济效益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对促进我县经济发展、提升城市竞争力的影响程度</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1亿元</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1亿元</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社会效益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宣传推介凤台投资环境，扩大我县知名度和影响力</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生态效益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招商引资企业必须达到环保部门检验标准</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定性</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定性</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可持续影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响指标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对宣传我县投资环境，吸引外地企业来凤投资的影响程度</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满意度指标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(10分)</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服务对象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满意度指标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外来投资企业满意度</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持平</w:t>
            </w: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9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8"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宋体" w:hAnsi="宋体" w:eastAsia="宋体" w:cs="宋体"/>
                <w:color w:val="000000"/>
                <w:sz w:val="20"/>
                <w:szCs w:val="20"/>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0"/>
                <w:szCs w:val="20"/>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0"/>
                <w:szCs w:val="20"/>
              </w:rPr>
            </w:pPr>
          </w:p>
        </w:tc>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8" w:hRule="atLeast"/>
        </w:trPr>
        <w:tc>
          <w:tcPr>
            <w:tcW w:w="2266" w:type="pct"/>
            <w:gridSpan w:val="5"/>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总分</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100</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b/>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b/>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eastAsia="宋体" w:cs="宋体"/>
                <w:b/>
                <w:color w:val="000000"/>
                <w:kern w:val="0"/>
                <w:sz w:val="20"/>
                <w:szCs w:val="20"/>
                <w:lang w:val="en-US" w:eastAsia="zh-CN"/>
              </w:rPr>
              <w:t>98</w:t>
            </w:r>
          </w:p>
        </w:tc>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8" w:hRule="atLeast"/>
        </w:trPr>
        <w:tc>
          <w:tcPr>
            <w:tcW w:w="5000" w:type="pct"/>
            <w:gridSpan w:val="11"/>
            <w:tcBorders>
              <w:top w:val="single" w:color="000000" w:sz="4" w:space="0"/>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注：1</w:t>
            </w:r>
            <w:r>
              <w:rPr>
                <w:rStyle w:val="13"/>
                <w:rFonts w:hint="default"/>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CellMar>
            <w:top w:w="0" w:type="dxa"/>
            <w:left w:w="0" w:type="dxa"/>
            <w:bottom w:w="0" w:type="dxa"/>
            <w:right w:w="0" w:type="dxa"/>
          </w:tblCellMar>
        </w:tblPrEx>
        <w:trPr>
          <w:trHeight w:val="288" w:hRule="atLeast"/>
        </w:trPr>
        <w:tc>
          <w:tcPr>
            <w:tcW w:w="5000" w:type="pct"/>
            <w:gridSpan w:val="11"/>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2.定性指标根据指标完成情况分为：达成预期指标、部分达成预期指标并具有一定效果、未达成预期指标且效果较差三档，分别按照该指标对应分值区间100-80%(含80%)、80-60%(含50%)、60-0%合理确定分值。</w:t>
            </w:r>
          </w:p>
        </w:tc>
      </w:tr>
      <w:tr>
        <w:tblPrEx>
          <w:tblCellMar>
            <w:top w:w="0" w:type="dxa"/>
            <w:left w:w="0" w:type="dxa"/>
            <w:bottom w:w="0" w:type="dxa"/>
            <w:right w:w="0" w:type="dxa"/>
          </w:tblCellMar>
        </w:tblPrEx>
        <w:trPr>
          <w:trHeight w:val="288" w:hRule="atLeast"/>
        </w:trPr>
        <w:tc>
          <w:tcPr>
            <w:tcW w:w="5000" w:type="pct"/>
            <w:gridSpan w:val="11"/>
            <w:tcBorders>
              <w:top w:val="nil"/>
              <w:left w:val="nil"/>
              <w:bottom w:val="nil"/>
              <w:right w:val="nil"/>
            </w:tcBorders>
            <w:shd w:val="clear" w:color="auto" w:fill="auto"/>
            <w:tcMar>
              <w:top w:w="12" w:type="dxa"/>
              <w:left w:w="12" w:type="dxa"/>
              <w:right w:w="12"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 xml:space="preserve">    3.定量指标若为正向指标（即指标值为</w:t>
            </w:r>
            <w:r>
              <w:rPr>
                <w:rStyle w:val="13"/>
                <w:rFonts w:hint="default"/>
              </w:rPr>
              <w:t>≥*），则得分计算方法应用全年实际值/年度指标值</w:t>
            </w:r>
            <w:r>
              <w:rPr>
                <w:rFonts w:hint="eastAsia" w:ascii="宋体" w:hAnsi="宋体" w:eastAsia="宋体" w:cs="宋体"/>
                <w:color w:val="000000"/>
                <w:kern w:val="0"/>
                <w:sz w:val="12"/>
                <w:szCs w:val="12"/>
              </w:rPr>
              <w:t>╳</w:t>
            </w:r>
            <w:r>
              <w:rPr>
                <w:rStyle w:val="13"/>
                <w:rFonts w:hint="default"/>
              </w:rPr>
              <w:t>该指标分值；若定量指标为反向指标（即指标值为≤*），则得分计算方法应用年度指标值/全年实际值</w:t>
            </w:r>
            <w:r>
              <w:rPr>
                <w:rFonts w:hint="eastAsia" w:ascii="宋体" w:hAnsi="宋体" w:eastAsia="宋体" w:cs="宋体"/>
                <w:color w:val="000000"/>
                <w:kern w:val="0"/>
                <w:sz w:val="12"/>
                <w:szCs w:val="12"/>
              </w:rPr>
              <w:t>╳</w:t>
            </w:r>
            <w:r>
              <w:rPr>
                <w:rStyle w:val="13"/>
                <w:rFonts w:hint="default"/>
              </w:rPr>
              <w:t>该指标分值；定量指标得分最高不得超过该指标分值上限。</w:t>
            </w:r>
            <w:r>
              <w:rPr>
                <w:rStyle w:val="13"/>
                <w:rFonts w:hint="default"/>
              </w:rPr>
              <w:br w:type="textWrapping"/>
            </w:r>
            <w:r>
              <w:rPr>
                <w:rStyle w:val="13"/>
                <w:rFonts w:hint="default"/>
              </w:rPr>
              <w:t xml:space="preserve">    4.评价得分说明：说明全年实际值与年度指标值偏离情况（未达、持平、超额）。</w:t>
            </w:r>
          </w:p>
        </w:tc>
      </w:tr>
    </w:tbl>
    <w:p>
      <w:pPr>
        <w:spacing w:line="600" w:lineRule="exact"/>
        <w:ind w:firstLine="600" w:firstLineChars="200"/>
        <w:rPr>
          <w:rFonts w:ascii="黑体" w:hAnsi="黑体" w:eastAsia="黑体"/>
        </w:rPr>
        <w:sectPr>
          <w:pgSz w:w="16838" w:h="11906" w:orient="landscape"/>
          <w:pgMar w:top="1531" w:right="1928" w:bottom="1531" w:left="1701" w:header="737" w:footer="850" w:gutter="0"/>
          <w:cols w:space="0" w:num="1"/>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ascii="仿宋_GB2312"/>
          <w:sz w:val="32"/>
          <w:szCs w:val="32"/>
        </w:rPr>
      </w:pPr>
      <w:r>
        <w:rPr>
          <w:rFonts w:hint="eastAsia" w:ascii="仿宋_GB2312"/>
          <w:sz w:val="32"/>
          <w:szCs w:val="32"/>
        </w:rPr>
        <w:t>（一）项目决策情况。</w:t>
      </w:r>
    </w:p>
    <w:p>
      <w:pPr>
        <w:spacing w:line="600" w:lineRule="exact"/>
        <w:ind w:firstLine="640" w:firstLineChars="200"/>
        <w:outlineLvl w:val="0"/>
        <w:rPr>
          <w:rFonts w:ascii="仿宋_GB2312" w:hAnsi="仿宋_GB2312" w:cs="仿宋_GB2312"/>
          <w:sz w:val="32"/>
          <w:szCs w:val="32"/>
        </w:rPr>
      </w:pPr>
      <w:r>
        <w:rPr>
          <w:rFonts w:hint="eastAsia" w:ascii="仿宋_GB2312" w:hAnsi="仿宋_GB2312" w:cs="仿宋_GB2312"/>
          <w:color w:val="333333"/>
          <w:sz w:val="32"/>
          <w:szCs w:val="32"/>
          <w:shd w:val="clear" w:color="auto" w:fill="FFFFFF"/>
        </w:rPr>
        <w:t>县招商服务中心项目决策在科学的理论和方法指导下，进行细致深入调查和论证，作出科学决策。</w:t>
      </w:r>
    </w:p>
    <w:p>
      <w:pPr>
        <w:spacing w:line="600" w:lineRule="exact"/>
        <w:ind w:firstLine="640" w:firstLineChars="200"/>
        <w:outlineLvl w:val="0"/>
        <w:rPr>
          <w:rFonts w:ascii="仿宋_GB2312"/>
          <w:sz w:val="32"/>
          <w:szCs w:val="32"/>
        </w:rPr>
      </w:pPr>
      <w:r>
        <w:rPr>
          <w:rFonts w:hint="eastAsia" w:ascii="仿宋_GB2312"/>
          <w:sz w:val="32"/>
          <w:szCs w:val="32"/>
        </w:rPr>
        <w:t>（二）项目过程情况。</w:t>
      </w:r>
    </w:p>
    <w:p>
      <w:pPr>
        <w:spacing w:line="600" w:lineRule="exact"/>
        <w:ind w:firstLine="640" w:firstLineChars="200"/>
        <w:outlineLvl w:val="0"/>
        <w:rPr>
          <w:rFonts w:ascii="仿宋_GB2312"/>
          <w:sz w:val="32"/>
          <w:szCs w:val="32"/>
        </w:rPr>
      </w:pPr>
      <w:r>
        <w:rPr>
          <w:rFonts w:hint="eastAsia" w:ascii="仿宋_GB2312"/>
          <w:sz w:val="32"/>
          <w:szCs w:val="32"/>
        </w:rPr>
        <w:t>项目从年初开始，贯穿全年开展招商引资政策宣传、项目洽谈、项目落地。年未全面完成年初制定目标任务。</w:t>
      </w:r>
    </w:p>
    <w:p>
      <w:pPr>
        <w:spacing w:line="600" w:lineRule="exact"/>
        <w:ind w:firstLine="640" w:firstLineChars="200"/>
        <w:outlineLvl w:val="0"/>
        <w:rPr>
          <w:rFonts w:ascii="仿宋_GB2312"/>
          <w:sz w:val="32"/>
          <w:szCs w:val="32"/>
        </w:rPr>
      </w:pPr>
      <w:r>
        <w:rPr>
          <w:rFonts w:hint="eastAsia" w:ascii="仿宋_GB2312"/>
          <w:sz w:val="32"/>
          <w:szCs w:val="32"/>
        </w:rPr>
        <w:t>（三）项目产出情况。</w:t>
      </w:r>
    </w:p>
    <w:p>
      <w:pPr>
        <w:spacing w:line="600" w:lineRule="exact"/>
        <w:ind w:firstLine="640" w:firstLineChars="200"/>
        <w:outlineLvl w:val="0"/>
        <w:rPr>
          <w:rFonts w:ascii="仿宋_GB2312" w:hAnsi="仿宋_GB2312" w:cs="仿宋_GB2312"/>
          <w:color w:val="000000"/>
          <w:kern w:val="0"/>
          <w:sz w:val="32"/>
          <w:szCs w:val="32"/>
        </w:rPr>
      </w:pPr>
      <w:r>
        <w:rPr>
          <w:rFonts w:hint="eastAsia" w:ascii="仿宋_GB2312" w:hAnsi="仿宋_GB2312" w:cs="仿宋_GB2312"/>
          <w:color w:val="000000"/>
          <w:kern w:val="0"/>
          <w:sz w:val="32"/>
          <w:szCs w:val="32"/>
        </w:rPr>
        <w:t>对促进我县经济发展、提升城市竞争力的影响程度，完成新引进项目单位资金，宣传推介凤台投资环境，扩大我县知名度和影响力。</w:t>
      </w:r>
    </w:p>
    <w:p>
      <w:pPr>
        <w:spacing w:line="600" w:lineRule="exact"/>
        <w:ind w:firstLine="640" w:firstLineChars="200"/>
        <w:outlineLvl w:val="0"/>
        <w:rPr>
          <w:rFonts w:ascii="仿宋_GB2312"/>
          <w:sz w:val="32"/>
          <w:szCs w:val="32"/>
        </w:rPr>
      </w:pPr>
      <w:r>
        <w:rPr>
          <w:rFonts w:hint="eastAsia" w:ascii="仿宋_GB2312"/>
          <w:sz w:val="32"/>
          <w:szCs w:val="32"/>
        </w:rPr>
        <w:t>（四）项目效益情况。</w:t>
      </w:r>
    </w:p>
    <w:p>
      <w:pPr>
        <w:spacing w:line="600" w:lineRule="exact"/>
        <w:ind w:firstLine="640" w:firstLineChars="200"/>
        <w:outlineLvl w:val="0"/>
        <w:rPr>
          <w:rFonts w:ascii="仿宋_GB2312" w:hAnsi="仿宋_GB2312" w:cs="仿宋_GB2312"/>
          <w:color w:val="000000"/>
          <w:kern w:val="0"/>
          <w:sz w:val="32"/>
          <w:szCs w:val="32"/>
        </w:rPr>
      </w:pPr>
      <w:r>
        <w:rPr>
          <w:rFonts w:hint="eastAsia" w:ascii="仿宋_GB2312" w:hAnsi="仿宋_GB2312" w:cs="仿宋_GB2312"/>
          <w:sz w:val="32"/>
          <w:szCs w:val="32"/>
        </w:rPr>
        <w:t>通过项目开展，对我县重大项目落地，</w:t>
      </w:r>
      <w:r>
        <w:rPr>
          <w:rFonts w:hint="eastAsia" w:ascii="仿宋_GB2312" w:hAnsi="仿宋_GB2312" w:cs="仿宋_GB2312"/>
          <w:color w:val="000000"/>
          <w:kern w:val="0"/>
          <w:sz w:val="32"/>
          <w:szCs w:val="32"/>
        </w:rPr>
        <w:t>促进我县经济发展、提升城市竞争力。</w:t>
      </w:r>
    </w:p>
    <w:p>
      <w:pPr>
        <w:spacing w:line="600" w:lineRule="exact"/>
        <w:ind w:firstLine="600" w:firstLineChars="200"/>
        <w:outlineLvl w:val="0"/>
        <w:rPr>
          <w:rFonts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ascii="仿宋_GB2312" w:hAnsi="仿宋_GB2312" w:cs="仿宋_GB2312"/>
          <w:sz w:val="32"/>
          <w:szCs w:val="32"/>
        </w:rPr>
      </w:pPr>
      <w:r>
        <w:rPr>
          <w:rFonts w:hint="eastAsia" w:ascii="仿宋_GB2312" w:hAnsi="仿宋_GB2312" w:cs="仿宋_GB2312"/>
          <w:sz w:val="32"/>
          <w:szCs w:val="32"/>
        </w:rPr>
        <w:t>存在问题：第一，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ascii="黑体" w:hAnsi="黑体" w:eastAsia="黑体"/>
        </w:rPr>
      </w:pPr>
      <w:r>
        <w:rPr>
          <w:rFonts w:hint="eastAsia" w:ascii="黑体" w:hAnsi="黑体" w:eastAsia="黑体"/>
        </w:rPr>
        <w:t>六、有关建议</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firstLine="640" w:firstLineChars="200"/>
        <w:rPr>
          <w:rFonts w:ascii="黑体" w:hAnsi="黑体" w:eastAsia="黑体"/>
        </w:rPr>
      </w:pPr>
      <w:r>
        <w:rPr>
          <w:rFonts w:hint="eastAsia" w:ascii="仿宋_GB2312" w:hAnsi="仿宋_GB2312" w:cs="仿宋_GB2312"/>
          <w:sz w:val="32"/>
          <w:szCs w:val="32"/>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ascii="黑体" w:hAnsi="黑体" w:eastAsia="黑体"/>
        </w:rPr>
      </w:pPr>
      <w:r>
        <w:rPr>
          <w:rFonts w:hint="eastAsia" w:ascii="黑体" w:hAnsi="黑体" w:eastAsia="黑体"/>
        </w:rPr>
        <w:t>七、其他需要说明的问题</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无</w:t>
      </w: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jc w:val="right"/>
        <w:rPr>
          <w:rFonts w:ascii="仿宋_GB2312" w:hAnsi="仿宋_GB2312" w:cs="仿宋_GB2312"/>
          <w:sz w:val="32"/>
          <w:szCs w:val="32"/>
        </w:rPr>
      </w:pPr>
      <w:r>
        <w:rPr>
          <w:rFonts w:hint="eastAsia" w:ascii="仿宋_GB2312" w:hAnsi="仿宋_GB2312" w:cs="仿宋_GB2312"/>
          <w:sz w:val="32"/>
          <w:szCs w:val="32"/>
        </w:rPr>
        <w:t>凤台县招商服务中心</w:t>
      </w:r>
    </w:p>
    <w:p>
      <w:pPr>
        <w:spacing w:line="600" w:lineRule="exact"/>
        <w:ind w:firstLine="640" w:firstLineChars="200"/>
        <w:jc w:val="right"/>
        <w:rPr>
          <w:rFonts w:ascii="仿宋_GB2312" w:hAnsi="仿宋_GB2312" w:cs="仿宋_GB2312"/>
          <w:sz w:val="32"/>
          <w:szCs w:val="32"/>
        </w:rPr>
      </w:pPr>
      <w:r>
        <w:rPr>
          <w:rFonts w:hint="eastAsia" w:ascii="仿宋_GB2312" w:hAnsi="仿宋_GB2312" w:cs="仿宋_GB2312"/>
          <w:sz w:val="32"/>
          <w:szCs w:val="32"/>
        </w:rPr>
        <w:t>202</w:t>
      </w:r>
      <w:r>
        <w:rPr>
          <w:rFonts w:hint="eastAsia" w:ascii="仿宋_GB2312" w:hAnsi="仿宋_GB2312" w:cs="仿宋_GB2312"/>
          <w:sz w:val="32"/>
          <w:szCs w:val="32"/>
          <w:lang w:val="en-US" w:eastAsia="zh-CN"/>
        </w:rPr>
        <w:t>3</w:t>
      </w:r>
      <w:r>
        <w:rPr>
          <w:rFonts w:hint="eastAsia" w:ascii="仿宋_GB2312" w:hAnsi="仿宋_GB2312" w:cs="仿宋_GB2312"/>
          <w:sz w:val="32"/>
          <w:szCs w:val="32"/>
        </w:rPr>
        <w:t>年</w:t>
      </w:r>
      <w:r>
        <w:rPr>
          <w:rFonts w:hint="eastAsia" w:ascii="仿宋_GB2312" w:hAnsi="仿宋_GB2312" w:cs="仿宋_GB2312"/>
          <w:sz w:val="32"/>
          <w:szCs w:val="32"/>
          <w:lang w:val="en-US" w:eastAsia="zh-CN"/>
        </w:rPr>
        <w:t>9</w:t>
      </w:r>
      <w:r>
        <w:rPr>
          <w:rFonts w:hint="eastAsia" w:ascii="仿宋_GB2312" w:hAnsi="仿宋_GB2312" w:cs="仿宋_GB2312"/>
          <w:sz w:val="32"/>
          <w:szCs w:val="32"/>
        </w:rPr>
        <w:t>月5日</w:t>
      </w:r>
    </w:p>
    <w:sectPr>
      <w:pgSz w:w="11906" w:h="16838"/>
      <w:pgMar w:top="1928" w:right="1531" w:bottom="1701" w:left="1531" w:header="737" w:footer="850" w:gutter="0"/>
      <w:cols w:space="0" w:num="1"/>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21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GRlZjUxYzk1MDA0ZTMwMTBlZmEyMTI1NDc1ZWMifQ=="/>
  </w:docVars>
  <w:rsids>
    <w:rsidRoot w:val="55AE45D4"/>
    <w:rsid w:val="008629BF"/>
    <w:rsid w:val="00E82234"/>
    <w:rsid w:val="039E1AED"/>
    <w:rsid w:val="0A725E29"/>
    <w:rsid w:val="108143CA"/>
    <w:rsid w:val="13162D47"/>
    <w:rsid w:val="237E3EE8"/>
    <w:rsid w:val="2A196F08"/>
    <w:rsid w:val="2A8F6FFB"/>
    <w:rsid w:val="30C15385"/>
    <w:rsid w:val="3310422F"/>
    <w:rsid w:val="364D610A"/>
    <w:rsid w:val="36877830"/>
    <w:rsid w:val="3C0A3849"/>
    <w:rsid w:val="45042999"/>
    <w:rsid w:val="460F10A6"/>
    <w:rsid w:val="48D26B99"/>
    <w:rsid w:val="4B3E5819"/>
    <w:rsid w:val="4D5179FF"/>
    <w:rsid w:val="55AE45D4"/>
    <w:rsid w:val="69136792"/>
    <w:rsid w:val="7F1B4A79"/>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Autospacing="1" w:afterAutospacing="1"/>
      <w:jc w:val="left"/>
    </w:pPr>
    <w:rPr>
      <w:kern w:val="0"/>
      <w:sz w:val="24"/>
    </w:rPr>
  </w:style>
  <w:style w:type="character" w:customStyle="1" w:styleId="6">
    <w:name w:val="font101"/>
    <w:basedOn w:val="5"/>
    <w:qFormat/>
    <w:uiPriority w:val="0"/>
    <w:rPr>
      <w:rFonts w:hint="eastAsia" w:ascii="宋体" w:hAnsi="宋体" w:eastAsia="宋体" w:cs="宋体"/>
      <w:b/>
      <w:bCs/>
      <w:color w:val="000000"/>
      <w:sz w:val="32"/>
      <w:szCs w:val="32"/>
      <w:u w:val="none"/>
    </w:rPr>
  </w:style>
  <w:style w:type="character" w:customStyle="1" w:styleId="7">
    <w:name w:val="font61"/>
    <w:basedOn w:val="5"/>
    <w:qFormat/>
    <w:uiPriority w:val="0"/>
    <w:rPr>
      <w:rFonts w:hint="eastAsia" w:ascii="宋体" w:hAnsi="宋体" w:eastAsia="宋体" w:cs="宋体"/>
      <w:color w:val="000000"/>
      <w:sz w:val="18"/>
      <w:szCs w:val="18"/>
      <w:u w:val="none"/>
    </w:rPr>
  </w:style>
  <w:style w:type="character" w:customStyle="1" w:styleId="8">
    <w:name w:val="font51"/>
    <w:basedOn w:val="5"/>
    <w:uiPriority w:val="0"/>
    <w:rPr>
      <w:rFonts w:hint="eastAsia" w:ascii="宋体" w:hAnsi="宋体" w:eastAsia="宋体" w:cs="宋体"/>
      <w:color w:val="000000"/>
      <w:sz w:val="32"/>
      <w:szCs w:val="32"/>
      <w:u w:val="none"/>
    </w:rPr>
  </w:style>
  <w:style w:type="character" w:customStyle="1" w:styleId="9">
    <w:name w:val="font122"/>
    <w:basedOn w:val="5"/>
    <w:qFormat/>
    <w:uiPriority w:val="0"/>
    <w:rPr>
      <w:rFonts w:hint="eastAsia" w:ascii="宋体" w:hAnsi="宋体" w:eastAsia="宋体" w:cs="宋体"/>
      <w:color w:val="000000"/>
      <w:sz w:val="20"/>
      <w:szCs w:val="20"/>
      <w:u w:val="none"/>
    </w:rPr>
  </w:style>
  <w:style w:type="character" w:customStyle="1" w:styleId="10">
    <w:name w:val="font131"/>
    <w:basedOn w:val="5"/>
    <w:qFormat/>
    <w:uiPriority w:val="0"/>
    <w:rPr>
      <w:rFonts w:hint="eastAsia" w:ascii="宋体" w:hAnsi="宋体" w:eastAsia="宋体" w:cs="宋体"/>
      <w:color w:val="000000"/>
      <w:sz w:val="18"/>
      <w:szCs w:val="18"/>
      <w:u w:val="none"/>
    </w:rPr>
  </w:style>
  <w:style w:type="character" w:customStyle="1" w:styleId="11">
    <w:name w:val="font111"/>
    <w:basedOn w:val="5"/>
    <w:qFormat/>
    <w:uiPriority w:val="0"/>
    <w:rPr>
      <w:rFonts w:hint="eastAsia" w:ascii="宋体" w:hAnsi="宋体" w:eastAsia="宋体" w:cs="宋体"/>
      <w:color w:val="000000"/>
      <w:sz w:val="12"/>
      <w:szCs w:val="12"/>
      <w:u w:val="none"/>
    </w:rPr>
  </w:style>
  <w:style w:type="character" w:customStyle="1" w:styleId="12">
    <w:name w:val="font91"/>
    <w:basedOn w:val="5"/>
    <w:uiPriority w:val="0"/>
    <w:rPr>
      <w:rFonts w:hint="eastAsia" w:ascii="宋体" w:hAnsi="宋体" w:eastAsia="宋体" w:cs="宋体"/>
      <w:color w:val="000000"/>
      <w:sz w:val="32"/>
      <w:szCs w:val="32"/>
      <w:u w:val="none"/>
    </w:rPr>
  </w:style>
  <w:style w:type="character" w:customStyle="1" w:styleId="13">
    <w:name w:val="font12"/>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545</Words>
  <Characters>3110</Characters>
  <Lines>25</Lines>
  <Paragraphs>7</Paragraphs>
  <TotalTime>4</TotalTime>
  <ScaleCrop>false</ScaleCrop>
  <LinksUpToDate>false</LinksUpToDate>
  <CharactersWithSpaces>3648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阿竹</cp:lastModifiedBy>
  <dcterms:modified xsi:type="dcterms:W3CDTF">2023-09-06T13:24:21Z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E795C3284A6E4CC0A14B7B562DDB353F_13</vt:lpwstr>
  </property>
</Properties>
</file>