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DB" w:rsidRDefault="001C5ADB">
      <w:pPr>
        <w:rPr>
          <w:rFonts w:ascii="黑体" w:eastAsia="黑体" w:hAnsi="黑体" w:cs="黑体"/>
        </w:rPr>
      </w:pPr>
      <w:r>
        <w:rPr>
          <w:rFonts w:ascii="黑体" w:eastAsia="黑体" w:hAnsi="黑体" w:cs="黑体" w:hint="eastAsia"/>
        </w:rPr>
        <w:t>附件</w:t>
      </w:r>
      <w:r>
        <w:rPr>
          <w:rFonts w:ascii="黑体" w:eastAsia="黑体" w:hAnsi="黑体" w:cs="黑体"/>
        </w:rPr>
        <w:t>5</w:t>
      </w:r>
    </w:p>
    <w:p w:rsidR="001C5ADB" w:rsidRDefault="001C5ADB">
      <w:pPr>
        <w:jc w:val="center"/>
        <w:rPr>
          <w:rFonts w:ascii="Arial" w:eastAsia="宋体" w:hAnsi="Arial"/>
          <w:b/>
          <w:bCs/>
          <w:sz w:val="36"/>
          <w:szCs w:val="36"/>
        </w:rPr>
      </w:pPr>
      <w:r>
        <w:rPr>
          <w:rFonts w:ascii="宋体" w:eastAsia="宋体" w:hAnsi="宋体" w:cs="宋体" w:hint="eastAsia"/>
          <w:b/>
          <w:bCs/>
          <w:sz w:val="36"/>
          <w:szCs w:val="36"/>
        </w:rPr>
        <w:t>凤台县纪委监委项目支出绩效评价报告</w:t>
      </w:r>
    </w:p>
    <w:p w:rsidR="001C5ADB" w:rsidRDefault="001C5ADB">
      <w:pPr>
        <w:jc w:val="center"/>
        <w:rPr>
          <w:rFonts w:ascii="仿宋_GB2312"/>
        </w:rPr>
      </w:pPr>
    </w:p>
    <w:p w:rsidR="001C5ADB" w:rsidRDefault="001C5ADB" w:rsidP="00A14993">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一、基本情况</w:t>
      </w:r>
    </w:p>
    <w:p w:rsidR="001C5ADB" w:rsidRDefault="001C5ADB" w:rsidP="00A14993">
      <w:pPr>
        <w:spacing w:line="600" w:lineRule="exact"/>
        <w:ind w:firstLineChars="200" w:firstLine="31680"/>
        <w:outlineLvl w:val="0"/>
        <w:rPr>
          <w:rFonts w:ascii="仿宋_GB2312" w:hAnsi="宋体"/>
          <w:b/>
          <w:bCs/>
          <w:color w:val="333333"/>
          <w:sz w:val="32"/>
          <w:szCs w:val="32"/>
          <w:shd w:val="clear" w:color="auto" w:fill="FFFFFF"/>
        </w:rPr>
      </w:pPr>
      <w:r>
        <w:rPr>
          <w:rFonts w:ascii="仿宋_GB2312" w:cs="仿宋_GB2312" w:hint="eastAsia"/>
        </w:rPr>
        <w:t>（一）</w:t>
      </w:r>
      <w:r>
        <w:rPr>
          <w:rFonts w:ascii="仿宋_GB2312" w:hAnsi="宋体" w:cs="仿宋_GB2312" w:hint="eastAsia"/>
          <w:b/>
          <w:bCs/>
          <w:color w:val="333333"/>
          <w:sz w:val="32"/>
          <w:szCs w:val="32"/>
          <w:shd w:val="clear" w:color="auto" w:fill="FFFFFF"/>
        </w:rPr>
        <w:t>“</w:t>
      </w:r>
      <w:r w:rsidRPr="00DC0CD4">
        <w:rPr>
          <w:rFonts w:ascii="仿宋_GB2312" w:hAnsi="宋体" w:cs="仿宋_GB2312" w:hint="eastAsia"/>
          <w:b/>
          <w:bCs/>
          <w:color w:val="333333"/>
          <w:sz w:val="32"/>
          <w:szCs w:val="32"/>
          <w:shd w:val="clear" w:color="auto" w:fill="FFFFFF"/>
        </w:rPr>
        <w:t>派驻县直纪检组及县委巡察工作经费</w:t>
      </w:r>
      <w:r>
        <w:rPr>
          <w:rFonts w:ascii="仿宋_GB2312" w:hAnsi="宋体" w:cs="仿宋_GB2312" w:hint="eastAsia"/>
          <w:b/>
          <w:bCs/>
          <w:color w:val="333333"/>
          <w:sz w:val="32"/>
          <w:szCs w:val="32"/>
          <w:shd w:val="clear" w:color="auto" w:fill="FFFFFF"/>
        </w:rPr>
        <w:t>”项目。</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项目概述及内容：围绕服务执纪监督、审查调查、</w:t>
      </w:r>
      <w:r w:rsidRPr="00A14993">
        <w:rPr>
          <w:rFonts w:ascii="仿宋_GB2312" w:hAnsi="仿宋_GB2312" w:cs="仿宋_GB2312" w:hint="eastAsia"/>
          <w:sz w:val="32"/>
          <w:szCs w:val="32"/>
        </w:rPr>
        <w:t>县委巡察</w:t>
      </w:r>
      <w:r>
        <w:rPr>
          <w:rFonts w:ascii="仿宋_GB2312" w:hAnsi="仿宋_GB2312" w:cs="仿宋_GB2312" w:hint="eastAsia"/>
          <w:sz w:val="32"/>
          <w:szCs w:val="32"/>
        </w:rPr>
        <w:t>工作，</w:t>
      </w:r>
      <w:r w:rsidRPr="00FD52AC">
        <w:rPr>
          <w:rFonts w:ascii="仿宋_GB2312" w:hAnsi="仿宋_GB2312" w:cs="仿宋_GB2312" w:hint="eastAsia"/>
          <w:sz w:val="32"/>
          <w:szCs w:val="32"/>
        </w:rPr>
        <w:t>全力保障各派驻县直纪检组、巡察机构工作经费，及时购置办案所需物品</w:t>
      </w:r>
      <w:r>
        <w:rPr>
          <w:rFonts w:ascii="仿宋_GB2312" w:hAnsi="仿宋_GB2312" w:cs="仿宋_GB2312" w:hint="eastAsia"/>
          <w:sz w:val="32"/>
          <w:szCs w:val="32"/>
        </w:rPr>
        <w:t>服务</w:t>
      </w:r>
      <w:r>
        <w:rPr>
          <w:rFonts w:ascii="宋体" w:eastAsia="宋体" w:hAnsi="宋体" w:cs="宋体" w:hint="eastAsia"/>
          <w:sz w:val="32"/>
          <w:szCs w:val="32"/>
        </w:rPr>
        <w:t>等</w:t>
      </w:r>
      <w:r>
        <w:rPr>
          <w:rFonts w:ascii="仿宋_GB2312" w:hAnsi="仿宋_GB2312" w:cs="仿宋_GB2312" w:hint="eastAsia"/>
          <w:sz w:val="32"/>
          <w:szCs w:val="32"/>
        </w:rPr>
        <w:t>。</w:t>
      </w:r>
    </w:p>
    <w:p w:rsidR="001C5ADB" w:rsidRDefault="001C5ADB">
      <w:pPr>
        <w:widowControl/>
        <w:shd w:val="clear" w:color="auto" w:fill="FFFFFF"/>
        <w:spacing w:line="360" w:lineRule="auto"/>
        <w:ind w:firstLine="585"/>
        <w:rPr>
          <w:rFonts w:ascii="仿宋" w:eastAsia="仿宋" w:hAnsi="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立项依据：《纪检监察机关派驻机构工作规则》有关规定。</w:t>
      </w:r>
    </w:p>
    <w:p w:rsidR="001C5ADB" w:rsidRDefault="001C5ADB">
      <w:pPr>
        <w:widowControl/>
        <w:shd w:val="clear" w:color="auto" w:fill="FFFFFF"/>
        <w:spacing w:line="360" w:lineRule="auto"/>
        <w:ind w:firstLine="640"/>
        <w:rPr>
          <w:rFonts w:ascii="宋体" w:eastAsia="宋体" w:hAnsi="宋体"/>
          <w:color w:val="333333"/>
          <w:sz w:val="24"/>
          <w:szCs w:val="24"/>
        </w:rPr>
      </w:pPr>
      <w:r>
        <w:rPr>
          <w:rFonts w:ascii="仿宋" w:eastAsia="仿宋" w:hAnsi="仿宋" w:cs="仿宋" w:hint="eastAsia"/>
          <w:color w:val="333333"/>
          <w:kern w:val="0"/>
          <w:sz w:val="32"/>
          <w:szCs w:val="32"/>
          <w:shd w:val="clear" w:color="auto" w:fill="FFFFFF"/>
        </w:rPr>
        <w:t>实施主体：凤台县纪委监委。</w:t>
      </w:r>
    </w:p>
    <w:p w:rsidR="001C5ADB" w:rsidRDefault="001C5ADB" w:rsidP="00A14993">
      <w:pPr>
        <w:widowControl/>
        <w:shd w:val="clear" w:color="auto" w:fill="FFFFFF"/>
        <w:spacing w:line="360" w:lineRule="auto"/>
        <w:ind w:firstLineChars="200" w:firstLine="31680"/>
        <w:rPr>
          <w:rFonts w:ascii="宋体" w:eastAsia="宋体" w:hAnsi="宋体"/>
          <w:color w:val="333333"/>
          <w:sz w:val="24"/>
          <w:szCs w:val="24"/>
        </w:rPr>
      </w:pPr>
      <w:r>
        <w:rPr>
          <w:rFonts w:ascii="仿宋" w:eastAsia="仿宋" w:hAnsi="仿宋" w:cs="仿宋" w:hint="eastAsia"/>
          <w:color w:val="333333"/>
          <w:kern w:val="0"/>
          <w:sz w:val="32"/>
          <w:szCs w:val="32"/>
          <w:shd w:val="clear" w:color="auto" w:fill="FFFFFF"/>
        </w:rPr>
        <w:t>起止时间。</w:t>
      </w:r>
      <w:r>
        <w:rPr>
          <w:rFonts w:ascii="仿宋" w:eastAsia="仿宋" w:hAnsi="仿宋" w:cs="仿宋"/>
          <w:color w:val="333333"/>
          <w:kern w:val="0"/>
          <w:sz w:val="32"/>
          <w:szCs w:val="32"/>
          <w:shd w:val="clear" w:color="auto" w:fill="FFFFFF"/>
        </w:rPr>
        <w:t>2022</w:t>
      </w:r>
      <w:r>
        <w:rPr>
          <w:rFonts w:ascii="仿宋" w:eastAsia="仿宋" w:hAnsi="仿宋" w:cs="仿宋" w:hint="eastAsia"/>
          <w:color w:val="333333"/>
          <w:kern w:val="0"/>
          <w:sz w:val="32"/>
          <w:szCs w:val="32"/>
          <w:shd w:val="clear" w:color="auto" w:fill="FFFFFF"/>
        </w:rPr>
        <w:t>年</w:t>
      </w:r>
      <w:r>
        <w:rPr>
          <w:rFonts w:ascii="仿宋" w:eastAsia="仿宋" w:hAnsi="仿宋" w:cs="仿宋"/>
          <w:color w:val="333333"/>
          <w:kern w:val="0"/>
          <w:sz w:val="32"/>
          <w:szCs w:val="32"/>
          <w:shd w:val="clear" w:color="auto" w:fill="FFFFFF"/>
        </w:rPr>
        <w:t>1</w:t>
      </w:r>
      <w:r>
        <w:rPr>
          <w:rFonts w:ascii="仿宋" w:eastAsia="仿宋" w:hAnsi="仿宋" w:cs="仿宋" w:hint="eastAsia"/>
          <w:color w:val="333333"/>
          <w:kern w:val="0"/>
          <w:sz w:val="32"/>
          <w:szCs w:val="32"/>
          <w:shd w:val="clear" w:color="auto" w:fill="FFFFFF"/>
        </w:rPr>
        <w:t>月至</w:t>
      </w:r>
      <w:r>
        <w:rPr>
          <w:rFonts w:ascii="仿宋" w:eastAsia="仿宋" w:hAnsi="仿宋" w:cs="仿宋"/>
          <w:color w:val="333333"/>
          <w:kern w:val="0"/>
          <w:sz w:val="32"/>
          <w:szCs w:val="32"/>
          <w:shd w:val="clear" w:color="auto" w:fill="FFFFFF"/>
        </w:rPr>
        <w:t>2022</w:t>
      </w:r>
      <w:r>
        <w:rPr>
          <w:rFonts w:ascii="仿宋" w:eastAsia="仿宋" w:hAnsi="仿宋" w:cs="仿宋" w:hint="eastAsia"/>
          <w:color w:val="333333"/>
          <w:kern w:val="0"/>
          <w:sz w:val="32"/>
          <w:szCs w:val="32"/>
          <w:shd w:val="clear" w:color="auto" w:fill="FFFFFF"/>
        </w:rPr>
        <w:t>年</w:t>
      </w:r>
      <w:r>
        <w:rPr>
          <w:rFonts w:ascii="仿宋" w:eastAsia="仿宋" w:hAnsi="仿宋" w:cs="仿宋"/>
          <w:color w:val="333333"/>
          <w:kern w:val="0"/>
          <w:sz w:val="32"/>
          <w:szCs w:val="32"/>
          <w:shd w:val="clear" w:color="auto" w:fill="FFFFFF"/>
        </w:rPr>
        <w:t>12</w:t>
      </w:r>
      <w:r>
        <w:rPr>
          <w:rFonts w:ascii="仿宋" w:eastAsia="仿宋" w:hAnsi="仿宋" w:cs="仿宋" w:hint="eastAsia"/>
          <w:color w:val="333333"/>
          <w:kern w:val="0"/>
          <w:sz w:val="32"/>
          <w:szCs w:val="32"/>
          <w:shd w:val="clear" w:color="auto" w:fill="FFFFFF"/>
        </w:rPr>
        <w:t>月。</w:t>
      </w:r>
    </w:p>
    <w:p w:rsidR="001C5ADB" w:rsidRDefault="001C5ADB">
      <w:pPr>
        <w:widowControl/>
        <w:shd w:val="clear" w:color="auto" w:fill="FFFFFF"/>
        <w:spacing w:line="360" w:lineRule="auto"/>
        <w:ind w:firstLine="640"/>
        <w:rPr>
          <w:rFonts w:ascii="仿宋_GB2312"/>
        </w:rPr>
      </w:pPr>
      <w:r>
        <w:rPr>
          <w:rFonts w:ascii="仿宋" w:eastAsia="仿宋" w:hAnsi="仿宋" w:cs="仿宋" w:hint="eastAsia"/>
          <w:color w:val="333333"/>
          <w:kern w:val="0"/>
          <w:sz w:val="32"/>
          <w:szCs w:val="32"/>
          <w:shd w:val="clear" w:color="auto" w:fill="FFFFFF"/>
        </w:rPr>
        <w:t>年度预算安排。一般公共预算安排</w:t>
      </w:r>
      <w:r>
        <w:rPr>
          <w:rFonts w:ascii="仿宋" w:eastAsia="仿宋" w:hAnsi="仿宋" w:cs="仿宋"/>
          <w:color w:val="333333"/>
          <w:kern w:val="0"/>
          <w:sz w:val="32"/>
          <w:szCs w:val="32"/>
          <w:shd w:val="clear" w:color="auto" w:fill="FFFFFF"/>
        </w:rPr>
        <w:t>195</w:t>
      </w:r>
      <w:r>
        <w:rPr>
          <w:rFonts w:ascii="仿宋" w:eastAsia="仿宋" w:hAnsi="仿宋" w:cs="仿宋" w:hint="eastAsia"/>
          <w:color w:val="333333"/>
          <w:kern w:val="0"/>
          <w:sz w:val="32"/>
          <w:szCs w:val="32"/>
          <w:shd w:val="clear" w:color="auto" w:fill="FFFFFF"/>
        </w:rPr>
        <w:t>万元。</w:t>
      </w:r>
    </w:p>
    <w:p w:rsidR="001C5ADB" w:rsidRPr="000B77AC" w:rsidRDefault="001C5ADB" w:rsidP="00A14993">
      <w:pPr>
        <w:spacing w:line="360" w:lineRule="auto"/>
        <w:ind w:firstLineChars="200" w:firstLine="31680"/>
        <w:rPr>
          <w:rFonts w:ascii="仿宋_GB2312"/>
          <w:sz w:val="32"/>
          <w:szCs w:val="32"/>
        </w:rPr>
      </w:pPr>
      <w:r>
        <w:rPr>
          <w:rFonts w:ascii="仿宋_GB2312" w:cs="仿宋_GB2312" w:hint="eastAsia"/>
          <w:sz w:val="32"/>
          <w:szCs w:val="32"/>
        </w:rPr>
        <w:t>项目绩效目标：通过项目实施，推进</w:t>
      </w:r>
      <w:r w:rsidRPr="000B77AC">
        <w:rPr>
          <w:rFonts w:ascii="仿宋_GB2312" w:cs="仿宋_GB2312" w:hint="eastAsia"/>
          <w:sz w:val="32"/>
          <w:szCs w:val="32"/>
        </w:rPr>
        <w:t>派驻县直纪检监察组、巡察机构工作开展，全力保障工作所需相关物品及服务，提高全县纪检监察工作能力及工作水平。</w:t>
      </w:r>
    </w:p>
    <w:p w:rsidR="001C5ADB" w:rsidRDefault="001C5ADB" w:rsidP="00A14993">
      <w:pPr>
        <w:spacing w:line="600" w:lineRule="exact"/>
        <w:ind w:firstLineChars="200" w:firstLine="31680"/>
        <w:rPr>
          <w:rFonts w:ascii="黑体" w:eastAsia="黑体" w:hAnsi="黑体"/>
        </w:rPr>
      </w:pPr>
      <w:r>
        <w:rPr>
          <w:rFonts w:ascii="黑体" w:eastAsia="黑体" w:hAnsi="黑体" w:cs="黑体" w:hint="eastAsia"/>
        </w:rPr>
        <w:t>二、绩效评价工作开展情况</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（一）绩效评价目的、对象和范围。</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加强预算绩效管理，强化支出责任，建立科学、合理的财政支出绩效评价管理体系，提高财政资金使用效益。范围为财政预算单位。</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（二）绩效评价原则、评价指标体系（附表说明）、评价方法、评价标准等。</w:t>
      </w:r>
    </w:p>
    <w:p w:rsidR="001C5ADB" w:rsidRDefault="001C5ADB">
      <w:pPr>
        <w:pStyle w:val="NormalWeb"/>
        <w:widowControl/>
        <w:shd w:val="clear" w:color="auto" w:fill="FFFFFF"/>
        <w:spacing w:beforeAutospacing="0" w:afterAutospacing="0" w:line="360" w:lineRule="auto"/>
        <w:ind w:firstLine="420"/>
        <w:rPr>
          <w:rFonts w:ascii="仿宋_GB2312"/>
          <w:color w:val="333333"/>
          <w:sz w:val="32"/>
          <w:szCs w:val="32"/>
        </w:rPr>
      </w:pPr>
      <w:r>
        <w:rPr>
          <w:rFonts w:ascii="仿宋_GB2312" w:hAnsi="仿宋_GB2312" w:cs="仿宋_GB2312" w:hint="eastAsia"/>
          <w:color w:val="333333"/>
          <w:sz w:val="32"/>
          <w:szCs w:val="32"/>
          <w:shd w:val="clear" w:color="auto" w:fill="FFFFFF"/>
        </w:rPr>
        <w:t>绩效评价原则：科学公正。绩效评价应当运用科学合理的方法，按照规范的程序，对项目绩效进行客观、公正的反映。</w:t>
      </w:r>
      <w:r>
        <w:rPr>
          <w:rFonts w:ascii="仿宋_GB2312"/>
          <w:color w:val="333333"/>
          <w:sz w:val="32"/>
          <w:szCs w:val="32"/>
          <w:shd w:val="clear" w:color="auto" w:fill="FFFFFF"/>
        </w:rPr>
        <w:t> </w:t>
      </w:r>
      <w:r>
        <w:rPr>
          <w:rFonts w:ascii="仿宋_GB2312" w:hAnsi="仿宋_GB2312" w:cs="仿宋_GB2312" w:hint="eastAsia"/>
          <w:color w:val="333333"/>
          <w:sz w:val="32"/>
          <w:szCs w:val="32"/>
          <w:shd w:val="clear" w:color="auto" w:fill="FFFFFF"/>
        </w:rPr>
        <w:t>统筹兼顾。单位自评应由项目单位自主实施，即“谁支出、谁自评”。部门评价和财政评价应在单位自评的基础上开展，必要时可委托第三方机构实施。</w:t>
      </w:r>
      <w:r>
        <w:rPr>
          <w:rFonts w:ascii="仿宋_GB2312"/>
          <w:color w:val="333333"/>
          <w:sz w:val="32"/>
          <w:szCs w:val="32"/>
          <w:shd w:val="clear" w:color="auto" w:fill="FFFFFF"/>
        </w:rPr>
        <w:t> </w:t>
      </w:r>
      <w:r>
        <w:rPr>
          <w:rFonts w:ascii="仿宋_GB2312" w:hAnsi="仿宋_GB2312" w:cs="仿宋_GB2312" w:hint="eastAsia"/>
          <w:color w:val="333333"/>
          <w:sz w:val="32"/>
          <w:szCs w:val="32"/>
          <w:shd w:val="clear" w:color="auto" w:fill="FFFFFF"/>
        </w:rPr>
        <w:t>激励约束，绩效评价结果应与预算安排、政策调整、改进管理实质性挂钩，体现奖优罚劣和激励相容导向，有效要安排、低效要压减、无效要问责。公开透明。绩效评价结果应依法依规公开，并自觉接受社会监督。</w:t>
      </w:r>
      <w:r>
        <w:rPr>
          <w:rFonts w:ascii="仿宋_GB2312" w:hAnsi="仿宋_GB2312" w:cs="仿宋_GB2312"/>
          <w:color w:val="333333"/>
          <w:sz w:val="32"/>
          <w:szCs w:val="32"/>
          <w:shd w:val="clear" w:color="auto" w:fill="FFFFFF"/>
        </w:rPr>
        <w:t xml:space="preserve">  </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绩效评价标准：绩效评价标准通常包括</w:t>
      </w:r>
      <w:r>
        <w:rPr>
          <w:rFonts w:ascii="仿宋_GB2312" w:hAnsi="仿宋_GB2312" w:cs="仿宋_GB2312"/>
          <w:sz w:val="32"/>
          <w:szCs w:val="32"/>
        </w:rPr>
        <w:t>:</w:t>
      </w:r>
      <w:r>
        <w:rPr>
          <w:rFonts w:ascii="仿宋_GB2312" w:hAnsi="仿宋_GB2312" w:cs="仿宋_GB2312" w:hint="eastAsia"/>
          <w:sz w:val="32"/>
          <w:szCs w:val="32"/>
        </w:rPr>
        <w:t>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绩效评价方法：绩效评价方法主要采用成本效益分析法、比较法、因素分析法、最低成本法、公众评判法等。</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（三）绩效评价工作过程。</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一是准备创段，成立项目评价领导小组，制定工作计划。二是评价工作执行阶段，</w:t>
      </w:r>
      <w:r>
        <w:rPr>
          <w:rFonts w:ascii="仿宋_GB2312" w:hAnsi="仿宋_GB2312" w:cs="仿宋_GB2312"/>
          <w:sz w:val="32"/>
          <w:szCs w:val="32"/>
        </w:rPr>
        <w:t xml:space="preserve"> </w:t>
      </w:r>
      <w:r>
        <w:rPr>
          <w:rFonts w:ascii="仿宋_GB2312" w:hAnsi="仿宋_GB2312" w:cs="仿宋_GB2312" w:hint="eastAsia"/>
          <w:sz w:val="32"/>
          <w:szCs w:val="32"/>
        </w:rPr>
        <w:t>按照评价方案收集相关数据，开展问卷调查和调研，开展资金使用情况调查。三是评价报告撰写，根据前期调研，查看资料撰写评价报告。</w:t>
      </w:r>
    </w:p>
    <w:p w:rsidR="001C5ADB" w:rsidRDefault="001C5ADB">
      <w:pPr>
        <w:spacing w:line="600" w:lineRule="exact"/>
        <w:rPr>
          <w:rFonts w:ascii="黑体" w:eastAsia="黑体" w:hAnsi="黑体"/>
        </w:rPr>
        <w:sectPr w:rsidR="001C5ADB">
          <w:pgSz w:w="11906" w:h="16838"/>
          <w:pgMar w:top="1928" w:right="1531" w:bottom="1701" w:left="1531" w:header="737" w:footer="851" w:gutter="0"/>
          <w:cols w:space="720"/>
          <w:docGrid w:type="lines" w:linePitch="408"/>
        </w:sectPr>
      </w:pPr>
    </w:p>
    <w:p w:rsidR="001C5ADB" w:rsidRDefault="001C5ADB" w:rsidP="00A14993">
      <w:pPr>
        <w:spacing w:line="600" w:lineRule="exact"/>
        <w:ind w:firstLineChars="200" w:firstLine="31680"/>
        <w:rPr>
          <w:rFonts w:ascii="黑体" w:eastAsia="黑体" w:hAnsi="黑体"/>
        </w:rPr>
      </w:pPr>
      <w:r>
        <w:rPr>
          <w:rFonts w:ascii="黑体" w:eastAsia="黑体" w:hAnsi="黑体" w:cs="黑体" w:hint="eastAsia"/>
        </w:rPr>
        <w:t>三、综合评价情况及评价结论</w:t>
      </w:r>
    </w:p>
    <w:tbl>
      <w:tblPr>
        <w:tblW w:w="11880" w:type="dxa"/>
        <w:tblInd w:w="-10" w:type="dxa"/>
        <w:tblLook w:val="0000"/>
      </w:tblPr>
      <w:tblGrid>
        <w:gridCol w:w="1080"/>
        <w:gridCol w:w="1080"/>
        <w:gridCol w:w="1080"/>
        <w:gridCol w:w="1080"/>
        <w:gridCol w:w="1080"/>
        <w:gridCol w:w="1080"/>
        <w:gridCol w:w="1080"/>
        <w:gridCol w:w="1080"/>
        <w:gridCol w:w="1080"/>
        <w:gridCol w:w="1080"/>
        <w:gridCol w:w="1080"/>
      </w:tblGrid>
      <w:tr w:rsidR="001C5ADB" w:rsidTr="001A380F">
        <w:trPr>
          <w:trHeight w:val="408"/>
        </w:trPr>
        <w:tc>
          <w:tcPr>
            <w:tcW w:w="11880" w:type="dxa"/>
            <w:gridSpan w:val="11"/>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32"/>
                <w:szCs w:val="32"/>
              </w:rPr>
            </w:pPr>
            <w:r>
              <w:rPr>
                <w:rFonts w:ascii="宋体" w:eastAsia="宋体" w:hAnsi="宋体" w:cs="宋体" w:hint="eastAsia"/>
                <w:b/>
                <w:bCs/>
                <w:color w:val="000000"/>
                <w:sz w:val="32"/>
                <w:szCs w:val="32"/>
              </w:rPr>
              <w:t>项目支出绩效自评表</w:t>
            </w:r>
            <w:r>
              <w:rPr>
                <w:color w:val="000000"/>
                <w:sz w:val="32"/>
                <w:szCs w:val="32"/>
              </w:rPr>
              <w:t xml:space="preserve"> </w:t>
            </w:r>
          </w:p>
        </w:tc>
      </w:tr>
      <w:tr w:rsidR="001C5ADB" w:rsidTr="001A380F">
        <w:trPr>
          <w:trHeight w:val="312"/>
        </w:trPr>
        <w:tc>
          <w:tcPr>
            <w:tcW w:w="11880" w:type="dxa"/>
            <w:gridSpan w:val="11"/>
            <w:tcBorders>
              <w:top w:val="single" w:sz="4" w:space="0" w:color="auto"/>
              <w:left w:val="single" w:sz="4" w:space="0" w:color="auto"/>
              <w:bottom w:val="single" w:sz="4" w:space="0" w:color="auto"/>
              <w:right w:val="single" w:sz="4" w:space="0" w:color="auto"/>
            </w:tcBorders>
          </w:tcPr>
          <w:p w:rsidR="001C5ADB" w:rsidRDefault="001C5ADB">
            <w:pPr>
              <w:jc w:val="center"/>
              <w:rPr>
                <w:rFonts w:ascii="宋体" w:eastAsia="宋体" w:cs="宋体"/>
                <w:color w:val="000000"/>
                <w:sz w:val="22"/>
                <w:szCs w:val="22"/>
              </w:rPr>
            </w:pPr>
            <w:r>
              <w:rPr>
                <w:rFonts w:cs="仿宋_GB2312" w:hint="eastAsia"/>
                <w:color w:val="000000"/>
                <w:sz w:val="22"/>
                <w:szCs w:val="22"/>
              </w:rPr>
              <w:t>（</w:t>
            </w:r>
            <w:r>
              <w:rPr>
                <w:color w:val="000000"/>
                <w:sz w:val="22"/>
                <w:szCs w:val="22"/>
              </w:rPr>
              <w:t xml:space="preserve">  2022</w:t>
            </w:r>
            <w:r>
              <w:rPr>
                <w:rFonts w:ascii="宋体" w:eastAsia="宋体" w:hAnsi="宋体" w:cs="宋体" w:hint="eastAsia"/>
                <w:color w:val="000000"/>
                <w:sz w:val="22"/>
                <w:szCs w:val="22"/>
              </w:rPr>
              <w:t>年度</w:t>
            </w:r>
            <w:r>
              <w:rPr>
                <w:rFonts w:ascii="Malgun Gothic Semilight" w:eastAsia="Malgun Gothic Semilight" w:hAnsi="Malgun Gothic Semilight" w:cs="Malgun Gothic Semilight" w:hint="eastAsia"/>
                <w:color w:val="000000"/>
                <w:sz w:val="22"/>
                <w:szCs w:val="22"/>
              </w:rPr>
              <w:t>）</w:t>
            </w:r>
          </w:p>
        </w:tc>
      </w:tr>
      <w:tr w:rsidR="001C5ADB" w:rsidTr="001A380F">
        <w:trPr>
          <w:trHeight w:val="312"/>
        </w:trPr>
        <w:tc>
          <w:tcPr>
            <w:tcW w:w="3240" w:type="dxa"/>
            <w:gridSpan w:val="3"/>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项目名称</w:t>
            </w:r>
          </w:p>
        </w:tc>
        <w:tc>
          <w:tcPr>
            <w:tcW w:w="8640" w:type="dxa"/>
            <w:gridSpan w:val="8"/>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派驻县直纪检组及县委巡察工作经费</w:t>
            </w:r>
          </w:p>
        </w:tc>
      </w:tr>
      <w:tr w:rsidR="001C5ADB" w:rsidTr="001A380F">
        <w:trPr>
          <w:trHeight w:val="312"/>
        </w:trPr>
        <w:tc>
          <w:tcPr>
            <w:tcW w:w="3240" w:type="dxa"/>
            <w:gridSpan w:val="3"/>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主管部门</w:t>
            </w:r>
          </w:p>
        </w:tc>
        <w:tc>
          <w:tcPr>
            <w:tcW w:w="3240" w:type="dxa"/>
            <w:gridSpan w:val="3"/>
            <w:tcBorders>
              <w:top w:val="single" w:sz="4" w:space="0" w:color="auto"/>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rFonts w:cs="仿宋_GB2312" w:hint="eastAsia"/>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实施单位</w:t>
            </w:r>
          </w:p>
        </w:tc>
        <w:tc>
          <w:tcPr>
            <w:tcW w:w="4320" w:type="dxa"/>
            <w:gridSpan w:val="4"/>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中国共产党凤台县纪律检查委员会</w:t>
            </w:r>
          </w:p>
        </w:tc>
      </w:tr>
      <w:tr w:rsidR="001C5ADB" w:rsidTr="001A380F">
        <w:trPr>
          <w:trHeight w:val="480"/>
        </w:trPr>
        <w:tc>
          <w:tcPr>
            <w:tcW w:w="3240" w:type="dxa"/>
            <w:gridSpan w:val="3"/>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资金情况</w:t>
            </w:r>
            <w:r>
              <w:rPr>
                <w:color w:val="000000"/>
                <w:sz w:val="20"/>
                <w:szCs w:val="20"/>
              </w:rPr>
              <w:br/>
            </w:r>
            <w:r>
              <w:rPr>
                <w:rFonts w:cs="仿宋_GB2312" w:hint="eastAsia"/>
                <w:color w:val="000000"/>
                <w:sz w:val="20"/>
                <w:szCs w:val="20"/>
              </w:rPr>
              <w:t>（</w:t>
            </w:r>
            <w:r>
              <w:rPr>
                <w:rFonts w:ascii="宋体" w:eastAsia="宋体" w:hAnsi="宋体" w:cs="宋体" w:hint="eastAsia"/>
                <w:color w:val="000000"/>
                <w:sz w:val="20"/>
                <w:szCs w:val="20"/>
              </w:rPr>
              <w:t>万元</w:t>
            </w:r>
            <w:r>
              <w:rPr>
                <w:rFonts w:ascii="Malgun Gothic Semilight" w:eastAsia="Malgun Gothic Semilight" w:hAnsi="Malgun Gothic Semilight" w:cs="Malgun Gothic Semilight" w:hint="eastAsia"/>
                <w:color w:val="000000"/>
                <w:sz w:val="20"/>
                <w:szCs w:val="20"/>
              </w:rPr>
              <w:t>）</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rFonts w:cs="仿宋_GB2312" w:hint="eastAsia"/>
                <w:color w:val="000000"/>
                <w:sz w:val="20"/>
                <w:szCs w:val="20"/>
              </w:rPr>
              <w:t xml:space="preserve">　</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全年预算数</w:t>
            </w:r>
            <w:r>
              <w:rPr>
                <w:rFonts w:ascii="Malgun Gothic Semilight" w:eastAsia="Malgun Gothic Semilight" w:hAnsi="Malgun Gothic Semilight" w:cs="Malgun Gothic Semilight" w:hint="eastAsia"/>
                <w:color w:val="000000"/>
                <w:sz w:val="20"/>
                <w:szCs w:val="20"/>
              </w:rPr>
              <w:t>（</w:t>
            </w:r>
            <w:r>
              <w:rPr>
                <w:color w:val="000000"/>
                <w:sz w:val="20"/>
                <w:szCs w:val="20"/>
              </w:rPr>
              <w:t>A</w:t>
            </w:r>
            <w:r>
              <w:rPr>
                <w:rFonts w:cs="仿宋_GB2312" w:hint="eastAsia"/>
                <w:color w:val="000000"/>
                <w:sz w:val="20"/>
                <w:szCs w:val="20"/>
              </w:rPr>
              <w:t>）</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全年执行数</w:t>
            </w:r>
            <w:r>
              <w:rPr>
                <w:rFonts w:ascii="Malgun Gothic Semilight" w:eastAsia="Malgun Gothic Semilight" w:hAnsi="Malgun Gothic Semilight" w:cs="Malgun Gothic Semilight" w:hint="eastAsia"/>
                <w:color w:val="000000"/>
                <w:sz w:val="20"/>
                <w:szCs w:val="20"/>
              </w:rPr>
              <w:t>（</w:t>
            </w:r>
            <w:r>
              <w:rPr>
                <w:color w:val="000000"/>
                <w:sz w:val="20"/>
                <w:szCs w:val="20"/>
              </w:rPr>
              <w:t>B</w:t>
            </w:r>
            <w:r>
              <w:rPr>
                <w:rFonts w:cs="仿宋_GB2312" w:hint="eastAsia"/>
                <w:color w:val="000000"/>
                <w:sz w:val="20"/>
                <w:szCs w:val="20"/>
              </w:rPr>
              <w:t>）</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分值</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执行率</w:t>
            </w:r>
            <w:r>
              <w:rPr>
                <w:rFonts w:ascii="Malgun Gothic Semilight" w:eastAsia="Malgun Gothic Semilight" w:hAnsi="Malgun Gothic Semilight" w:cs="Malgun Gothic Semilight" w:hint="eastAsia"/>
                <w:color w:val="000000"/>
                <w:sz w:val="20"/>
                <w:szCs w:val="20"/>
              </w:rPr>
              <w:t>（</w:t>
            </w:r>
            <w:r>
              <w:rPr>
                <w:color w:val="000000"/>
                <w:sz w:val="20"/>
                <w:szCs w:val="20"/>
              </w:rPr>
              <w:t>B/A)</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得分</w:t>
            </w:r>
          </w:p>
        </w:tc>
      </w:tr>
      <w:tr w:rsidR="001C5ADB" w:rsidTr="001A380F">
        <w:trPr>
          <w:trHeight w:val="480"/>
        </w:trPr>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rFonts w:ascii="宋体" w:eastAsia="宋体" w:hAnsi="宋体" w:cs="宋体" w:hint="eastAsia"/>
                <w:color w:val="000000"/>
                <w:sz w:val="20"/>
                <w:szCs w:val="20"/>
              </w:rPr>
              <w:t>年度资金总额</w:t>
            </w:r>
            <w:r>
              <w:rPr>
                <w:rFonts w:ascii="Malgun Gothic Semilight" w:eastAsia="Malgun Gothic Semilight" w:hAnsi="Malgun Gothic Semilight" w:cs="Malgun Gothic Semilight" w:hint="eastAsia"/>
                <w:color w:val="000000"/>
                <w:sz w:val="20"/>
                <w:szCs w:val="20"/>
              </w:rPr>
              <w:t>：</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195</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82.8</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color w:val="000000"/>
                <w:sz w:val="20"/>
                <w:szCs w:val="20"/>
              </w:rPr>
              <w:t>42.5%</w:t>
            </w:r>
          </w:p>
        </w:tc>
        <w:tc>
          <w:tcPr>
            <w:tcW w:w="1080" w:type="dxa"/>
            <w:tcBorders>
              <w:top w:val="nil"/>
              <w:left w:val="nil"/>
              <w:bottom w:val="single" w:sz="4" w:space="0" w:color="auto"/>
              <w:right w:val="single" w:sz="4" w:space="0" w:color="auto"/>
            </w:tcBorders>
            <w:vAlign w:val="center"/>
          </w:tcPr>
          <w:p w:rsidR="001C5ADB" w:rsidRDefault="001C5ADB">
            <w:pPr>
              <w:jc w:val="right"/>
              <w:rPr>
                <w:rFonts w:ascii="宋体" w:eastAsia="宋体" w:cs="宋体"/>
                <w:color w:val="000000"/>
                <w:sz w:val="20"/>
                <w:szCs w:val="20"/>
              </w:rPr>
            </w:pPr>
            <w:r>
              <w:rPr>
                <w:color w:val="000000"/>
                <w:sz w:val="20"/>
                <w:szCs w:val="20"/>
              </w:rPr>
              <w:t>6</w:t>
            </w:r>
          </w:p>
        </w:tc>
      </w:tr>
      <w:tr w:rsidR="001C5ADB" w:rsidTr="001A380F">
        <w:trPr>
          <w:trHeight w:val="720"/>
        </w:trPr>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其中</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本年财政拨款</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195</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cs="仿宋_GB2312" w:hint="eastAsia"/>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rFonts w:cs="仿宋_GB2312" w:hint="eastAsia"/>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w:t>
            </w:r>
          </w:p>
        </w:tc>
      </w:tr>
      <w:tr w:rsidR="001C5ADB" w:rsidTr="001A380F">
        <w:trPr>
          <w:trHeight w:val="480"/>
        </w:trPr>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其他资金</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0</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cs="仿宋_GB2312" w:hint="eastAsia"/>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color w:val="000000"/>
                <w:sz w:val="20"/>
                <w:szCs w:val="20"/>
              </w:rPr>
            </w:pPr>
            <w:r>
              <w:rPr>
                <w:rFonts w:cs="仿宋_GB2312" w:hint="eastAsia"/>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w:t>
            </w:r>
          </w:p>
        </w:tc>
      </w:tr>
      <w:tr w:rsidR="001C5ADB" w:rsidTr="001A380F">
        <w:trPr>
          <w:trHeight w:val="312"/>
        </w:trPr>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年度总体目标完成情况</w:t>
            </w:r>
          </w:p>
        </w:tc>
        <w:tc>
          <w:tcPr>
            <w:tcW w:w="5400" w:type="dxa"/>
            <w:gridSpan w:val="5"/>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年初设定目标</w:t>
            </w:r>
          </w:p>
        </w:tc>
        <w:tc>
          <w:tcPr>
            <w:tcW w:w="5400" w:type="dxa"/>
            <w:gridSpan w:val="5"/>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年度总体目标完成情况综述</w:t>
            </w:r>
          </w:p>
        </w:tc>
      </w:tr>
      <w:tr w:rsidR="001C5ADB" w:rsidTr="001A380F">
        <w:trPr>
          <w:trHeight w:val="56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5400" w:type="dxa"/>
            <w:gridSpan w:val="5"/>
            <w:tcBorders>
              <w:top w:val="single" w:sz="4" w:space="0" w:color="auto"/>
              <w:left w:val="nil"/>
              <w:bottom w:val="single" w:sz="4" w:space="0" w:color="auto"/>
              <w:right w:val="single" w:sz="4" w:space="0" w:color="auto"/>
            </w:tcBorders>
          </w:tcPr>
          <w:p w:rsidR="001C5ADB" w:rsidRDefault="001C5ADB">
            <w:pPr>
              <w:rPr>
                <w:rFonts w:ascii="宋体" w:eastAsia="宋体" w:cs="宋体"/>
                <w:color w:val="000000"/>
                <w:sz w:val="20"/>
                <w:szCs w:val="20"/>
              </w:rPr>
            </w:pPr>
            <w:r>
              <w:rPr>
                <w:rFonts w:ascii="宋体" w:eastAsia="宋体" w:hAnsi="宋体" w:cs="宋体" w:hint="eastAsia"/>
                <w:color w:val="000000"/>
                <w:sz w:val="20"/>
                <w:szCs w:val="20"/>
              </w:rPr>
              <w:t>全力保障各派驻县直纪检组</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巡察机构工作经费</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及时购置办案所需物品</w:t>
            </w:r>
            <w:r>
              <w:rPr>
                <w:rFonts w:ascii="Malgun Gothic Semilight" w:eastAsia="Malgun Gothic Semilight" w:hAnsi="Malgun Gothic Semilight" w:cs="Malgun Gothic Semilight" w:hint="eastAsia"/>
                <w:color w:val="000000"/>
                <w:sz w:val="20"/>
                <w:szCs w:val="20"/>
              </w:rPr>
              <w:t>。</w:t>
            </w:r>
          </w:p>
        </w:tc>
        <w:tc>
          <w:tcPr>
            <w:tcW w:w="5400" w:type="dxa"/>
            <w:gridSpan w:val="5"/>
            <w:tcBorders>
              <w:top w:val="single" w:sz="4" w:space="0" w:color="auto"/>
              <w:left w:val="nil"/>
              <w:bottom w:val="single" w:sz="4" w:space="0" w:color="auto"/>
              <w:right w:val="single" w:sz="4" w:space="0" w:color="auto"/>
            </w:tcBorders>
          </w:tcPr>
          <w:p w:rsidR="001C5ADB" w:rsidRDefault="001C5ADB">
            <w:pPr>
              <w:rPr>
                <w:rFonts w:ascii="宋体" w:eastAsia="宋体" w:cs="宋体"/>
                <w:color w:val="000000"/>
                <w:sz w:val="20"/>
                <w:szCs w:val="20"/>
              </w:rPr>
            </w:pPr>
            <w:r>
              <w:rPr>
                <w:rFonts w:ascii="宋体" w:eastAsia="宋体" w:hAnsi="宋体" w:cs="宋体" w:hint="eastAsia"/>
                <w:color w:val="000000"/>
                <w:sz w:val="20"/>
                <w:szCs w:val="20"/>
              </w:rPr>
              <w:t>已全力保障各派驻县直纪检组</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巡察机构工作经费</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及时购置办案所需物品</w:t>
            </w:r>
            <w:r>
              <w:rPr>
                <w:rFonts w:ascii="Malgun Gothic Semilight" w:eastAsia="Malgun Gothic Semilight" w:hAnsi="Malgun Gothic Semilight" w:cs="Malgun Gothic Semilight" w:hint="eastAsia"/>
                <w:color w:val="000000"/>
                <w:sz w:val="20"/>
                <w:szCs w:val="20"/>
              </w:rPr>
              <w:t>。</w:t>
            </w:r>
          </w:p>
        </w:tc>
      </w:tr>
      <w:tr w:rsidR="001C5ADB" w:rsidTr="001A380F">
        <w:trPr>
          <w:trHeight w:val="312"/>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5400" w:type="dxa"/>
            <w:gridSpan w:val="5"/>
            <w:tcBorders>
              <w:top w:val="single" w:sz="4" w:space="0" w:color="auto"/>
              <w:left w:val="nil"/>
              <w:bottom w:val="single" w:sz="4" w:space="0" w:color="auto"/>
              <w:right w:val="single" w:sz="4" w:space="0" w:color="auto"/>
            </w:tcBorders>
          </w:tcPr>
          <w:p w:rsidR="001C5ADB" w:rsidRDefault="001C5ADB">
            <w:pPr>
              <w:rPr>
                <w:rFonts w:ascii="宋体" w:eastAsia="宋体" w:cs="宋体"/>
                <w:color w:val="000000"/>
                <w:sz w:val="20"/>
                <w:szCs w:val="20"/>
              </w:rPr>
            </w:pPr>
            <w:r>
              <w:rPr>
                <w:rFonts w:ascii="宋体" w:eastAsia="宋体" w:hAnsi="宋体" w:cs="宋体" w:hint="eastAsia"/>
                <w:color w:val="000000"/>
                <w:sz w:val="20"/>
                <w:szCs w:val="20"/>
              </w:rPr>
              <w:t>存在的问题</w:t>
            </w:r>
            <w:r>
              <w:rPr>
                <w:rFonts w:ascii="Malgun Gothic Semilight" w:eastAsia="Malgun Gothic Semilight" w:hAnsi="Malgun Gothic Semilight" w:cs="Malgun Gothic Semilight" w:hint="eastAsia"/>
                <w:color w:val="000000"/>
                <w:sz w:val="20"/>
                <w:szCs w:val="20"/>
              </w:rPr>
              <w:t>：</w:t>
            </w:r>
          </w:p>
        </w:tc>
        <w:tc>
          <w:tcPr>
            <w:tcW w:w="5400" w:type="dxa"/>
            <w:gridSpan w:val="5"/>
            <w:tcBorders>
              <w:top w:val="single" w:sz="4" w:space="0" w:color="auto"/>
              <w:left w:val="nil"/>
              <w:bottom w:val="single" w:sz="4" w:space="0" w:color="auto"/>
              <w:right w:val="single" w:sz="4" w:space="0" w:color="auto"/>
            </w:tcBorders>
          </w:tcPr>
          <w:p w:rsidR="001C5ADB" w:rsidRDefault="001C5ADB">
            <w:pPr>
              <w:rPr>
                <w:rFonts w:ascii="宋体" w:eastAsia="宋体" w:cs="宋体"/>
                <w:color w:val="000000"/>
                <w:sz w:val="20"/>
                <w:szCs w:val="20"/>
              </w:rPr>
            </w:pPr>
            <w:r>
              <w:rPr>
                <w:rFonts w:ascii="宋体" w:eastAsia="宋体" w:hAnsi="宋体" w:cs="宋体" w:hint="eastAsia"/>
                <w:color w:val="000000"/>
                <w:sz w:val="20"/>
                <w:szCs w:val="20"/>
              </w:rPr>
              <w:t>整改的措施与建议</w:t>
            </w:r>
            <w:r>
              <w:rPr>
                <w:rFonts w:ascii="Malgun Gothic Semilight" w:eastAsia="Malgun Gothic Semilight" w:hAnsi="Malgun Gothic Semilight" w:cs="Malgun Gothic Semilight" w:hint="eastAsia"/>
                <w:color w:val="000000"/>
                <w:sz w:val="20"/>
                <w:szCs w:val="20"/>
              </w:rPr>
              <w:t>：</w:t>
            </w:r>
          </w:p>
        </w:tc>
      </w:tr>
      <w:tr w:rsidR="001C5ADB" w:rsidTr="001A380F">
        <w:trPr>
          <w:trHeight w:val="480"/>
        </w:trPr>
        <w:tc>
          <w:tcPr>
            <w:tcW w:w="1080" w:type="dxa"/>
            <w:vMerge w:val="restart"/>
            <w:tcBorders>
              <w:top w:val="nil"/>
              <w:left w:val="single" w:sz="4" w:space="0" w:color="auto"/>
              <w:bottom w:val="single" w:sz="4" w:space="0" w:color="auto"/>
              <w:right w:val="single" w:sz="4" w:space="0" w:color="auto"/>
            </w:tcBorders>
            <w:textDirection w:val="tbRlV"/>
            <w:vAlign w:val="center"/>
          </w:tcPr>
          <w:p w:rsidR="001C5ADB" w:rsidRDefault="001C5ADB">
            <w:pPr>
              <w:jc w:val="center"/>
              <w:rPr>
                <w:rFonts w:ascii="宋体" w:eastAsia="宋体" w:cs="宋体"/>
                <w:color w:val="000000"/>
                <w:sz w:val="20"/>
                <w:szCs w:val="20"/>
              </w:rPr>
            </w:pPr>
            <w:r>
              <w:rPr>
                <w:rFonts w:cs="仿宋_GB2312" w:hint="eastAsia"/>
                <w:color w:val="000000"/>
                <w:sz w:val="20"/>
                <w:szCs w:val="20"/>
              </w:rPr>
              <w:t>年度绩效指标完成情况</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一级</w:t>
            </w:r>
            <w:r>
              <w:rPr>
                <w:color w:val="000000"/>
                <w:sz w:val="20"/>
                <w:szCs w:val="20"/>
              </w:rPr>
              <w:br/>
            </w:r>
            <w:r>
              <w:rPr>
                <w:rFonts w:ascii="宋体" w:eastAsia="宋体" w:hAnsi="宋体" w:cs="宋体" w:hint="eastAsia"/>
                <w:color w:val="000000"/>
                <w:sz w:val="20"/>
                <w:szCs w:val="20"/>
              </w:rPr>
              <w:t>指标</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二级指标</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三级指标</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分值</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年度指标值</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全年实际值</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得分</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评价得分说明</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产</w:t>
            </w:r>
            <w:r>
              <w:rPr>
                <w:sz w:val="20"/>
                <w:szCs w:val="20"/>
              </w:rPr>
              <w:br/>
            </w:r>
            <w:r>
              <w:rPr>
                <w:rFonts w:ascii="宋体" w:eastAsia="宋体" w:hAnsi="宋体" w:cs="宋体" w:hint="eastAsia"/>
                <w:sz w:val="20"/>
                <w:szCs w:val="20"/>
              </w:rPr>
              <w:t>出</w:t>
            </w:r>
            <w:r>
              <w:rPr>
                <w:sz w:val="20"/>
                <w:szCs w:val="20"/>
              </w:rPr>
              <w:br/>
            </w:r>
            <w:r>
              <w:rPr>
                <w:rFonts w:ascii="宋体" w:eastAsia="宋体" w:hAnsi="宋体" w:cs="宋体" w:hint="eastAsia"/>
                <w:sz w:val="20"/>
                <w:szCs w:val="20"/>
              </w:rPr>
              <w:t>指</w:t>
            </w:r>
            <w:r>
              <w:rPr>
                <w:sz w:val="20"/>
                <w:szCs w:val="20"/>
              </w:rPr>
              <w:br/>
            </w:r>
            <w:r>
              <w:rPr>
                <w:rFonts w:ascii="宋体" w:eastAsia="宋体" w:hAnsi="宋体" w:cs="宋体" w:hint="eastAsia"/>
                <w:sz w:val="20"/>
                <w:szCs w:val="20"/>
              </w:rPr>
              <w:t>标</w:t>
            </w:r>
            <w:r>
              <w:rPr>
                <w:sz w:val="20"/>
                <w:szCs w:val="20"/>
              </w:rPr>
              <w:br/>
              <w:t>(50</w:t>
            </w:r>
            <w:r>
              <w:rPr>
                <w:rFonts w:ascii="宋体" w:eastAsia="宋体" w:hAnsi="宋体" w:cs="宋体" w:hint="eastAsia"/>
                <w:sz w:val="20"/>
                <w:szCs w:val="20"/>
              </w:rPr>
              <w:t>分</w:t>
            </w:r>
            <w:r>
              <w:rPr>
                <w:sz w:val="20"/>
                <w:szCs w:val="20"/>
              </w:rPr>
              <w:t>)</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数量指标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全年推进派驻纪检组</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巡察机构工作</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20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定性指标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达到指标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20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派驻纪检组及巡察机构圆满完成各项工作</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质量指标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派驻纪检组</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巡察机构工作达预期效果</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定性指标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达到指标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10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派驻纪检组及巡察机构圆满完成各项工作</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时效指标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派驻组及时解决驻在单位案件</w:t>
            </w:r>
            <w:r>
              <w:rPr>
                <w:rFonts w:ascii="Malgun Gothic Semilight" w:eastAsia="Malgun Gothic Semilight" w:hAnsi="Malgun Gothic Semilight" w:cs="Malgun Gothic Semilight" w:hint="eastAsia"/>
                <w:color w:val="000000"/>
                <w:sz w:val="20"/>
                <w:szCs w:val="20"/>
              </w:rPr>
              <w:t>。</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定性指标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达到指标</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10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提升派驻纪检组案件办理效率</w:t>
            </w:r>
            <w:r>
              <w:rPr>
                <w:rFonts w:cs="仿宋_GB2312" w:hint="eastAsia"/>
                <w:color w:val="000000"/>
                <w:sz w:val="20"/>
                <w:szCs w:val="20"/>
              </w:rPr>
              <w:t xml:space="preserve">　</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成本指标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办案经费投入</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195</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82.8</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6</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案件未办结</w:t>
            </w:r>
            <w:r>
              <w:rPr>
                <w:rFonts w:ascii="Malgun Gothic Semilight" w:eastAsia="Malgun Gothic Semilight" w:hAnsi="Malgun Gothic Semilight" w:cs="Malgun Gothic Semilight" w:hint="eastAsia"/>
                <w:color w:val="000000"/>
                <w:sz w:val="20"/>
                <w:szCs w:val="20"/>
              </w:rPr>
              <w:t>，</w:t>
            </w:r>
            <w:r>
              <w:rPr>
                <w:rFonts w:ascii="宋体" w:eastAsia="宋体" w:hAnsi="宋体" w:cs="宋体" w:hint="eastAsia"/>
                <w:color w:val="000000"/>
                <w:sz w:val="20"/>
                <w:szCs w:val="20"/>
              </w:rPr>
              <w:t>无法拨付经费</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效</w:t>
            </w:r>
            <w:r>
              <w:rPr>
                <w:sz w:val="20"/>
                <w:szCs w:val="20"/>
              </w:rPr>
              <w:br/>
            </w:r>
            <w:r>
              <w:rPr>
                <w:rFonts w:ascii="宋体" w:eastAsia="宋体" w:hAnsi="宋体" w:cs="宋体" w:hint="eastAsia"/>
                <w:sz w:val="20"/>
                <w:szCs w:val="20"/>
              </w:rPr>
              <w:t>益</w:t>
            </w:r>
            <w:r>
              <w:rPr>
                <w:sz w:val="20"/>
                <w:szCs w:val="20"/>
              </w:rPr>
              <w:br/>
            </w:r>
            <w:r>
              <w:rPr>
                <w:rFonts w:ascii="宋体" w:eastAsia="宋体" w:hAnsi="宋体" w:cs="宋体" w:hint="eastAsia"/>
                <w:sz w:val="20"/>
                <w:szCs w:val="20"/>
              </w:rPr>
              <w:t>指</w:t>
            </w:r>
            <w:r>
              <w:rPr>
                <w:sz w:val="20"/>
                <w:szCs w:val="20"/>
              </w:rPr>
              <w:br/>
            </w:r>
            <w:r>
              <w:rPr>
                <w:rFonts w:ascii="宋体" w:eastAsia="宋体" w:hAnsi="宋体" w:cs="宋体" w:hint="eastAsia"/>
                <w:sz w:val="20"/>
                <w:szCs w:val="20"/>
              </w:rPr>
              <w:t>标</w:t>
            </w:r>
            <w:r>
              <w:rPr>
                <w:sz w:val="20"/>
                <w:szCs w:val="20"/>
              </w:rPr>
              <w:br/>
              <w:t>(30</w:t>
            </w:r>
            <w:r>
              <w:rPr>
                <w:rFonts w:ascii="宋体" w:eastAsia="宋体" w:hAnsi="宋体" w:cs="宋体" w:hint="eastAsia"/>
                <w:sz w:val="20"/>
                <w:szCs w:val="20"/>
              </w:rPr>
              <w:t>分</w:t>
            </w:r>
            <w:r>
              <w:rPr>
                <w:sz w:val="20"/>
                <w:szCs w:val="20"/>
              </w:rPr>
              <w:t>)</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经济效益</w:t>
            </w:r>
            <w:r>
              <w:rPr>
                <w:sz w:val="20"/>
                <w:szCs w:val="20"/>
              </w:rPr>
              <w:br/>
            </w:r>
            <w:r>
              <w:rPr>
                <w:rFonts w:ascii="宋体" w:eastAsia="宋体" w:hAnsi="宋体" w:cs="宋体" w:hint="eastAsia"/>
                <w:sz w:val="20"/>
                <w:szCs w:val="20"/>
              </w:rPr>
              <w:t>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纪检组派驻率</w:t>
            </w:r>
            <w:r>
              <w:rPr>
                <w:rFonts w:ascii="Malgun Gothic Semilight" w:eastAsia="Malgun Gothic Semilight" w:hAnsi="Malgun Gothic Semilight" w:cs="Malgun Gothic Semilight" w:hint="eastAsia"/>
                <w:color w:val="000000"/>
                <w:sz w:val="20"/>
                <w:szCs w:val="20"/>
              </w:rPr>
              <w:t>。</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100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100</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已全覆盖</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社会效益</w:t>
            </w:r>
            <w:r>
              <w:rPr>
                <w:sz w:val="20"/>
                <w:szCs w:val="20"/>
              </w:rPr>
              <w:br/>
            </w:r>
            <w:r>
              <w:rPr>
                <w:rFonts w:ascii="宋体" w:eastAsia="宋体" w:hAnsi="宋体" w:cs="宋体" w:hint="eastAsia"/>
                <w:sz w:val="20"/>
                <w:szCs w:val="20"/>
              </w:rPr>
              <w:t>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纪检组处理群众问题及时率</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sz w:val="20"/>
                <w:szCs w:val="20"/>
              </w:rPr>
              <w:t>5</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sz w:val="20"/>
                <w:szCs w:val="20"/>
              </w:rPr>
              <w:t>5</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纪检组处理群众问题及时率提升</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生态效益</w:t>
            </w:r>
            <w:r>
              <w:rPr>
                <w:sz w:val="20"/>
                <w:szCs w:val="20"/>
              </w:rPr>
              <w:br/>
            </w:r>
            <w:r>
              <w:rPr>
                <w:rFonts w:ascii="宋体" w:eastAsia="宋体" w:hAnsi="宋体" w:cs="宋体" w:hint="eastAsia"/>
                <w:sz w:val="20"/>
                <w:szCs w:val="20"/>
              </w:rPr>
              <w:t>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派驻组对开展工作便利程度</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sz w:val="20"/>
                <w:szCs w:val="20"/>
              </w:rPr>
              <w:t>5</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sz w:val="20"/>
                <w:szCs w:val="20"/>
              </w:rPr>
              <w:t>5</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纪检组及巡察机构开展工作便利程度提升</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可持续影</w:t>
            </w:r>
            <w:r>
              <w:rPr>
                <w:sz w:val="20"/>
                <w:szCs w:val="20"/>
              </w:rPr>
              <w:br/>
            </w:r>
            <w:r>
              <w:rPr>
                <w:rFonts w:ascii="宋体" w:eastAsia="宋体" w:hAnsi="宋体" w:cs="宋体" w:hint="eastAsia"/>
                <w:sz w:val="20"/>
                <w:szCs w:val="20"/>
              </w:rPr>
              <w:t>响指标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监督常态化</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70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70</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监督常态化</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满意度指标</w:t>
            </w:r>
            <w:r>
              <w:rPr>
                <w:sz w:val="20"/>
                <w:szCs w:val="20"/>
              </w:rPr>
              <w:br/>
              <w:t>(10</w:t>
            </w:r>
            <w:r>
              <w:rPr>
                <w:rFonts w:ascii="宋体" w:eastAsia="宋体" w:hAnsi="宋体" w:cs="宋体" w:hint="eastAsia"/>
                <w:sz w:val="20"/>
                <w:szCs w:val="20"/>
              </w:rPr>
              <w:t>分</w:t>
            </w:r>
            <w:r>
              <w:rPr>
                <w:sz w:val="20"/>
                <w:szCs w:val="20"/>
              </w:rPr>
              <w:t>)</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sz w:val="20"/>
                <w:szCs w:val="20"/>
              </w:rPr>
            </w:pPr>
            <w:r>
              <w:rPr>
                <w:rFonts w:ascii="宋体" w:eastAsia="宋体" w:hAnsi="宋体" w:cs="宋体" w:hint="eastAsia"/>
                <w:sz w:val="20"/>
                <w:szCs w:val="20"/>
              </w:rPr>
              <w:t>服务对象</w:t>
            </w:r>
            <w:r>
              <w:rPr>
                <w:sz w:val="20"/>
                <w:szCs w:val="20"/>
              </w:rPr>
              <w:br/>
            </w:r>
            <w:r>
              <w:rPr>
                <w:rFonts w:ascii="宋体" w:eastAsia="宋体" w:hAnsi="宋体" w:cs="宋体" w:hint="eastAsia"/>
                <w:sz w:val="20"/>
                <w:szCs w:val="20"/>
              </w:rPr>
              <w:t>满意度指标</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 xml:space="preserve"> </w:t>
            </w:r>
            <w:r>
              <w:rPr>
                <w:rFonts w:ascii="宋体" w:eastAsia="宋体" w:hAnsi="宋体" w:cs="宋体" w:hint="eastAsia"/>
                <w:color w:val="000000"/>
                <w:sz w:val="20"/>
                <w:szCs w:val="20"/>
              </w:rPr>
              <w:t>指标</w:t>
            </w:r>
            <w:r>
              <w:rPr>
                <w:color w:val="000000"/>
                <w:sz w:val="20"/>
                <w:szCs w:val="20"/>
              </w:rPr>
              <w:t>1</w:t>
            </w:r>
            <w:r>
              <w:rPr>
                <w:rFonts w:cs="仿宋_GB2312" w:hint="eastAsia"/>
                <w:color w:val="000000"/>
                <w:sz w:val="20"/>
                <w:szCs w:val="20"/>
              </w:rPr>
              <w:t>：</w:t>
            </w:r>
            <w:r>
              <w:rPr>
                <w:rFonts w:ascii="宋体" w:eastAsia="宋体" w:hAnsi="宋体" w:cs="宋体" w:hint="eastAsia"/>
                <w:color w:val="000000"/>
                <w:sz w:val="20"/>
                <w:szCs w:val="20"/>
              </w:rPr>
              <w:t>群众对派驻纪检组满意度</w:t>
            </w:r>
            <w:r>
              <w:rPr>
                <w:color w:val="000000"/>
                <w:sz w:val="20"/>
                <w:szCs w:val="20"/>
              </w:rPr>
              <w:t>90%</w:t>
            </w:r>
            <w:r>
              <w:rPr>
                <w:rFonts w:ascii="宋体" w:eastAsia="宋体" w:hAnsi="宋体" w:cs="宋体" w:hint="eastAsia"/>
                <w:color w:val="000000"/>
                <w:sz w:val="20"/>
                <w:szCs w:val="20"/>
              </w:rPr>
              <w:t>以上</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noWrap/>
            <w:vAlign w:val="center"/>
          </w:tcPr>
          <w:p w:rsidR="001C5ADB" w:rsidRDefault="001C5ADB">
            <w:pPr>
              <w:jc w:val="center"/>
              <w:rPr>
                <w:rFonts w:ascii="宋体" w:eastAsia="宋体" w:cs="宋体"/>
                <w:color w:val="000000"/>
                <w:sz w:val="20"/>
                <w:szCs w:val="20"/>
              </w:rPr>
            </w:pPr>
            <w:r>
              <w:rPr>
                <w:color w:val="000000"/>
                <w:sz w:val="20"/>
                <w:szCs w:val="20"/>
              </w:rPr>
              <w:t>90</w:t>
            </w:r>
          </w:p>
        </w:tc>
        <w:tc>
          <w:tcPr>
            <w:tcW w:w="1080" w:type="dxa"/>
            <w:vMerge w:val="restart"/>
            <w:tcBorders>
              <w:top w:val="nil"/>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color w:val="000000"/>
                <w:sz w:val="20"/>
                <w:szCs w:val="20"/>
              </w:rPr>
              <w:t>10</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ascii="宋体" w:eastAsia="宋体" w:hAnsi="宋体" w:cs="宋体" w:hint="eastAsia"/>
                <w:color w:val="000000"/>
                <w:sz w:val="20"/>
                <w:szCs w:val="20"/>
              </w:rPr>
              <w:t>群众满意度提升</w:t>
            </w: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421"/>
        </w:trPr>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C5ADB" w:rsidRDefault="001C5ADB">
            <w:pPr>
              <w:rPr>
                <w:rFonts w:ascii="宋体" w:eastAsia="宋体" w:cs="宋体"/>
                <w:color w:val="000000"/>
                <w:sz w:val="20"/>
                <w:szCs w:val="20"/>
              </w:rPr>
            </w:pPr>
          </w:p>
        </w:tc>
      </w:tr>
      <w:tr w:rsidR="001C5ADB" w:rsidTr="001A380F">
        <w:trPr>
          <w:trHeight w:val="312"/>
        </w:trPr>
        <w:tc>
          <w:tcPr>
            <w:tcW w:w="5400" w:type="dxa"/>
            <w:gridSpan w:val="5"/>
            <w:tcBorders>
              <w:top w:val="single" w:sz="4" w:space="0" w:color="auto"/>
              <w:left w:val="single" w:sz="4" w:space="0" w:color="auto"/>
              <w:bottom w:val="single" w:sz="4" w:space="0" w:color="auto"/>
              <w:right w:val="single" w:sz="4" w:space="0" w:color="auto"/>
            </w:tcBorders>
            <w:vAlign w:val="center"/>
          </w:tcPr>
          <w:p w:rsidR="001C5ADB" w:rsidRDefault="001C5ADB">
            <w:pPr>
              <w:jc w:val="center"/>
              <w:rPr>
                <w:rFonts w:ascii="宋体" w:eastAsia="宋体" w:cs="宋体"/>
                <w:b/>
                <w:bCs/>
                <w:color w:val="000000"/>
                <w:sz w:val="20"/>
                <w:szCs w:val="20"/>
              </w:rPr>
            </w:pPr>
            <w:r>
              <w:rPr>
                <w:rFonts w:ascii="宋体" w:eastAsia="宋体" w:hAnsi="宋体" w:cs="宋体" w:hint="eastAsia"/>
                <w:b/>
                <w:bCs/>
                <w:color w:val="000000"/>
                <w:sz w:val="20"/>
                <w:szCs w:val="20"/>
              </w:rPr>
              <w:t>总分</w:t>
            </w:r>
          </w:p>
        </w:tc>
        <w:tc>
          <w:tcPr>
            <w:tcW w:w="1080" w:type="dxa"/>
            <w:tcBorders>
              <w:top w:val="nil"/>
              <w:left w:val="nil"/>
              <w:bottom w:val="single" w:sz="4" w:space="0" w:color="auto"/>
              <w:right w:val="single" w:sz="4" w:space="0" w:color="auto"/>
            </w:tcBorders>
            <w:vAlign w:val="center"/>
          </w:tcPr>
          <w:p w:rsidR="001C5ADB" w:rsidRDefault="001C5ADB">
            <w:pPr>
              <w:jc w:val="center"/>
              <w:rPr>
                <w:rFonts w:ascii="宋体" w:eastAsia="宋体" w:cs="宋体"/>
                <w:b/>
                <w:bCs/>
                <w:color w:val="000000"/>
                <w:sz w:val="20"/>
                <w:szCs w:val="20"/>
              </w:rPr>
            </w:pPr>
            <w:r>
              <w:rPr>
                <w:b/>
                <w:bCs/>
                <w:color w:val="000000"/>
                <w:sz w:val="20"/>
                <w:szCs w:val="20"/>
              </w:rPr>
              <w:t>100</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b/>
                <w:bCs/>
                <w:color w:val="000000"/>
                <w:sz w:val="20"/>
                <w:szCs w:val="20"/>
              </w:rPr>
            </w:pPr>
            <w:r>
              <w:rPr>
                <w:rFonts w:cs="仿宋_GB2312" w:hint="eastAsia"/>
                <w:b/>
                <w:bCs/>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rPr>
                <w:rFonts w:ascii="宋体" w:eastAsia="宋体" w:cs="宋体"/>
                <w:b/>
                <w:bCs/>
                <w:color w:val="000000"/>
                <w:sz w:val="20"/>
                <w:szCs w:val="20"/>
              </w:rPr>
            </w:pPr>
            <w:r>
              <w:rPr>
                <w:rFonts w:cs="仿宋_GB2312" w:hint="eastAsia"/>
                <w:b/>
                <w:bCs/>
                <w:color w:val="000000"/>
                <w:sz w:val="20"/>
                <w:szCs w:val="20"/>
              </w:rPr>
              <w:t xml:space="preserve">　</w:t>
            </w:r>
          </w:p>
        </w:tc>
        <w:tc>
          <w:tcPr>
            <w:tcW w:w="1080" w:type="dxa"/>
            <w:tcBorders>
              <w:top w:val="nil"/>
              <w:left w:val="nil"/>
              <w:bottom w:val="single" w:sz="4" w:space="0" w:color="auto"/>
              <w:right w:val="single" w:sz="4" w:space="0" w:color="auto"/>
            </w:tcBorders>
            <w:vAlign w:val="center"/>
          </w:tcPr>
          <w:p w:rsidR="001C5ADB" w:rsidRDefault="001C5ADB">
            <w:pPr>
              <w:jc w:val="right"/>
              <w:rPr>
                <w:rFonts w:ascii="宋体" w:eastAsia="宋体" w:cs="宋体"/>
                <w:b/>
                <w:bCs/>
                <w:color w:val="000000"/>
                <w:sz w:val="20"/>
                <w:szCs w:val="20"/>
              </w:rPr>
            </w:pPr>
            <w:r>
              <w:rPr>
                <w:b/>
                <w:bCs/>
                <w:color w:val="000000"/>
                <w:sz w:val="20"/>
                <w:szCs w:val="20"/>
              </w:rPr>
              <w:t>96</w:t>
            </w:r>
          </w:p>
        </w:tc>
        <w:tc>
          <w:tcPr>
            <w:tcW w:w="2160" w:type="dxa"/>
            <w:gridSpan w:val="2"/>
            <w:tcBorders>
              <w:top w:val="single" w:sz="4" w:space="0" w:color="auto"/>
              <w:left w:val="nil"/>
              <w:bottom w:val="single" w:sz="4" w:space="0" w:color="auto"/>
              <w:right w:val="single" w:sz="4" w:space="0" w:color="auto"/>
            </w:tcBorders>
            <w:vAlign w:val="center"/>
          </w:tcPr>
          <w:p w:rsidR="001C5ADB" w:rsidRDefault="001C5ADB">
            <w:pPr>
              <w:jc w:val="center"/>
              <w:rPr>
                <w:rFonts w:ascii="宋体" w:eastAsia="宋体" w:cs="宋体"/>
                <w:color w:val="000000"/>
                <w:sz w:val="20"/>
                <w:szCs w:val="20"/>
              </w:rPr>
            </w:pPr>
            <w:r>
              <w:rPr>
                <w:rFonts w:cs="仿宋_GB2312" w:hint="eastAsia"/>
                <w:color w:val="000000"/>
                <w:sz w:val="20"/>
                <w:szCs w:val="20"/>
              </w:rPr>
              <w:t xml:space="preserve">　</w:t>
            </w:r>
          </w:p>
        </w:tc>
      </w:tr>
      <w:tr w:rsidR="001C5ADB" w:rsidTr="001A380F">
        <w:trPr>
          <w:trHeight w:val="780"/>
        </w:trPr>
        <w:tc>
          <w:tcPr>
            <w:tcW w:w="11880" w:type="dxa"/>
            <w:gridSpan w:val="11"/>
            <w:tcBorders>
              <w:top w:val="single" w:sz="4" w:space="0" w:color="auto"/>
              <w:left w:val="nil"/>
              <w:bottom w:val="nil"/>
              <w:right w:val="nil"/>
            </w:tcBorders>
            <w:vAlign w:val="center"/>
          </w:tcPr>
          <w:p w:rsidR="001C5ADB" w:rsidRDefault="001C5ADB">
            <w:pPr>
              <w:rPr>
                <w:rFonts w:ascii="宋体" w:eastAsia="宋体" w:cs="宋体"/>
                <w:color w:val="000000"/>
                <w:sz w:val="18"/>
                <w:szCs w:val="18"/>
              </w:rPr>
            </w:pPr>
            <w:r>
              <w:rPr>
                <w:rFonts w:ascii="宋体" w:eastAsia="宋体" w:hAnsi="宋体" w:cs="宋体" w:hint="eastAsia"/>
                <w:color w:val="000000"/>
                <w:sz w:val="18"/>
                <w:szCs w:val="18"/>
              </w:rPr>
              <w:t>注</w:t>
            </w:r>
            <w:r>
              <w:rPr>
                <w:rFonts w:ascii="Malgun Gothic Semilight" w:eastAsia="Malgun Gothic Semilight" w:hAnsi="Malgun Gothic Semilight" w:cs="Malgun Gothic Semilight" w:hint="eastAsia"/>
                <w:color w:val="000000"/>
                <w:sz w:val="18"/>
                <w:szCs w:val="18"/>
              </w:rPr>
              <w:t>：</w:t>
            </w:r>
            <w:r>
              <w:rPr>
                <w:color w:val="000000"/>
                <w:sz w:val="18"/>
                <w:szCs w:val="18"/>
              </w:rPr>
              <w:t>1.</w:t>
            </w:r>
            <w:r>
              <w:rPr>
                <w:rFonts w:ascii="宋体" w:eastAsia="宋体" w:hAnsi="宋体" w:cs="宋体" w:hint="eastAsia"/>
                <w:color w:val="000000"/>
                <w:sz w:val="18"/>
                <w:szCs w:val="18"/>
              </w:rPr>
              <w:t>一级指标分值统一设置为</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产出指标</w:t>
            </w:r>
            <w:r>
              <w:rPr>
                <w:color w:val="000000"/>
                <w:sz w:val="18"/>
                <w:szCs w:val="18"/>
              </w:rPr>
              <w:t>50</w:t>
            </w:r>
            <w:r>
              <w:rPr>
                <w:rFonts w:ascii="宋体" w:eastAsia="宋体" w:hAnsi="宋体" w:cs="宋体"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效益指标</w:t>
            </w:r>
            <w:r>
              <w:rPr>
                <w:color w:val="000000"/>
                <w:sz w:val="18"/>
                <w:szCs w:val="18"/>
              </w:rPr>
              <w:t>30</w:t>
            </w:r>
            <w:r>
              <w:rPr>
                <w:rFonts w:ascii="宋体" w:eastAsia="宋体" w:hAnsi="宋体" w:cs="宋体"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服务对象满意度指标</w:t>
            </w:r>
            <w:r>
              <w:rPr>
                <w:color w:val="000000"/>
                <w:sz w:val="18"/>
                <w:szCs w:val="18"/>
              </w:rPr>
              <w:t>10</w:t>
            </w:r>
            <w:r>
              <w:rPr>
                <w:rFonts w:ascii="宋体" w:eastAsia="宋体" w:hAnsi="宋体" w:cs="宋体"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预算资金执行率</w:t>
            </w:r>
            <w:r>
              <w:rPr>
                <w:color w:val="000000"/>
                <w:sz w:val="18"/>
                <w:szCs w:val="18"/>
              </w:rPr>
              <w:t>10</w:t>
            </w:r>
            <w:r>
              <w:rPr>
                <w:rFonts w:ascii="宋体" w:eastAsia="宋体" w:hAnsi="宋体" w:cs="宋体"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如有特殊情况</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上述权重可做适当调整</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但加总后应等于</w:t>
            </w:r>
            <w:r>
              <w:rPr>
                <w:color w:val="000000"/>
                <w:sz w:val="18"/>
                <w:szCs w:val="18"/>
              </w:rPr>
              <w:t>100</w:t>
            </w:r>
            <w:r>
              <w:rPr>
                <w:rFonts w:ascii="宋体" w:eastAsia="宋体" w:hAnsi="宋体" w:cs="宋体" w:hint="eastAsia"/>
                <w:color w:val="000000"/>
                <w:sz w:val="18"/>
                <w:szCs w:val="18"/>
              </w:rPr>
              <w:t>分</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各部门根据各项指标重要程度确定三级指标的分值</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得分一档最高不能超过该指标分值上限</w:t>
            </w:r>
            <w:r>
              <w:rPr>
                <w:rFonts w:ascii="Malgun Gothic Semilight" w:eastAsia="Malgun Gothic Semilight" w:hAnsi="Malgun Gothic Semilight" w:cs="Malgun Gothic Semilight" w:hint="eastAsia"/>
                <w:color w:val="000000"/>
                <w:sz w:val="18"/>
                <w:szCs w:val="18"/>
              </w:rPr>
              <w:t>。</w:t>
            </w:r>
          </w:p>
        </w:tc>
      </w:tr>
      <w:tr w:rsidR="001C5ADB" w:rsidTr="001A380F">
        <w:trPr>
          <w:trHeight w:val="639"/>
        </w:trPr>
        <w:tc>
          <w:tcPr>
            <w:tcW w:w="11880" w:type="dxa"/>
            <w:gridSpan w:val="11"/>
            <w:tcBorders>
              <w:top w:val="nil"/>
              <w:left w:val="nil"/>
              <w:bottom w:val="nil"/>
              <w:right w:val="nil"/>
            </w:tcBorders>
            <w:vAlign w:val="center"/>
          </w:tcPr>
          <w:p w:rsidR="001C5ADB" w:rsidRDefault="001C5ADB">
            <w:pPr>
              <w:rPr>
                <w:rFonts w:ascii="宋体" w:eastAsia="宋体" w:cs="宋体"/>
                <w:color w:val="000000"/>
                <w:sz w:val="18"/>
                <w:szCs w:val="18"/>
              </w:rPr>
            </w:pPr>
            <w:r>
              <w:rPr>
                <w:color w:val="000000"/>
                <w:sz w:val="18"/>
                <w:szCs w:val="18"/>
              </w:rPr>
              <w:t xml:space="preserve">    2.</w:t>
            </w:r>
            <w:r>
              <w:rPr>
                <w:rFonts w:ascii="宋体" w:eastAsia="宋体" w:hAnsi="宋体" w:cs="宋体" w:hint="eastAsia"/>
                <w:color w:val="000000"/>
                <w:sz w:val="18"/>
                <w:szCs w:val="18"/>
              </w:rPr>
              <w:t>定性指标根据指标完成情况分为</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达成预期指标</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部分达成预期指标并具有一定效果</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未达成预期指标且效果较差三档</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分别按照该指标对应分值区间</w:t>
            </w:r>
            <w:r>
              <w:rPr>
                <w:color w:val="000000"/>
                <w:sz w:val="18"/>
                <w:szCs w:val="18"/>
              </w:rPr>
              <w:t>100-80%(</w:t>
            </w:r>
            <w:r>
              <w:rPr>
                <w:rFonts w:ascii="宋体" w:eastAsia="宋体" w:hAnsi="宋体" w:cs="宋体" w:hint="eastAsia"/>
                <w:color w:val="000000"/>
                <w:sz w:val="18"/>
                <w:szCs w:val="18"/>
              </w:rPr>
              <w:t>含</w:t>
            </w:r>
            <w:r>
              <w:rPr>
                <w:color w:val="000000"/>
                <w:sz w:val="18"/>
                <w:szCs w:val="18"/>
              </w:rPr>
              <w:t>80%)</w:t>
            </w:r>
            <w:r>
              <w:rPr>
                <w:rFonts w:cs="仿宋_GB2312" w:hint="eastAsia"/>
                <w:color w:val="000000"/>
                <w:sz w:val="18"/>
                <w:szCs w:val="18"/>
              </w:rPr>
              <w:t>、</w:t>
            </w:r>
            <w:r>
              <w:rPr>
                <w:color w:val="000000"/>
                <w:sz w:val="18"/>
                <w:szCs w:val="18"/>
              </w:rPr>
              <w:t>80-60%(</w:t>
            </w:r>
            <w:r>
              <w:rPr>
                <w:rFonts w:ascii="宋体" w:eastAsia="宋体" w:hAnsi="宋体" w:cs="宋体" w:hint="eastAsia"/>
                <w:color w:val="000000"/>
                <w:sz w:val="18"/>
                <w:szCs w:val="18"/>
              </w:rPr>
              <w:t>含</w:t>
            </w:r>
            <w:r>
              <w:rPr>
                <w:color w:val="000000"/>
                <w:sz w:val="18"/>
                <w:szCs w:val="18"/>
              </w:rPr>
              <w:t>50%)</w:t>
            </w:r>
            <w:r>
              <w:rPr>
                <w:rFonts w:cs="仿宋_GB2312" w:hint="eastAsia"/>
                <w:color w:val="000000"/>
                <w:sz w:val="18"/>
                <w:szCs w:val="18"/>
              </w:rPr>
              <w:t>、</w:t>
            </w:r>
            <w:r>
              <w:rPr>
                <w:color w:val="000000"/>
                <w:sz w:val="18"/>
                <w:szCs w:val="18"/>
              </w:rPr>
              <w:t>60-0%</w:t>
            </w:r>
            <w:r>
              <w:rPr>
                <w:rFonts w:ascii="宋体" w:eastAsia="宋体" w:hAnsi="宋体" w:cs="宋体" w:hint="eastAsia"/>
                <w:color w:val="000000"/>
                <w:sz w:val="18"/>
                <w:szCs w:val="18"/>
              </w:rPr>
              <w:t>合理确定分值</w:t>
            </w:r>
            <w:r>
              <w:rPr>
                <w:rFonts w:ascii="Malgun Gothic Semilight" w:eastAsia="Malgun Gothic Semilight" w:hAnsi="Malgun Gothic Semilight" w:cs="Malgun Gothic Semilight" w:hint="eastAsia"/>
                <w:color w:val="000000"/>
                <w:sz w:val="18"/>
                <w:szCs w:val="18"/>
              </w:rPr>
              <w:t>。</w:t>
            </w:r>
          </w:p>
        </w:tc>
      </w:tr>
      <w:tr w:rsidR="001C5ADB" w:rsidTr="001A380F">
        <w:trPr>
          <w:trHeight w:val="1020"/>
        </w:trPr>
        <w:tc>
          <w:tcPr>
            <w:tcW w:w="11880" w:type="dxa"/>
            <w:gridSpan w:val="11"/>
            <w:tcBorders>
              <w:top w:val="nil"/>
              <w:left w:val="nil"/>
              <w:bottom w:val="nil"/>
              <w:right w:val="nil"/>
            </w:tcBorders>
          </w:tcPr>
          <w:p w:rsidR="001C5ADB" w:rsidRDefault="001C5ADB">
            <w:pPr>
              <w:rPr>
                <w:rFonts w:ascii="宋体" w:eastAsia="宋体" w:cs="宋体"/>
                <w:color w:val="000000"/>
                <w:sz w:val="18"/>
                <w:szCs w:val="18"/>
              </w:rPr>
            </w:pPr>
            <w:r>
              <w:rPr>
                <w:color w:val="000000"/>
                <w:sz w:val="18"/>
                <w:szCs w:val="18"/>
              </w:rPr>
              <w:t xml:space="preserve">    3.</w:t>
            </w:r>
            <w:r>
              <w:rPr>
                <w:rFonts w:ascii="宋体" w:eastAsia="宋体" w:hAnsi="宋体" w:cs="宋体" w:hint="eastAsia"/>
                <w:color w:val="000000"/>
                <w:sz w:val="18"/>
                <w:szCs w:val="18"/>
              </w:rPr>
              <w:t>定量指标若为正向指标</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即指标值为</w:t>
            </w:r>
            <w:r>
              <w:rPr>
                <w:rFonts w:ascii="Malgun Gothic Semilight" w:eastAsia="Malgun Gothic Semilight" w:hAnsi="Malgun Gothic Semilight" w:cs="Malgun Gothic Semilight" w:hint="eastAsia"/>
                <w:color w:val="000000"/>
                <w:sz w:val="18"/>
                <w:szCs w:val="18"/>
              </w:rPr>
              <w:t>≥</w:t>
            </w:r>
            <w:r>
              <w:rPr>
                <w:color w:val="000000"/>
                <w:sz w:val="18"/>
                <w:szCs w:val="18"/>
              </w:rPr>
              <w:t>*</w:t>
            </w:r>
            <w:r>
              <w:rPr>
                <w:rFonts w:cs="仿宋_GB2312" w:hint="eastAsia"/>
                <w:color w:val="000000"/>
                <w:sz w:val="18"/>
                <w:szCs w:val="18"/>
              </w:rPr>
              <w:t>），</w:t>
            </w:r>
            <w:r>
              <w:rPr>
                <w:rFonts w:ascii="宋体" w:eastAsia="宋体" w:hAnsi="宋体" w:cs="宋体" w:hint="eastAsia"/>
                <w:color w:val="000000"/>
                <w:sz w:val="18"/>
                <w:szCs w:val="18"/>
              </w:rPr>
              <w:t>则得分计算方法应用全年实际值</w:t>
            </w:r>
            <w:r>
              <w:rPr>
                <w:color w:val="000000"/>
                <w:sz w:val="18"/>
                <w:szCs w:val="18"/>
              </w:rPr>
              <w:t>/</w:t>
            </w:r>
            <w:r>
              <w:rPr>
                <w:rFonts w:ascii="宋体" w:eastAsia="宋体" w:hAnsi="宋体" w:cs="宋体" w:hint="eastAsia"/>
                <w:color w:val="000000"/>
                <w:sz w:val="18"/>
                <w:szCs w:val="18"/>
              </w:rPr>
              <w:t>年度指标值</w:t>
            </w:r>
            <w:r>
              <w:rPr>
                <w:rFonts w:ascii="宋体" w:eastAsia="宋体" w:hAnsi="宋体" w:cs="宋体" w:hint="eastAsia"/>
                <w:color w:val="000000"/>
                <w:sz w:val="12"/>
                <w:szCs w:val="12"/>
              </w:rPr>
              <w:t>╳</w:t>
            </w:r>
            <w:r>
              <w:rPr>
                <w:rFonts w:ascii="宋体" w:eastAsia="宋体" w:hAnsi="宋体" w:cs="宋体" w:hint="eastAsia"/>
                <w:color w:val="000000"/>
                <w:sz w:val="18"/>
                <w:szCs w:val="18"/>
              </w:rPr>
              <w:t>该指标分值</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若定量指标为反向指标</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即指标值为</w:t>
            </w:r>
            <w:r>
              <w:rPr>
                <w:rFonts w:ascii="Malgun Gothic Semilight" w:eastAsia="Malgun Gothic Semilight" w:hAnsi="Malgun Gothic Semilight" w:cs="Malgun Gothic Semilight" w:hint="eastAsia"/>
                <w:color w:val="000000"/>
                <w:sz w:val="18"/>
                <w:szCs w:val="18"/>
              </w:rPr>
              <w:t>≤</w:t>
            </w:r>
            <w:r>
              <w:rPr>
                <w:color w:val="000000"/>
                <w:sz w:val="18"/>
                <w:szCs w:val="18"/>
              </w:rPr>
              <w:t>*</w:t>
            </w:r>
            <w:r>
              <w:rPr>
                <w:rFonts w:cs="仿宋_GB2312" w:hint="eastAsia"/>
                <w:color w:val="000000"/>
                <w:sz w:val="18"/>
                <w:szCs w:val="18"/>
              </w:rPr>
              <w:t>），</w:t>
            </w:r>
            <w:r>
              <w:rPr>
                <w:rFonts w:ascii="宋体" w:eastAsia="宋体" w:hAnsi="宋体" w:cs="宋体" w:hint="eastAsia"/>
                <w:color w:val="000000"/>
                <w:sz w:val="18"/>
                <w:szCs w:val="18"/>
              </w:rPr>
              <w:t>则得分计算方法应用年度指标值</w:t>
            </w:r>
            <w:r>
              <w:rPr>
                <w:color w:val="000000"/>
                <w:sz w:val="18"/>
                <w:szCs w:val="18"/>
              </w:rPr>
              <w:t>/</w:t>
            </w:r>
            <w:r>
              <w:rPr>
                <w:rFonts w:ascii="宋体" w:eastAsia="宋体" w:hAnsi="宋体" w:cs="宋体" w:hint="eastAsia"/>
                <w:color w:val="000000"/>
                <w:sz w:val="18"/>
                <w:szCs w:val="18"/>
              </w:rPr>
              <w:t>全年实际值</w:t>
            </w:r>
            <w:r>
              <w:rPr>
                <w:rFonts w:ascii="宋体" w:eastAsia="宋体" w:hAnsi="宋体" w:cs="宋体" w:hint="eastAsia"/>
                <w:color w:val="000000"/>
                <w:sz w:val="12"/>
                <w:szCs w:val="12"/>
              </w:rPr>
              <w:t>╳</w:t>
            </w:r>
            <w:r>
              <w:rPr>
                <w:rFonts w:ascii="宋体" w:eastAsia="宋体" w:hAnsi="宋体" w:cs="宋体" w:hint="eastAsia"/>
                <w:color w:val="000000"/>
                <w:sz w:val="18"/>
                <w:szCs w:val="18"/>
              </w:rPr>
              <w:t>该指标分值</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定量指标得分最高不得超过该指标分值上限</w:t>
            </w:r>
            <w:r>
              <w:rPr>
                <w:rFonts w:ascii="Malgun Gothic Semilight" w:eastAsia="Malgun Gothic Semilight" w:hAnsi="Malgun Gothic Semilight" w:cs="Malgun Gothic Semilight" w:hint="eastAsia"/>
                <w:color w:val="000000"/>
                <w:sz w:val="18"/>
                <w:szCs w:val="18"/>
              </w:rPr>
              <w:t>。</w:t>
            </w:r>
            <w:r>
              <w:rPr>
                <w:color w:val="000000"/>
                <w:sz w:val="18"/>
                <w:szCs w:val="18"/>
              </w:rPr>
              <w:br/>
              <w:t xml:space="preserve">    4.</w:t>
            </w:r>
            <w:r>
              <w:rPr>
                <w:rFonts w:ascii="宋体" w:eastAsia="宋体" w:hAnsi="宋体" w:cs="宋体" w:hint="eastAsia"/>
                <w:color w:val="000000"/>
                <w:sz w:val="18"/>
                <w:szCs w:val="18"/>
              </w:rPr>
              <w:t>评价得分说明</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说明全年实际值与年度指标值偏离情况</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未达</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持平</w:t>
            </w:r>
            <w:r>
              <w:rPr>
                <w:rFonts w:ascii="Malgun Gothic Semilight" w:eastAsia="Malgun Gothic Semilight" w:hAnsi="Malgun Gothic Semilight" w:cs="Malgun Gothic Semilight" w:hint="eastAsia"/>
                <w:color w:val="000000"/>
                <w:sz w:val="18"/>
                <w:szCs w:val="18"/>
              </w:rPr>
              <w:t>、</w:t>
            </w:r>
            <w:r>
              <w:rPr>
                <w:rFonts w:ascii="宋体" w:eastAsia="宋体" w:hAnsi="宋体" w:cs="宋体" w:hint="eastAsia"/>
                <w:color w:val="000000"/>
                <w:sz w:val="18"/>
                <w:szCs w:val="18"/>
              </w:rPr>
              <w:t>超额</w:t>
            </w:r>
            <w:r>
              <w:rPr>
                <w:rFonts w:ascii="Malgun Gothic Semilight" w:eastAsia="Malgun Gothic Semilight" w:hAnsi="Malgun Gothic Semilight" w:cs="Malgun Gothic Semilight" w:hint="eastAsia"/>
                <w:color w:val="000000"/>
                <w:sz w:val="18"/>
                <w:szCs w:val="18"/>
              </w:rPr>
              <w:t>）。</w:t>
            </w:r>
          </w:p>
        </w:tc>
      </w:tr>
    </w:tbl>
    <w:p w:rsidR="001C5ADB" w:rsidRDefault="001C5ADB">
      <w:pPr>
        <w:spacing w:line="560" w:lineRule="exact"/>
        <w:rPr>
          <w:rFonts w:ascii="黑体" w:eastAsia="黑体" w:hAnsi="黑体"/>
        </w:rPr>
        <w:sectPr w:rsidR="001C5ADB">
          <w:pgSz w:w="16838" w:h="11906" w:orient="landscape"/>
          <w:pgMar w:top="1531" w:right="1928" w:bottom="1531" w:left="1701" w:header="737" w:footer="850" w:gutter="0"/>
          <w:cols w:space="0"/>
          <w:docGrid w:type="lines" w:linePitch="421"/>
        </w:sectPr>
      </w:pPr>
    </w:p>
    <w:p w:rsidR="001C5ADB" w:rsidRDefault="001C5ADB" w:rsidP="00A14993">
      <w:pPr>
        <w:spacing w:line="600" w:lineRule="exact"/>
        <w:ind w:firstLineChars="200" w:firstLine="31680"/>
        <w:rPr>
          <w:rFonts w:ascii="黑体" w:eastAsia="黑体" w:hAnsi="黑体"/>
        </w:rPr>
      </w:pPr>
      <w:r>
        <w:rPr>
          <w:rFonts w:ascii="黑体" w:eastAsia="黑体" w:hAnsi="黑体" w:cs="黑体" w:hint="eastAsia"/>
        </w:rPr>
        <w:t>四、绩效评价指标分析</w:t>
      </w:r>
    </w:p>
    <w:p w:rsidR="001C5ADB" w:rsidRDefault="001C5ADB" w:rsidP="00A14993">
      <w:pPr>
        <w:spacing w:line="600" w:lineRule="exact"/>
        <w:ind w:firstLineChars="200" w:firstLine="31680"/>
        <w:outlineLvl w:val="0"/>
        <w:rPr>
          <w:rFonts w:ascii="仿宋_GB2312"/>
          <w:sz w:val="32"/>
          <w:szCs w:val="32"/>
        </w:rPr>
      </w:pPr>
      <w:r>
        <w:rPr>
          <w:rFonts w:ascii="仿宋_GB2312" w:cs="仿宋_GB2312" w:hint="eastAsia"/>
          <w:sz w:val="32"/>
          <w:szCs w:val="32"/>
        </w:rPr>
        <w:t>（一）项目决策情况。</w:t>
      </w:r>
    </w:p>
    <w:p w:rsidR="001C5ADB" w:rsidRDefault="001C5ADB" w:rsidP="00A14993">
      <w:pPr>
        <w:spacing w:line="600" w:lineRule="exact"/>
        <w:ind w:firstLineChars="200" w:firstLine="31680"/>
        <w:outlineLvl w:val="0"/>
        <w:rPr>
          <w:rFonts w:ascii="仿宋_GB2312"/>
          <w:sz w:val="32"/>
          <w:szCs w:val="32"/>
        </w:rPr>
      </w:pPr>
      <w:r>
        <w:rPr>
          <w:rFonts w:ascii="仿宋_GB2312" w:hAnsi="仿宋_GB2312" w:cs="仿宋_GB2312" w:hint="eastAsia"/>
          <w:color w:val="333333"/>
          <w:sz w:val="32"/>
          <w:szCs w:val="32"/>
          <w:shd w:val="clear" w:color="auto" w:fill="FFFFFF"/>
        </w:rPr>
        <w:t>凤台县纪委监委项目决策在科学的理论和方法指导下，进行细致深入调查和论证，作出科学决策。</w:t>
      </w:r>
    </w:p>
    <w:p w:rsidR="001C5ADB" w:rsidRDefault="001C5ADB" w:rsidP="00A14993">
      <w:pPr>
        <w:spacing w:line="600" w:lineRule="exact"/>
        <w:ind w:firstLineChars="200" w:firstLine="31680"/>
        <w:outlineLvl w:val="0"/>
        <w:rPr>
          <w:rFonts w:ascii="仿宋_GB2312"/>
          <w:sz w:val="32"/>
          <w:szCs w:val="32"/>
        </w:rPr>
      </w:pPr>
      <w:r>
        <w:rPr>
          <w:rFonts w:ascii="仿宋_GB2312" w:cs="仿宋_GB2312" w:hint="eastAsia"/>
          <w:sz w:val="32"/>
          <w:szCs w:val="32"/>
        </w:rPr>
        <w:t>（二）项目过程情况。</w:t>
      </w:r>
    </w:p>
    <w:p w:rsidR="001C5ADB" w:rsidRDefault="001C5ADB" w:rsidP="00A14993">
      <w:pPr>
        <w:spacing w:line="600" w:lineRule="exact"/>
        <w:ind w:firstLineChars="200" w:firstLine="31680"/>
        <w:outlineLvl w:val="0"/>
        <w:rPr>
          <w:rFonts w:ascii="仿宋_GB2312"/>
          <w:sz w:val="32"/>
          <w:szCs w:val="32"/>
        </w:rPr>
      </w:pPr>
      <w:r>
        <w:rPr>
          <w:rFonts w:ascii="仿宋_GB2312" w:cs="仿宋_GB2312" w:hint="eastAsia"/>
          <w:sz w:val="32"/>
          <w:szCs w:val="32"/>
        </w:rPr>
        <w:t>项目从年初开始，贯穿全年</w:t>
      </w:r>
      <w:r>
        <w:rPr>
          <w:rFonts w:ascii="仿宋_GB2312" w:hAnsi="仿宋_GB2312" w:cs="仿宋_GB2312" w:hint="eastAsia"/>
          <w:sz w:val="32"/>
          <w:szCs w:val="32"/>
        </w:rPr>
        <w:t>围绕服务执纪监督、审查调查工作，履行</w:t>
      </w:r>
      <w:r w:rsidRPr="00FD5656">
        <w:rPr>
          <w:rFonts w:ascii="仿宋_GB2312" w:hAnsi="仿宋_GB2312" w:cs="仿宋_GB2312" w:hint="eastAsia"/>
          <w:sz w:val="32"/>
          <w:szCs w:val="32"/>
        </w:rPr>
        <w:t>保障派驻县直纪检组及县委巡察机构工作所需物品及服务，提升工作能力的职能</w:t>
      </w:r>
      <w:r>
        <w:rPr>
          <w:rFonts w:ascii="仿宋_GB2312" w:hAnsi="仿宋_GB2312" w:cs="仿宋_GB2312" w:hint="eastAsia"/>
          <w:sz w:val="32"/>
          <w:szCs w:val="32"/>
        </w:rPr>
        <w:t>。</w:t>
      </w:r>
    </w:p>
    <w:p w:rsidR="001C5ADB" w:rsidRDefault="001C5ADB" w:rsidP="00A14993">
      <w:pPr>
        <w:spacing w:line="600" w:lineRule="exact"/>
        <w:ind w:firstLineChars="200" w:firstLine="31680"/>
        <w:outlineLvl w:val="0"/>
        <w:rPr>
          <w:rFonts w:ascii="仿宋_GB2312"/>
          <w:sz w:val="32"/>
          <w:szCs w:val="32"/>
        </w:rPr>
      </w:pPr>
      <w:r>
        <w:rPr>
          <w:rFonts w:ascii="仿宋_GB2312" w:cs="仿宋_GB2312" w:hint="eastAsia"/>
          <w:sz w:val="32"/>
          <w:szCs w:val="32"/>
        </w:rPr>
        <w:t>（三）项目产出情况。</w:t>
      </w:r>
    </w:p>
    <w:p w:rsidR="001C5ADB" w:rsidRDefault="001C5ADB" w:rsidP="00A14993">
      <w:pPr>
        <w:spacing w:line="360" w:lineRule="auto"/>
        <w:ind w:firstLineChars="200" w:firstLine="31680"/>
        <w:rPr>
          <w:rFonts w:ascii="仿宋_GB2312"/>
          <w:sz w:val="32"/>
          <w:szCs w:val="32"/>
        </w:rPr>
      </w:pPr>
      <w:r>
        <w:rPr>
          <w:rFonts w:ascii="仿宋_GB2312" w:hAnsi="仿宋_GB2312" w:cs="仿宋_GB2312" w:hint="eastAsia"/>
          <w:sz w:val="32"/>
          <w:szCs w:val="32"/>
        </w:rPr>
        <w:t>纪检监察工作顺利推进；审查调查专用</w:t>
      </w:r>
      <w:r w:rsidRPr="00133B5E">
        <w:rPr>
          <w:rFonts w:ascii="仿宋_GB2312" w:hAnsi="仿宋_GB2312" w:cs="仿宋_GB2312" w:hint="eastAsia"/>
          <w:sz w:val="32"/>
          <w:szCs w:val="32"/>
        </w:rPr>
        <w:t>工作所需物品与服务</w:t>
      </w:r>
      <w:r>
        <w:rPr>
          <w:rFonts w:ascii="仿宋_GB2312" w:hAnsi="仿宋_GB2312" w:cs="仿宋_GB2312" w:hint="eastAsia"/>
          <w:sz w:val="32"/>
          <w:szCs w:val="32"/>
        </w:rPr>
        <w:t>保障；委机关办公设备采购；办公协作智能化等。</w:t>
      </w:r>
    </w:p>
    <w:p w:rsidR="001C5ADB" w:rsidRDefault="001C5ADB" w:rsidP="00A14993">
      <w:pPr>
        <w:spacing w:line="600" w:lineRule="exact"/>
        <w:ind w:firstLineChars="200" w:firstLine="31680"/>
        <w:outlineLvl w:val="0"/>
        <w:rPr>
          <w:rFonts w:ascii="仿宋_GB2312"/>
          <w:sz w:val="32"/>
          <w:szCs w:val="32"/>
        </w:rPr>
      </w:pPr>
      <w:r>
        <w:rPr>
          <w:rFonts w:ascii="仿宋_GB2312" w:cs="仿宋_GB2312" w:hint="eastAsia"/>
          <w:sz w:val="32"/>
          <w:szCs w:val="32"/>
        </w:rPr>
        <w:t>（四）项目效益情况。</w:t>
      </w:r>
    </w:p>
    <w:p w:rsidR="001C5ADB" w:rsidRDefault="001C5ADB" w:rsidP="00A14993">
      <w:pPr>
        <w:spacing w:line="600" w:lineRule="exact"/>
        <w:ind w:firstLineChars="200" w:firstLine="31680"/>
        <w:outlineLvl w:val="0"/>
        <w:rPr>
          <w:rFonts w:ascii="仿宋_GB2312"/>
          <w:color w:val="000000"/>
          <w:kern w:val="0"/>
          <w:sz w:val="32"/>
          <w:szCs w:val="32"/>
        </w:rPr>
      </w:pPr>
      <w:r>
        <w:rPr>
          <w:rFonts w:ascii="仿宋_GB2312" w:hAnsi="仿宋_GB2312" w:cs="仿宋_GB2312" w:hint="eastAsia"/>
          <w:sz w:val="32"/>
          <w:szCs w:val="32"/>
        </w:rPr>
        <w:t>通过项目开展，</w:t>
      </w:r>
      <w:r>
        <w:rPr>
          <w:rFonts w:ascii="仿宋_GB2312" w:cs="仿宋_GB2312" w:hint="eastAsia"/>
          <w:sz w:val="32"/>
          <w:szCs w:val="32"/>
        </w:rPr>
        <w:t>提高全县纪检监察</w:t>
      </w:r>
      <w:r>
        <w:rPr>
          <w:rFonts w:ascii="宋体" w:eastAsia="宋体" w:hAnsi="宋体" w:cs="宋体" w:hint="eastAsia"/>
          <w:sz w:val="32"/>
          <w:szCs w:val="32"/>
        </w:rPr>
        <w:t>工作</w:t>
      </w:r>
      <w:r w:rsidRPr="00133B5E">
        <w:rPr>
          <w:rFonts w:ascii="仿宋_GB2312" w:cs="仿宋_GB2312" w:hint="eastAsia"/>
          <w:sz w:val="32"/>
          <w:szCs w:val="32"/>
        </w:rPr>
        <w:t>办案</w:t>
      </w:r>
      <w:r>
        <w:rPr>
          <w:rFonts w:ascii="仿宋_GB2312" w:cs="仿宋_GB2312" w:hint="eastAsia"/>
          <w:sz w:val="32"/>
          <w:szCs w:val="32"/>
        </w:rPr>
        <w:t>水平</w:t>
      </w:r>
      <w:r>
        <w:rPr>
          <w:rFonts w:ascii="仿宋_GB2312" w:hAnsi="仿宋_GB2312" w:cs="仿宋_GB2312" w:hint="eastAsia"/>
          <w:color w:val="000000"/>
          <w:kern w:val="0"/>
          <w:sz w:val="32"/>
          <w:szCs w:val="32"/>
        </w:rPr>
        <w:t>。</w:t>
      </w:r>
    </w:p>
    <w:p w:rsidR="001C5ADB" w:rsidRDefault="001C5ADB" w:rsidP="00A14993">
      <w:pPr>
        <w:spacing w:line="600" w:lineRule="exact"/>
        <w:ind w:firstLineChars="200" w:firstLine="31680"/>
        <w:outlineLvl w:val="0"/>
        <w:rPr>
          <w:rFonts w:ascii="黑体" w:eastAsia="黑体" w:hAnsi="黑体"/>
        </w:rPr>
      </w:pPr>
      <w:r>
        <w:rPr>
          <w:rFonts w:ascii="黑体" w:eastAsia="黑体" w:hAnsi="黑体" w:cs="黑体" w:hint="eastAsia"/>
        </w:rPr>
        <w:t>五、主要经验及做法、存在的问题及原因分析</w:t>
      </w:r>
    </w:p>
    <w:p w:rsidR="001C5ADB" w:rsidRDefault="001C5ADB" w:rsidP="00A14993">
      <w:pPr>
        <w:spacing w:line="600" w:lineRule="exact"/>
        <w:ind w:firstLineChars="200" w:firstLine="31680"/>
        <w:outlineLvl w:val="0"/>
        <w:rPr>
          <w:rFonts w:ascii="仿宋_GB2312"/>
          <w:sz w:val="32"/>
          <w:szCs w:val="32"/>
        </w:rPr>
      </w:pPr>
      <w:r>
        <w:rPr>
          <w:rFonts w:ascii="仿宋_GB2312" w:hAnsi="仿宋_GB2312" w:cs="仿宋_GB2312" w:hint="eastAsia"/>
          <w:sz w:val="32"/>
          <w:szCs w:val="32"/>
        </w:rPr>
        <w:t>存在问题：第一，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第三，对项目支出绩效评价的内容上还有待于进一步完善。缺乏科学、完善的项目支出绩效评价会为机关、事业单位的绩效评价工作带来很大的弊端。</w:t>
      </w:r>
    </w:p>
    <w:p w:rsidR="001C5ADB" w:rsidRDefault="001C5ADB" w:rsidP="00A14993">
      <w:pPr>
        <w:spacing w:line="600" w:lineRule="exact"/>
        <w:ind w:firstLineChars="200" w:firstLine="31680"/>
        <w:rPr>
          <w:rFonts w:ascii="黑体" w:eastAsia="黑体" w:hAnsi="黑体"/>
        </w:rPr>
      </w:pPr>
      <w:r>
        <w:rPr>
          <w:rFonts w:ascii="黑体" w:eastAsia="黑体" w:hAnsi="黑体" w:cs="黑体" w:hint="eastAsia"/>
        </w:rPr>
        <w:t>六、有关建议</w:t>
      </w:r>
    </w:p>
    <w:p w:rsidR="001C5ADB" w:rsidRDefault="001C5ADB" w:rsidP="00A14993">
      <w:pPr>
        <w:spacing w:line="600" w:lineRule="exact"/>
        <w:ind w:firstLineChars="200" w:firstLine="31680"/>
        <w:rPr>
          <w:rFonts w:ascii="仿宋_GB2312"/>
          <w:sz w:val="32"/>
          <w:szCs w:val="32"/>
        </w:rPr>
      </w:pPr>
      <w:r>
        <w:rPr>
          <w:rFonts w:ascii="仿宋_GB2312" w:hAnsi="仿宋_GB2312" w:cs="仿宋_GB2312" w:hint="eastAsia"/>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rsidR="001C5ADB" w:rsidRDefault="001C5ADB" w:rsidP="00A14993">
      <w:pPr>
        <w:spacing w:line="600" w:lineRule="exact"/>
        <w:ind w:firstLineChars="200" w:firstLine="31680"/>
        <w:rPr>
          <w:rFonts w:ascii="仿宋_GB2312"/>
          <w:sz w:val="32"/>
          <w:szCs w:val="32"/>
        </w:rPr>
      </w:pPr>
      <w:r>
        <w:rPr>
          <w:rFonts w:ascii="仿宋_GB2312" w:hAnsi="仿宋_GB2312" w:cs="仿宋_GB2312" w:hint="eastAsia"/>
          <w:sz w:val="32"/>
          <w:szCs w:val="32"/>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rsidR="001C5ADB" w:rsidRDefault="001C5ADB" w:rsidP="00A14993">
      <w:pPr>
        <w:spacing w:line="600" w:lineRule="exact"/>
        <w:ind w:firstLineChars="200" w:firstLine="31680"/>
        <w:rPr>
          <w:rFonts w:ascii="黑体" w:eastAsia="黑体" w:hAnsi="黑体"/>
        </w:rPr>
      </w:pPr>
      <w:r>
        <w:rPr>
          <w:rFonts w:ascii="仿宋_GB2312" w:hAnsi="仿宋_GB2312" w:cs="仿宋_GB2312" w:hint="eastAsia"/>
          <w:sz w:val="32"/>
          <w:szCs w:val="32"/>
        </w:rPr>
        <w:t>第三，要加强对绩效评价实施主体的培训，最大限度少人为因素，保证评价的公正性。绩效评价的过程是否公正、评价结果是否公平，都与绩效评价实施主体的素质有着必然的联系</w:t>
      </w:r>
      <w:r>
        <w:rPr>
          <w:rFonts w:ascii="仿宋_GB2312" w:hAnsi="仿宋_GB2312" w:cs="仿宋_GB2312"/>
          <w:sz w:val="32"/>
          <w:szCs w:val="32"/>
        </w:rPr>
        <w:t>;</w:t>
      </w:r>
      <w:r>
        <w:rPr>
          <w:rFonts w:ascii="仿宋_GB2312" w:hAnsi="仿宋_GB2312" w:cs="仿宋_GB2312" w:hint="eastAsia"/>
          <w:sz w:val="32"/>
          <w:szCs w:val="32"/>
        </w:rPr>
        <w:t>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rsidR="001C5ADB" w:rsidRDefault="001C5ADB" w:rsidP="00A14993">
      <w:pPr>
        <w:spacing w:line="600" w:lineRule="exact"/>
        <w:ind w:firstLineChars="200" w:firstLine="31680"/>
        <w:rPr>
          <w:rFonts w:ascii="黑体" w:eastAsia="黑体" w:hAnsi="黑体"/>
        </w:rPr>
      </w:pPr>
      <w:r>
        <w:rPr>
          <w:rFonts w:ascii="黑体" w:eastAsia="黑体" w:hAnsi="黑体" w:cs="黑体" w:hint="eastAsia"/>
        </w:rPr>
        <w:t>七、其他需要说明的问题</w:t>
      </w:r>
    </w:p>
    <w:p w:rsidR="001C5ADB" w:rsidRDefault="001C5ADB" w:rsidP="00A14993">
      <w:pPr>
        <w:spacing w:line="600" w:lineRule="exact"/>
        <w:ind w:firstLineChars="200" w:firstLine="31680"/>
        <w:rPr>
          <w:rFonts w:ascii="仿宋_GB2312"/>
          <w:sz w:val="32"/>
          <w:szCs w:val="32"/>
        </w:rPr>
      </w:pPr>
      <w:r>
        <w:rPr>
          <w:rFonts w:ascii="仿宋_GB2312" w:hAnsi="仿宋_GB2312" w:cs="仿宋_GB2312" w:hint="eastAsia"/>
          <w:sz w:val="32"/>
          <w:szCs w:val="32"/>
        </w:rPr>
        <w:t>无</w:t>
      </w:r>
    </w:p>
    <w:p w:rsidR="001C5ADB" w:rsidRDefault="001C5ADB" w:rsidP="00A14993">
      <w:pPr>
        <w:spacing w:line="600" w:lineRule="exact"/>
        <w:ind w:firstLineChars="200" w:firstLine="31680"/>
        <w:rPr>
          <w:rFonts w:ascii="仿宋_GB2312"/>
          <w:sz w:val="32"/>
          <w:szCs w:val="32"/>
        </w:rPr>
      </w:pPr>
    </w:p>
    <w:p w:rsidR="001C5ADB" w:rsidRDefault="001C5ADB" w:rsidP="00A14993">
      <w:pPr>
        <w:spacing w:line="600" w:lineRule="exact"/>
        <w:ind w:firstLineChars="200" w:firstLine="31680"/>
        <w:rPr>
          <w:rFonts w:ascii="仿宋_GB2312"/>
          <w:sz w:val="32"/>
          <w:szCs w:val="32"/>
        </w:rPr>
      </w:pPr>
    </w:p>
    <w:p w:rsidR="001C5ADB" w:rsidRDefault="001C5ADB">
      <w:pPr>
        <w:spacing w:line="600" w:lineRule="exact"/>
        <w:rPr>
          <w:rFonts w:ascii="仿宋_GB2312"/>
          <w:sz w:val="32"/>
          <w:szCs w:val="32"/>
        </w:rPr>
      </w:pPr>
      <w:bookmarkStart w:id="0" w:name="_GoBack"/>
      <w:bookmarkEnd w:id="0"/>
    </w:p>
    <w:p w:rsidR="001C5ADB" w:rsidRDefault="001C5ADB" w:rsidP="00A14993">
      <w:pPr>
        <w:spacing w:line="600" w:lineRule="exact"/>
        <w:ind w:firstLineChars="200" w:firstLine="31680"/>
        <w:rPr>
          <w:rFonts w:ascii="仿宋_GB2312"/>
          <w:sz w:val="32"/>
          <w:szCs w:val="32"/>
        </w:rPr>
      </w:pPr>
    </w:p>
    <w:p w:rsidR="001C5ADB" w:rsidRDefault="001C5ADB" w:rsidP="00A14993">
      <w:pPr>
        <w:spacing w:line="600" w:lineRule="exact"/>
        <w:ind w:firstLineChars="200" w:firstLine="31680"/>
        <w:rPr>
          <w:rFonts w:ascii="仿宋_GB2312"/>
          <w:sz w:val="32"/>
          <w:szCs w:val="32"/>
        </w:rPr>
      </w:pPr>
    </w:p>
    <w:p w:rsidR="001C5ADB" w:rsidRDefault="001C5ADB" w:rsidP="00A14993">
      <w:pPr>
        <w:spacing w:line="600" w:lineRule="exact"/>
        <w:ind w:firstLineChars="200" w:firstLine="31680"/>
        <w:jc w:val="center"/>
        <w:rPr>
          <w:rFonts w:ascii="仿宋_GB2312"/>
          <w:sz w:val="32"/>
          <w:szCs w:val="32"/>
        </w:rPr>
      </w:pPr>
      <w:r>
        <w:rPr>
          <w:rFonts w:ascii="仿宋_GB2312" w:hAnsi="仿宋_GB2312" w:cs="仿宋_GB2312"/>
          <w:sz w:val="32"/>
          <w:szCs w:val="32"/>
        </w:rPr>
        <w:t xml:space="preserve">          </w:t>
      </w:r>
      <w:r>
        <w:rPr>
          <w:rFonts w:ascii="仿宋_GB2312" w:hAnsi="仿宋_GB2312" w:cs="仿宋_GB2312" w:hint="eastAsia"/>
          <w:sz w:val="32"/>
          <w:szCs w:val="32"/>
        </w:rPr>
        <w:t>中共凤台县纪律检查委员会</w:t>
      </w:r>
    </w:p>
    <w:p w:rsidR="001C5ADB" w:rsidRDefault="001C5ADB" w:rsidP="00806BC7">
      <w:pPr>
        <w:spacing w:line="600" w:lineRule="exact"/>
        <w:ind w:firstLineChars="200" w:firstLine="31680"/>
        <w:jc w:val="center"/>
        <w:rPr>
          <w:rFonts w:ascii="仿宋_GB2312"/>
          <w:sz w:val="32"/>
          <w:szCs w:val="32"/>
        </w:rPr>
      </w:pPr>
      <w:r>
        <w:rPr>
          <w:rFonts w:ascii="仿宋_GB2312" w:hAnsi="仿宋_GB2312" w:cs="仿宋_GB2312"/>
          <w:sz w:val="32"/>
          <w:szCs w:val="32"/>
        </w:rPr>
        <w:t xml:space="preserve">            2023</w:t>
      </w:r>
      <w:r>
        <w:rPr>
          <w:rFonts w:ascii="仿宋_GB2312" w:hAnsi="仿宋_GB2312" w:cs="仿宋_GB2312" w:hint="eastAsia"/>
          <w:sz w:val="32"/>
          <w:szCs w:val="32"/>
        </w:rPr>
        <w:t>年</w:t>
      </w:r>
      <w:r>
        <w:rPr>
          <w:rFonts w:ascii="仿宋_GB2312" w:hAnsi="仿宋_GB2312" w:cs="仿宋_GB2312"/>
          <w:sz w:val="32"/>
          <w:szCs w:val="32"/>
        </w:rPr>
        <w:t>9</w:t>
      </w:r>
      <w:r>
        <w:rPr>
          <w:rFonts w:ascii="仿宋_GB2312" w:hAnsi="仿宋_GB2312" w:cs="仿宋_GB2312" w:hint="eastAsia"/>
          <w:sz w:val="32"/>
          <w:szCs w:val="32"/>
        </w:rPr>
        <w:t>月</w:t>
      </w:r>
      <w:r>
        <w:rPr>
          <w:rFonts w:ascii="仿宋_GB2312" w:hAnsi="仿宋_GB2312" w:cs="仿宋_GB2312"/>
          <w:sz w:val="32"/>
          <w:szCs w:val="32"/>
        </w:rPr>
        <w:t>8</w:t>
      </w:r>
      <w:r>
        <w:rPr>
          <w:rFonts w:ascii="仿宋_GB2312" w:hAnsi="仿宋_GB2312" w:cs="仿宋_GB2312" w:hint="eastAsia"/>
          <w:sz w:val="32"/>
          <w:szCs w:val="32"/>
        </w:rPr>
        <w:t>日</w:t>
      </w:r>
    </w:p>
    <w:sectPr w:rsidR="001C5ADB" w:rsidSect="00EB37F9">
      <w:pgSz w:w="11906" w:h="16838"/>
      <w:pgMar w:top="1928" w:right="1531" w:bottom="1701" w:left="1531" w:header="737" w:footer="850" w:gutter="0"/>
      <w:cols w:space="0"/>
      <w:docGrid w:type="lines" w:linePitch="4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210"/>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NmMWQxNGU0NjZmZTI3ZjgyOGIyYzQ5MGQwOWY4ZDQifQ=="/>
  </w:docVars>
  <w:rsids>
    <w:rsidRoot w:val="55AE45D4"/>
    <w:rsid w:val="00060A9E"/>
    <w:rsid w:val="000B77AC"/>
    <w:rsid w:val="00133B5E"/>
    <w:rsid w:val="001A380F"/>
    <w:rsid w:val="001C5ADB"/>
    <w:rsid w:val="002D7FC1"/>
    <w:rsid w:val="003074DA"/>
    <w:rsid w:val="003F5DDD"/>
    <w:rsid w:val="00463B48"/>
    <w:rsid w:val="005C2092"/>
    <w:rsid w:val="00806BC7"/>
    <w:rsid w:val="008A0D32"/>
    <w:rsid w:val="00A14993"/>
    <w:rsid w:val="00A325A3"/>
    <w:rsid w:val="00B506EC"/>
    <w:rsid w:val="00BF0402"/>
    <w:rsid w:val="00C71525"/>
    <w:rsid w:val="00D530C2"/>
    <w:rsid w:val="00DC0CD4"/>
    <w:rsid w:val="00E66976"/>
    <w:rsid w:val="00EB37F9"/>
    <w:rsid w:val="00FD52AC"/>
    <w:rsid w:val="00FD5656"/>
    <w:rsid w:val="237E3EE8"/>
    <w:rsid w:val="28FD3955"/>
    <w:rsid w:val="2A196F08"/>
    <w:rsid w:val="2A8F6FFB"/>
    <w:rsid w:val="30C15385"/>
    <w:rsid w:val="36877830"/>
    <w:rsid w:val="45042999"/>
    <w:rsid w:val="48D26B99"/>
    <w:rsid w:val="4B3E5819"/>
    <w:rsid w:val="4D5179FF"/>
    <w:rsid w:val="55AE45D4"/>
    <w:rsid w:val="69136792"/>
    <w:rsid w:val="7F1B4A79"/>
    <w:rsid w:val="7F7E46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37F9"/>
    <w:pPr>
      <w:widowControl w:val="0"/>
      <w:jc w:val="both"/>
    </w:pPr>
    <w:rPr>
      <w:rFonts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7F9"/>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semiHidden/>
    <w:locked/>
    <w:rPr>
      <w:rFonts w:eastAsia="仿宋_GB2312"/>
      <w:sz w:val="18"/>
      <w:szCs w:val="18"/>
    </w:rPr>
  </w:style>
  <w:style w:type="paragraph" w:styleId="NormalWeb">
    <w:name w:val="Normal (Web)"/>
    <w:basedOn w:val="Normal"/>
    <w:uiPriority w:val="99"/>
    <w:rsid w:val="00EB37F9"/>
    <w:pPr>
      <w:spacing w:beforeAutospacing="1" w:afterAutospacing="1"/>
      <w:jc w:val="left"/>
    </w:pPr>
    <w:rPr>
      <w:kern w:val="0"/>
      <w:sz w:val="24"/>
      <w:szCs w:val="24"/>
    </w:rPr>
  </w:style>
  <w:style w:type="character" w:customStyle="1" w:styleId="font101">
    <w:name w:val="font101"/>
    <w:basedOn w:val="DefaultParagraphFont"/>
    <w:uiPriority w:val="99"/>
    <w:rsid w:val="00EB37F9"/>
    <w:rPr>
      <w:rFonts w:ascii="宋体" w:eastAsia="宋体" w:hAnsi="宋体" w:cs="宋体"/>
      <w:b/>
      <w:bCs/>
      <w:color w:val="000000"/>
      <w:sz w:val="32"/>
      <w:szCs w:val="32"/>
      <w:u w:val="none"/>
    </w:rPr>
  </w:style>
  <w:style w:type="character" w:customStyle="1" w:styleId="font61">
    <w:name w:val="font61"/>
    <w:basedOn w:val="DefaultParagraphFont"/>
    <w:uiPriority w:val="99"/>
    <w:rsid w:val="00EB37F9"/>
    <w:rPr>
      <w:rFonts w:ascii="宋体" w:eastAsia="宋体" w:hAnsi="宋体" w:cs="宋体"/>
      <w:color w:val="000000"/>
      <w:sz w:val="18"/>
      <w:szCs w:val="18"/>
      <w:u w:val="none"/>
    </w:rPr>
  </w:style>
  <w:style w:type="character" w:customStyle="1" w:styleId="font91">
    <w:name w:val="font91"/>
    <w:basedOn w:val="DefaultParagraphFont"/>
    <w:uiPriority w:val="99"/>
    <w:rsid w:val="00EB37F9"/>
    <w:rPr>
      <w:rFonts w:ascii="宋体" w:eastAsia="宋体" w:hAnsi="宋体" w:cs="宋体"/>
      <w:b/>
      <w:bCs/>
      <w:color w:val="000000"/>
      <w:sz w:val="32"/>
      <w:szCs w:val="32"/>
      <w:u w:val="none"/>
    </w:rPr>
  </w:style>
  <w:style w:type="character" w:customStyle="1" w:styleId="font51">
    <w:name w:val="font51"/>
    <w:basedOn w:val="DefaultParagraphFont"/>
    <w:uiPriority w:val="99"/>
    <w:rsid w:val="00EB37F9"/>
    <w:rPr>
      <w:rFonts w:ascii="宋体" w:eastAsia="宋体" w:hAnsi="宋体" w:cs="宋体"/>
      <w:color w:val="000000"/>
      <w:sz w:val="32"/>
      <w:szCs w:val="32"/>
      <w:u w:val="none"/>
    </w:rPr>
  </w:style>
  <w:style w:type="character" w:customStyle="1" w:styleId="font131">
    <w:name w:val="font131"/>
    <w:basedOn w:val="DefaultParagraphFont"/>
    <w:uiPriority w:val="99"/>
    <w:rsid w:val="00EB37F9"/>
    <w:rPr>
      <w:rFonts w:ascii="宋体" w:eastAsia="宋体" w:hAnsi="宋体" w:cs="宋体"/>
      <w:color w:val="000000"/>
      <w:sz w:val="18"/>
      <w:szCs w:val="18"/>
      <w:u w:val="none"/>
    </w:rPr>
  </w:style>
  <w:style w:type="character" w:customStyle="1" w:styleId="font141">
    <w:name w:val="font141"/>
    <w:basedOn w:val="DefaultParagraphFont"/>
    <w:uiPriority w:val="99"/>
    <w:rsid w:val="00EB37F9"/>
    <w:rPr>
      <w:rFonts w:ascii="宋体" w:eastAsia="宋体" w:hAnsi="宋体" w:cs="宋体"/>
      <w:color w:val="000000"/>
      <w:sz w:val="12"/>
      <w:szCs w:val="12"/>
      <w:u w:val="none"/>
    </w:rPr>
  </w:style>
</w:styles>
</file>

<file path=word/webSettings.xml><?xml version="1.0" encoding="utf-8"?>
<w:webSettings xmlns:r="http://schemas.openxmlformats.org/officeDocument/2006/relationships" xmlns:w="http://schemas.openxmlformats.org/wordprocessingml/2006/main">
  <w:divs>
    <w:div w:id="50050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9</Pages>
  <Words>526</Words>
  <Characters>2999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胡继猛</dc:creator>
  <cp:keywords/>
  <dc:description/>
  <cp:lastModifiedBy>Windows 用户</cp:lastModifiedBy>
  <cp:revision>21</cp:revision>
  <dcterms:created xsi:type="dcterms:W3CDTF">2021-12-24T08:18:00Z</dcterms:created>
  <dcterms:modified xsi:type="dcterms:W3CDTF">2023-09-13T03:56:00Z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90FA40006E684DA4A0C2B1250EF72C69</vt:lpwstr>
  </property>
</Properties>
</file>