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p>
    <w:p>
      <w:pPr>
        <w:jc w:val="center"/>
        <w:rPr>
          <w:rFonts w:ascii="Arial" w:hAnsi="Arial" w:eastAsia="宋体" w:cs="Arial"/>
          <w:b/>
          <w:bCs/>
          <w:sz w:val="36"/>
          <w:szCs w:val="36"/>
        </w:rPr>
      </w:pPr>
      <w:bookmarkStart w:id="0" w:name="_GoBack"/>
      <w:r>
        <w:rPr>
          <w:rFonts w:hint="eastAsia" w:ascii="宋体" w:hAnsi="宋体" w:eastAsia="宋体" w:cs="Arial"/>
          <w:b/>
          <w:bCs/>
          <w:sz w:val="36"/>
          <w:szCs w:val="36"/>
        </w:rPr>
        <w:t>凤台县公共资源交易中心项目支出</w:t>
      </w:r>
      <w:r>
        <w:rPr>
          <w:rFonts w:ascii="宋体" w:hAnsi="宋体" w:eastAsia="宋体" w:cs="Arial"/>
          <w:b/>
          <w:bCs/>
          <w:sz w:val="36"/>
          <w:szCs w:val="36"/>
        </w:rPr>
        <w:t>绩效</w:t>
      </w:r>
      <w:r>
        <w:rPr>
          <w:rFonts w:hint="eastAsia" w:ascii="宋体" w:hAnsi="宋体" w:eastAsia="宋体" w:cs="Arial"/>
          <w:b/>
          <w:bCs/>
          <w:sz w:val="36"/>
          <w:szCs w:val="36"/>
        </w:rPr>
        <w:t>评价报告</w:t>
      </w:r>
    </w:p>
    <w:bookmarkEnd w:id="0"/>
    <w:p>
      <w:pPr>
        <w:jc w:val="center"/>
        <w:rPr>
          <w:rFonts w:ascii="仿宋_GB2312"/>
          <w:szCs w:val="30"/>
        </w:rPr>
      </w:pPr>
    </w:p>
    <w:p>
      <w:pPr>
        <w:spacing w:line="600" w:lineRule="exact"/>
        <w:ind w:firstLine="643" w:firstLineChars="200"/>
        <w:outlineLvl w:val="0"/>
        <w:rPr>
          <w:rFonts w:hint="eastAsia" w:ascii="仿宋_GB2312" w:hAnsi="仿宋_GB2312" w:cs="仿宋_GB2312"/>
          <w:b/>
          <w:bCs/>
          <w:sz w:val="32"/>
          <w:szCs w:val="32"/>
        </w:rPr>
      </w:pPr>
      <w:r>
        <w:rPr>
          <w:rFonts w:hint="eastAsia" w:ascii="仿宋_GB2312" w:hAnsi="仿宋_GB2312" w:cs="仿宋_GB2312"/>
          <w:b/>
          <w:bCs/>
          <w:sz w:val="32"/>
          <w:szCs w:val="32"/>
        </w:rPr>
        <w:t>一、基本情况</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（一）“招投标事务运行费”项目</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项目概述及内容：建设全市统一的公共资源交易电子平台，为</w:t>
      </w:r>
      <w:r>
        <w:rPr>
          <w:rFonts w:hint="eastAsia" w:ascii="仿宋_GB2312" w:hAnsi="仿宋_GB2312" w:cs="仿宋_GB2312"/>
          <w:sz w:val="32"/>
          <w:szCs w:val="32"/>
          <w:lang w:val="en-US" w:eastAsia="zh-CN"/>
        </w:rPr>
        <w:t>我县</w:t>
      </w:r>
      <w:r>
        <w:rPr>
          <w:rFonts w:hint="eastAsia" w:ascii="仿宋_GB2312" w:hAnsi="仿宋_GB2312" w:cs="仿宋_GB2312"/>
          <w:sz w:val="32"/>
          <w:szCs w:val="32"/>
        </w:rPr>
        <w:t>招投标事务提供优质、高效、便捷服务</w:t>
      </w:r>
      <w:r>
        <w:rPr>
          <w:rFonts w:hint="eastAsia" w:ascii="仿宋_GB2312" w:hAnsi="仿宋_GB2312" w:cs="仿宋_GB2312"/>
          <w:sz w:val="32"/>
          <w:szCs w:val="32"/>
          <w:lang w:eastAsia="zh-CN"/>
        </w:rPr>
        <w:t>。</w:t>
      </w:r>
      <w:r>
        <w:rPr>
          <w:rFonts w:hint="eastAsia" w:ascii="仿宋_GB2312" w:hAnsi="仿宋_GB2312" w:cs="仿宋_GB2312"/>
          <w:sz w:val="32"/>
          <w:szCs w:val="32"/>
        </w:rPr>
        <w:t xml:space="preserve">实现公共资源交易全程电子化、服务标准化、管理智能化，形成规统一、公开透明、服务高效、监督规范的公共资源交易平台体系。 </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立项依据:熊县长签批的《关于申请县公共资源交易中心招标事务运行费纳入县财政预算的请示》、《安徽省发展改革委关于印发安徽省公共资源交易平台服务第三方评价指标和市场主体评价表的通知》、《淮南市公共资源交易管理条例》（皖人常[2014]40号）。</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实施主体：凤台县公共资源交易中心</w:t>
      </w:r>
      <w:r>
        <w:rPr>
          <w:rFonts w:hint="eastAsia" w:ascii="仿宋_GB2312" w:hAnsi="仿宋_GB2312" w:cs="仿宋_GB2312"/>
          <w:sz w:val="32"/>
          <w:szCs w:val="32"/>
          <w:lang w:eastAsia="zh-CN"/>
        </w:rPr>
        <w:t>。</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起止时间</w:t>
      </w:r>
      <w:r>
        <w:rPr>
          <w:rFonts w:hint="eastAsia" w:ascii="仿宋_GB2312" w:hAnsi="仿宋_GB2312" w:cs="仿宋_GB2312"/>
          <w:sz w:val="32"/>
          <w:szCs w:val="32"/>
          <w:lang w:eastAsia="zh-CN"/>
        </w:rPr>
        <w:t>：</w:t>
      </w:r>
      <w:r>
        <w:rPr>
          <w:rFonts w:hint="eastAsia" w:ascii="仿宋_GB2312" w:hAnsi="仿宋_GB2312" w:cs="仿宋_GB2312"/>
          <w:sz w:val="32"/>
          <w:szCs w:val="32"/>
        </w:rPr>
        <w:t>2022年1月至2022年12月</w:t>
      </w:r>
      <w:r>
        <w:rPr>
          <w:rFonts w:hint="eastAsia" w:ascii="仿宋_GB2312" w:hAnsi="仿宋_GB2312" w:cs="仿宋_GB2312"/>
          <w:sz w:val="32"/>
          <w:szCs w:val="32"/>
          <w:lang w:eastAsia="zh-CN"/>
        </w:rPr>
        <w:t>。</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年度预算安排</w:t>
      </w:r>
      <w:r>
        <w:rPr>
          <w:rFonts w:hint="eastAsia" w:ascii="仿宋_GB2312" w:hAnsi="仿宋_GB2312" w:cs="仿宋_GB2312"/>
          <w:sz w:val="32"/>
          <w:szCs w:val="32"/>
          <w:lang w:eastAsia="zh-CN"/>
        </w:rPr>
        <w:t>：</w:t>
      </w:r>
      <w:r>
        <w:rPr>
          <w:rFonts w:hint="eastAsia" w:ascii="仿宋_GB2312" w:hAnsi="仿宋_GB2312" w:cs="仿宋_GB2312"/>
          <w:sz w:val="32"/>
          <w:szCs w:val="32"/>
        </w:rPr>
        <w:t>一般公共预算安排65.00万元</w:t>
      </w:r>
      <w:r>
        <w:rPr>
          <w:rFonts w:hint="eastAsia" w:ascii="仿宋_GB2312" w:hAnsi="仿宋_GB2312" w:cs="仿宋_GB2312"/>
          <w:sz w:val="32"/>
          <w:szCs w:val="32"/>
          <w:lang w:eastAsia="zh-CN"/>
        </w:rPr>
        <w:t>。</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项目绩效目标：根据《中华人民共和国招标</w:t>
      </w:r>
      <w:r>
        <w:rPr>
          <w:rFonts w:hint="eastAsia" w:ascii="仿宋_GB2312" w:hAnsi="仿宋_GB2312" w:cs="仿宋_GB2312"/>
          <w:sz w:val="32"/>
          <w:szCs w:val="32"/>
          <w:lang w:eastAsia="zh-CN"/>
        </w:rPr>
        <w:t>投标</w:t>
      </w:r>
      <w:r>
        <w:rPr>
          <w:rFonts w:hint="eastAsia" w:ascii="仿宋_GB2312" w:hAnsi="仿宋_GB2312" w:cs="仿宋_GB2312"/>
          <w:sz w:val="32"/>
          <w:szCs w:val="32"/>
        </w:rPr>
        <w:t>法》、《中华人民共和国招标投标法实施条例》、等法律、法规、规章的规定，加强对本县的招标投标活动的监督，负责拟定有关招投标的地方性法规、规章，制定规范性文件，并组织实施。保护好国家利益、社会公共利益和招标投标活动当事人的合法权益。为此全年共投入资金44.07万元，资金到位率达100%，并督促资金使用合理、规范、精准，充分发挥资金的使用效益，常态化机制成功实施。该资金严格遵守项目资金管理规定，坚持专款专用，达到了全市统一的全程电子化、服务标准化、管理智能化的电子平台</w:t>
      </w:r>
      <w:r>
        <w:rPr>
          <w:rFonts w:hint="eastAsia" w:ascii="仿宋_GB2312" w:hAnsi="仿宋_GB2312" w:cs="仿宋_GB2312"/>
          <w:sz w:val="32"/>
          <w:szCs w:val="32"/>
          <w:lang w:val="en-US" w:eastAsia="zh-CN"/>
        </w:rPr>
        <w:t>建设要求</w:t>
      </w:r>
      <w:r>
        <w:rPr>
          <w:rFonts w:hint="eastAsia" w:ascii="仿宋_GB2312" w:hAnsi="仿宋_GB2312" w:cs="仿宋_GB2312"/>
          <w:sz w:val="32"/>
          <w:szCs w:val="32"/>
        </w:rPr>
        <w:t>，为全县的招投标事务提供优质、高效、便捷的服务。</w:t>
      </w:r>
    </w:p>
    <w:p>
      <w:pPr>
        <w:spacing w:line="600" w:lineRule="exact"/>
        <w:ind w:firstLine="643" w:firstLineChars="200"/>
        <w:outlineLvl w:val="0"/>
        <w:rPr>
          <w:rFonts w:hint="eastAsia" w:ascii="仿宋_GB2312" w:hAnsi="仿宋_GB2312" w:cs="仿宋_GB2312"/>
          <w:b/>
          <w:bCs/>
          <w:sz w:val="32"/>
          <w:szCs w:val="32"/>
        </w:rPr>
      </w:pPr>
      <w:r>
        <w:rPr>
          <w:rFonts w:hint="eastAsia" w:ascii="仿宋_GB2312" w:hAnsi="仿宋_GB2312" w:cs="仿宋_GB2312"/>
          <w:b/>
          <w:bCs/>
          <w:sz w:val="32"/>
          <w:szCs w:val="32"/>
        </w:rPr>
        <w:t>二、绩效评价工作开展情况</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（一）绩效评价目的、对象和范围</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1、绩效评价目的：建设全市、县统一的公共资源交易平台，实现市县对接顺畅、快捷。实现全县公共资源交易全程电子化、服务标准化、管理智能化，形成规统一、公开透明、服务高效、监督规范的公共资源交易平台体系。</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2、绩效评价对象：2022年度县招投标事务项目资金。</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3、绩效评价范围：2022年度通过县级一般公共预算安排给各单位的项目资金。</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（二）绩效评价原则、评价指标体系（附表说明）、评价方法、评价标准等</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绩效评价原则：科学公正。绩效评价应当运用科学合理的方法，按照规范的程序，对项目绩效进行客观、公正的反映。 统筹兼顾。单位自评应由项目单位自主实施，即“谁支出、谁自评”。部门评价和财政评价应在单位自评的基础上开展，必要时可委托第三方机构实施。激励约束。绩效评价结果应与预算安排、政策调整、改进管理实质性挂钩，体现奖优罚劣和激励相容导向，有效要安排、低效要压减、无效要问责。公开透明。绩效评价结果应依法依规公开，并自觉接受社会监督。  </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绩效评价方法：绩效评价方法主要采用成本效益分析法、比较法、因素分析法、最低成本法、公众评判法等。</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（三）绩效评价工作过程</w:t>
      </w:r>
    </w:p>
    <w:p>
      <w:pPr>
        <w:spacing w:line="600" w:lineRule="exact"/>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一是准备阶段，成立项目评价领导小组，制定工作计划。二是评价工作执行阶段， 按照评价方案收集相关数据，开展问卷调查和调研，开展资金使用情况调查。三是评价报告撰写，根据前期调研，查看资料撰写评价报告。</w:t>
      </w:r>
    </w:p>
    <w:p>
      <w:pPr>
        <w:spacing w:line="600" w:lineRule="exact"/>
        <w:ind w:firstLine="640" w:firstLineChars="200"/>
        <w:outlineLvl w:val="0"/>
        <w:rPr>
          <w:rFonts w:hint="eastAsia" w:ascii="仿宋_GB2312" w:hAnsi="仿宋_GB2312" w:cs="仿宋_GB2312"/>
          <w:sz w:val="32"/>
          <w:szCs w:val="32"/>
        </w:rPr>
      </w:pPr>
    </w:p>
    <w:p>
      <w:pPr>
        <w:spacing w:line="600" w:lineRule="exact"/>
        <w:ind w:firstLine="640" w:firstLineChars="200"/>
        <w:outlineLvl w:val="0"/>
        <w:rPr>
          <w:rFonts w:hint="eastAsia" w:ascii="仿宋_GB2312" w:hAnsi="仿宋_GB2312" w:cs="仿宋_GB2312"/>
          <w:sz w:val="32"/>
          <w:szCs w:val="32"/>
        </w:rPr>
        <w:sectPr>
          <w:pgSz w:w="11906" w:h="16838"/>
          <w:pgMar w:top="1928" w:right="1531" w:bottom="1701" w:left="1531" w:header="737" w:footer="851" w:gutter="0"/>
          <w:cols w:space="720" w:num="1"/>
          <w:docGrid w:type="lines" w:linePitch="408" w:charSpace="0"/>
        </w:sectPr>
      </w:pPr>
    </w:p>
    <w:p>
      <w:pPr>
        <w:spacing w:line="600" w:lineRule="exact"/>
        <w:ind w:firstLine="643" w:firstLineChars="200"/>
        <w:outlineLvl w:val="0"/>
        <w:rPr>
          <w:rFonts w:hint="eastAsia" w:ascii="仿宋_GB2312" w:hAnsi="仿宋_GB2312" w:cs="仿宋_GB2312"/>
          <w:b/>
          <w:bCs/>
          <w:sz w:val="32"/>
          <w:szCs w:val="32"/>
        </w:rPr>
      </w:pPr>
      <w:r>
        <w:rPr>
          <w:rFonts w:hint="eastAsia" w:ascii="仿宋_GB2312" w:hAnsi="仿宋_GB2312" w:cs="仿宋_GB2312"/>
          <w:b/>
          <w:bCs/>
          <w:sz w:val="32"/>
          <w:szCs w:val="32"/>
        </w:rPr>
        <w:t>三、综合评价情况及评价结论</w:t>
      </w:r>
    </w:p>
    <w:p>
      <w:pPr>
        <w:spacing w:line="560" w:lineRule="exact"/>
        <w:ind w:firstLine="640" w:firstLineChars="200"/>
        <w:rPr>
          <w:rFonts w:ascii="仿宋_GB2312"/>
        </w:rPr>
      </w:pPr>
      <w:r>
        <w:rPr>
          <w:rFonts w:hint="eastAsia" w:ascii="仿宋_GB2312"/>
          <w:sz w:val="32"/>
          <w:szCs w:val="32"/>
        </w:rPr>
        <w:t>根据项目绩效评定指标对各项目量化评价，县招投标事务运行费指标得分98分。</w:t>
      </w:r>
    </w:p>
    <w:p>
      <w:pPr>
        <w:spacing w:line="600" w:lineRule="exact"/>
        <w:ind w:firstLine="600" w:firstLineChars="200"/>
        <w:rPr>
          <w:rFonts w:ascii="黑体" w:hAnsi="黑体" w:eastAsia="黑体"/>
        </w:rPr>
      </w:pPr>
    </w:p>
    <w:tbl>
      <w:tblPr>
        <w:tblStyle w:val="5"/>
        <w:tblW w:w="12779" w:type="dxa"/>
        <w:tblInd w:w="87" w:type="dxa"/>
        <w:tblLayout w:type="fixed"/>
        <w:tblCellMar>
          <w:top w:w="0" w:type="dxa"/>
          <w:left w:w="108" w:type="dxa"/>
          <w:bottom w:w="0" w:type="dxa"/>
          <w:right w:w="108" w:type="dxa"/>
        </w:tblCellMar>
      </w:tblPr>
      <w:tblGrid>
        <w:gridCol w:w="900"/>
        <w:gridCol w:w="587"/>
        <w:gridCol w:w="730"/>
        <w:gridCol w:w="103"/>
        <w:gridCol w:w="1318"/>
        <w:gridCol w:w="931"/>
        <w:gridCol w:w="472"/>
        <w:gridCol w:w="240"/>
        <w:gridCol w:w="836"/>
        <w:gridCol w:w="992"/>
        <w:gridCol w:w="101"/>
        <w:gridCol w:w="182"/>
        <w:gridCol w:w="344"/>
        <w:gridCol w:w="507"/>
        <w:gridCol w:w="1134"/>
        <w:gridCol w:w="1417"/>
        <w:gridCol w:w="1985"/>
      </w:tblGrid>
      <w:tr>
        <w:tblPrEx>
          <w:tblCellMar>
            <w:top w:w="0" w:type="dxa"/>
            <w:left w:w="108" w:type="dxa"/>
            <w:bottom w:w="0" w:type="dxa"/>
            <w:right w:w="108" w:type="dxa"/>
          </w:tblCellMar>
        </w:tblPrEx>
        <w:trPr>
          <w:trHeight w:val="211" w:hRule="atLeast"/>
        </w:trPr>
        <w:tc>
          <w:tcPr>
            <w:tcW w:w="12779" w:type="dxa"/>
            <w:gridSpan w:val="17"/>
            <w:tcBorders>
              <w:top w:val="nil"/>
              <w:left w:val="nil"/>
              <w:bottom w:val="nil"/>
              <w:right w:val="nil"/>
            </w:tcBorders>
            <w:vAlign w:val="center"/>
          </w:tcPr>
          <w:p>
            <w:pPr>
              <w:widowControl/>
              <w:jc w:val="center"/>
              <w:textAlignment w:val="center"/>
              <w:rPr>
                <w:rStyle w:val="9"/>
                <w:rFonts w:hint="default"/>
                <w:sz w:val="24"/>
              </w:rPr>
            </w:pPr>
          </w:p>
          <w:p>
            <w:pPr>
              <w:widowControl/>
              <w:jc w:val="center"/>
              <w:textAlignment w:val="center"/>
              <w:rPr>
                <w:rFonts w:ascii="宋体" w:hAnsi="宋体" w:cs="宋体"/>
                <w:color w:val="000000"/>
                <w:sz w:val="32"/>
                <w:szCs w:val="32"/>
              </w:rPr>
            </w:pPr>
            <w:r>
              <w:rPr>
                <w:rStyle w:val="9"/>
                <w:rFonts w:hint="default"/>
                <w:sz w:val="44"/>
                <w:szCs w:val="44"/>
              </w:rPr>
              <w:t>项目支出绩效自评表</w:t>
            </w:r>
            <w:r>
              <w:rPr>
                <w:rStyle w:val="8"/>
                <w:rFonts w:hint="default"/>
                <w:sz w:val="44"/>
                <w:szCs w:val="44"/>
              </w:rPr>
              <w:t xml:space="preserve"> </w:t>
            </w:r>
          </w:p>
        </w:tc>
      </w:tr>
      <w:tr>
        <w:tblPrEx>
          <w:tblCellMar>
            <w:top w:w="0" w:type="dxa"/>
            <w:left w:w="108" w:type="dxa"/>
            <w:bottom w:w="0" w:type="dxa"/>
            <w:right w:w="108" w:type="dxa"/>
          </w:tblCellMar>
        </w:tblPrEx>
        <w:trPr>
          <w:trHeight w:val="141" w:hRule="atLeast"/>
        </w:trPr>
        <w:tc>
          <w:tcPr>
            <w:tcW w:w="12779" w:type="dxa"/>
            <w:gridSpan w:val="17"/>
            <w:tcBorders>
              <w:top w:val="nil"/>
              <w:left w:val="nil"/>
              <w:bottom w:val="single" w:color="000000" w:sz="4" w:space="0"/>
              <w:right w:val="nil"/>
            </w:tcBorders>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  2022年度）</w:t>
            </w:r>
          </w:p>
        </w:tc>
      </w:tr>
      <w:tr>
        <w:tblPrEx>
          <w:tblCellMar>
            <w:top w:w="0" w:type="dxa"/>
            <w:left w:w="108" w:type="dxa"/>
            <w:bottom w:w="0" w:type="dxa"/>
            <w:right w:w="108" w:type="dxa"/>
          </w:tblCellMar>
        </w:tblPrEx>
        <w:trPr>
          <w:trHeight w:val="161" w:hRule="atLeast"/>
        </w:trPr>
        <w:tc>
          <w:tcPr>
            <w:tcW w:w="22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项目名称</w:t>
            </w:r>
          </w:p>
        </w:tc>
        <w:tc>
          <w:tcPr>
            <w:tcW w:w="10562"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招投标事务运行费</w:t>
            </w:r>
          </w:p>
        </w:tc>
      </w:tr>
      <w:tr>
        <w:tblPrEx>
          <w:tblCellMar>
            <w:top w:w="0" w:type="dxa"/>
            <w:left w:w="108" w:type="dxa"/>
            <w:bottom w:w="0" w:type="dxa"/>
            <w:right w:w="108" w:type="dxa"/>
          </w:tblCellMar>
        </w:tblPrEx>
        <w:trPr>
          <w:trHeight w:val="161" w:hRule="atLeast"/>
        </w:trPr>
        <w:tc>
          <w:tcPr>
            <w:tcW w:w="22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主管部门</w:t>
            </w:r>
          </w:p>
        </w:tc>
        <w:tc>
          <w:tcPr>
            <w:tcW w:w="390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凤台县发展和改革委员会</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实施单位</w:t>
            </w:r>
          </w:p>
        </w:tc>
        <w:tc>
          <w:tcPr>
            <w:tcW w:w="567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凤台县公共资源交易中心</w:t>
            </w:r>
          </w:p>
        </w:tc>
      </w:tr>
      <w:tr>
        <w:tblPrEx>
          <w:tblCellMar>
            <w:top w:w="0" w:type="dxa"/>
            <w:left w:w="108" w:type="dxa"/>
            <w:bottom w:w="0" w:type="dxa"/>
            <w:right w:w="108" w:type="dxa"/>
          </w:tblCellMar>
        </w:tblPrEx>
        <w:trPr>
          <w:trHeight w:val="880" w:hRule="atLeast"/>
        </w:trPr>
        <w:tc>
          <w:tcPr>
            <w:tcW w:w="2217"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项目资金</w:t>
            </w:r>
          </w:p>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（万元）</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cs="仿宋_GB2312"/>
                <w:color w:val="000000"/>
                <w:sz w:val="20"/>
                <w:szCs w:val="20"/>
              </w:rPr>
            </w:pP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年初预算数</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全年预算数（A）</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全年执行数（B）</w:t>
            </w:r>
          </w:p>
        </w:tc>
        <w:tc>
          <w:tcPr>
            <w:tcW w:w="5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分值</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执行率（B/A)</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得分</w:t>
            </w:r>
          </w:p>
        </w:tc>
      </w:tr>
      <w:tr>
        <w:tblPrEx>
          <w:tblCellMar>
            <w:top w:w="0" w:type="dxa"/>
            <w:left w:w="108" w:type="dxa"/>
            <w:bottom w:w="0" w:type="dxa"/>
            <w:right w:w="108" w:type="dxa"/>
          </w:tblCellMar>
        </w:tblPrEx>
        <w:trPr>
          <w:trHeight w:val="161" w:hRule="atLeast"/>
        </w:trPr>
        <w:tc>
          <w:tcPr>
            <w:tcW w:w="2217"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年度资金总额：</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65</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65</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44。07</w:t>
            </w:r>
          </w:p>
        </w:tc>
        <w:tc>
          <w:tcPr>
            <w:tcW w:w="5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67。8%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r>
      <w:tr>
        <w:tblPrEx>
          <w:tblCellMar>
            <w:top w:w="0" w:type="dxa"/>
            <w:left w:w="108" w:type="dxa"/>
            <w:bottom w:w="0" w:type="dxa"/>
            <w:right w:w="108" w:type="dxa"/>
          </w:tblCellMar>
        </w:tblPrEx>
        <w:trPr>
          <w:trHeight w:val="161" w:hRule="atLeast"/>
        </w:trPr>
        <w:tc>
          <w:tcPr>
            <w:tcW w:w="2217"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Style w:val="10"/>
                <w:rFonts w:hint="default" w:ascii="仿宋_GB2312" w:hAnsi="仿宋_GB2312" w:cs="仿宋_GB2312"/>
              </w:rPr>
              <w:t xml:space="preserve"> </w:t>
            </w:r>
            <w:r>
              <w:rPr>
                <w:rStyle w:val="11"/>
                <w:rFonts w:hint="default" w:ascii="仿宋_GB2312" w:hAnsi="仿宋_GB2312" w:cs="仿宋_GB2312"/>
              </w:rPr>
              <w:t>其中：本年财政拨款</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65</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65</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sz w:val="20"/>
                <w:szCs w:val="20"/>
              </w:rPr>
              <w:t>44。07</w:t>
            </w:r>
          </w:p>
        </w:tc>
        <w:tc>
          <w:tcPr>
            <w:tcW w:w="52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cs="仿宋_GB2312"/>
                <w:color w:val="000000"/>
                <w:sz w:val="20"/>
                <w:szCs w:val="20"/>
              </w:rP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161" w:hRule="atLeast"/>
        </w:trPr>
        <w:tc>
          <w:tcPr>
            <w:tcW w:w="2217"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上年结转资金</w:t>
            </w:r>
          </w:p>
        </w:tc>
        <w:tc>
          <w:tcPr>
            <w:tcW w:w="931"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cs="仿宋_GB2312"/>
                <w:color w:val="000000"/>
                <w:sz w:val="20"/>
                <w:szCs w:val="20"/>
              </w:rPr>
            </w:pP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52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cs="仿宋_GB2312"/>
                <w:color w:val="000000"/>
                <w:sz w:val="20"/>
                <w:szCs w:val="20"/>
              </w:rP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161" w:hRule="atLeast"/>
        </w:trPr>
        <w:tc>
          <w:tcPr>
            <w:tcW w:w="2217"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Style w:val="10"/>
                <w:rFonts w:hint="default" w:ascii="仿宋_GB2312" w:hAnsi="仿宋_GB2312" w:cs="仿宋_GB2312"/>
              </w:rPr>
              <w:t xml:space="preserve"> </w:t>
            </w:r>
            <w:r>
              <w:rPr>
                <w:rStyle w:val="11"/>
                <w:rFonts w:hint="default" w:ascii="仿宋_GB2312" w:hAnsi="仿宋_GB2312" w:cs="仿宋_GB2312"/>
              </w:rPr>
              <w:t xml:space="preserve">  其他资金</w:t>
            </w:r>
          </w:p>
        </w:tc>
        <w:tc>
          <w:tcPr>
            <w:tcW w:w="931"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cs="仿宋_GB2312"/>
                <w:color w:val="000000"/>
                <w:sz w:val="20"/>
                <w:szCs w:val="20"/>
              </w:rPr>
            </w:pP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52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cs="仿宋_GB2312"/>
                <w:color w:val="000000"/>
                <w:sz w:val="20"/>
                <w:szCs w:val="20"/>
              </w:rP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174" w:hRule="atLeast"/>
        </w:trPr>
        <w:tc>
          <w:tcPr>
            <w:tcW w:w="900"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年度总体目标完成情况</w:t>
            </w:r>
          </w:p>
        </w:tc>
        <w:tc>
          <w:tcPr>
            <w:tcW w:w="5217"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预期目标</w:t>
            </w:r>
          </w:p>
        </w:tc>
        <w:tc>
          <w:tcPr>
            <w:tcW w:w="666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实际完成情况</w:t>
            </w:r>
          </w:p>
        </w:tc>
      </w:tr>
      <w:tr>
        <w:tblPrEx>
          <w:tblCellMar>
            <w:top w:w="0" w:type="dxa"/>
            <w:left w:w="108" w:type="dxa"/>
            <w:bottom w:w="0" w:type="dxa"/>
            <w:right w:w="108" w:type="dxa"/>
          </w:tblCellMar>
        </w:tblPrEx>
        <w:trPr>
          <w:trHeight w:val="1571" w:hRule="atLeast"/>
        </w:trPr>
        <w:tc>
          <w:tcPr>
            <w:tcW w:w="900" w:type="dxa"/>
            <w:vMerge w:val="continue"/>
            <w:tcBorders>
              <w:top w:val="single" w:color="000000" w:sz="4" w:space="0"/>
              <w:left w:val="single" w:color="000000" w:sz="4" w:space="0"/>
              <w:bottom w:val="nil"/>
              <w:right w:val="single" w:color="000000" w:sz="4" w:space="0"/>
            </w:tcBorders>
            <w:vAlign w:val="center"/>
          </w:tcPr>
          <w:p>
            <w:pPr>
              <w:jc w:val="center"/>
              <w:rPr>
                <w:rFonts w:ascii="仿宋_GB2312" w:hAnsi="仿宋_GB2312" w:cs="仿宋_GB2312"/>
                <w:color w:val="000000"/>
                <w:sz w:val="20"/>
                <w:szCs w:val="20"/>
              </w:rPr>
            </w:pPr>
          </w:p>
        </w:tc>
        <w:tc>
          <w:tcPr>
            <w:tcW w:w="5217" w:type="dxa"/>
            <w:gridSpan w:val="8"/>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仿宋_GB2312" w:cs="仿宋_GB2312"/>
                <w:color w:val="000000"/>
                <w:sz w:val="20"/>
                <w:szCs w:val="20"/>
              </w:rPr>
            </w:pPr>
            <w:r>
              <w:rPr>
                <w:rFonts w:hint="eastAsia" w:ascii="仿宋_GB2312" w:hAnsi="仿宋_GB2312" w:cs="仿宋_GB2312"/>
                <w:color w:val="000000"/>
                <w:kern w:val="0"/>
                <w:sz w:val="20"/>
                <w:szCs w:val="20"/>
              </w:rPr>
              <w:t>建设全市统一的公共资源交易电子平台，为全</w:t>
            </w:r>
            <w:r>
              <w:rPr>
                <w:rFonts w:hint="eastAsia" w:ascii="仿宋_GB2312" w:hAnsi="仿宋_GB2312" w:cs="仿宋_GB2312"/>
                <w:color w:val="000000"/>
                <w:kern w:val="0"/>
                <w:sz w:val="20"/>
                <w:szCs w:val="20"/>
                <w:lang w:val="en-US" w:eastAsia="zh-CN"/>
              </w:rPr>
              <w:t>县</w:t>
            </w:r>
            <w:r>
              <w:rPr>
                <w:rFonts w:hint="eastAsia" w:ascii="仿宋_GB2312" w:hAnsi="仿宋_GB2312" w:cs="仿宋_GB2312"/>
                <w:color w:val="000000"/>
                <w:kern w:val="0"/>
                <w:sz w:val="20"/>
                <w:szCs w:val="20"/>
              </w:rPr>
              <w:t>招投标事务提供优质、高效、便捷服务；实现公共资源交易全程电子化、服务标准化、管理智能化，形成规统一、公开透明、服务高效、监督规范的公共资源交易平台体系。</w:t>
            </w:r>
          </w:p>
        </w:tc>
        <w:tc>
          <w:tcPr>
            <w:tcW w:w="6662" w:type="dxa"/>
            <w:gridSpan w:val="8"/>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仿宋_GB2312" w:cs="仿宋_GB2312"/>
                <w:color w:val="000000"/>
                <w:sz w:val="20"/>
                <w:szCs w:val="20"/>
              </w:rPr>
            </w:pPr>
            <w:r>
              <w:rPr>
                <w:rFonts w:hint="eastAsia" w:ascii="仿宋_GB2312" w:hAnsi="仿宋_GB2312" w:cs="仿宋_GB2312"/>
                <w:color w:val="000000"/>
                <w:kern w:val="0"/>
                <w:sz w:val="20"/>
                <w:szCs w:val="20"/>
              </w:rPr>
              <w:t>建设全市统一的公共资源交易电子平台，为全</w:t>
            </w:r>
            <w:r>
              <w:rPr>
                <w:rFonts w:hint="eastAsia" w:ascii="仿宋_GB2312" w:hAnsi="仿宋_GB2312" w:cs="仿宋_GB2312"/>
                <w:color w:val="000000"/>
                <w:kern w:val="0"/>
                <w:sz w:val="20"/>
                <w:szCs w:val="20"/>
                <w:lang w:val="en-US" w:eastAsia="zh-CN"/>
              </w:rPr>
              <w:t>县</w:t>
            </w:r>
            <w:r>
              <w:rPr>
                <w:rFonts w:hint="eastAsia" w:ascii="仿宋_GB2312" w:hAnsi="仿宋_GB2312" w:cs="仿宋_GB2312"/>
                <w:color w:val="000000"/>
                <w:kern w:val="0"/>
                <w:sz w:val="20"/>
                <w:szCs w:val="20"/>
              </w:rPr>
              <w:t>招投标事务提供优质、高效、便捷服务；实现公共资源交易全程电子化、服务标准化、管理智能化，形成规统一、公开透明、服务高效、监督规范的公共资源交易平台体系。</w:t>
            </w:r>
          </w:p>
        </w:tc>
      </w:tr>
      <w:tr>
        <w:tblPrEx>
          <w:tblCellMar>
            <w:top w:w="0" w:type="dxa"/>
            <w:left w:w="108" w:type="dxa"/>
            <w:bottom w:w="0" w:type="dxa"/>
            <w:right w:w="108" w:type="dxa"/>
          </w:tblCellMar>
        </w:tblPrEx>
        <w:trPr>
          <w:trHeight w:val="369" w:hRule="atLeast"/>
        </w:trPr>
        <w:tc>
          <w:tcPr>
            <w:tcW w:w="900"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年度绩效指标完成情况</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一级</w:t>
            </w:r>
          </w:p>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w:t>
            </w:r>
          </w:p>
        </w:tc>
        <w:tc>
          <w:tcPr>
            <w:tcW w:w="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二级指标</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三级指标</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年度指标值</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实际完成值</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分值</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得分</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偏差原因分析及改进措施</w:t>
            </w:r>
          </w:p>
        </w:tc>
      </w:tr>
      <w:tr>
        <w:tblPrEx>
          <w:tblCellMar>
            <w:top w:w="0" w:type="dxa"/>
            <w:left w:w="108" w:type="dxa"/>
            <w:bottom w:w="0" w:type="dxa"/>
            <w:right w:w="108" w:type="dxa"/>
          </w:tblCellMar>
        </w:tblPrEx>
        <w:trPr>
          <w:trHeight w:val="207" w:hRule="atLeast"/>
        </w:trPr>
        <w:tc>
          <w:tcPr>
            <w:tcW w:w="90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仿宋_GB2312" w:hAnsi="仿宋_GB2312" w:cs="仿宋_GB2312"/>
                <w:color w:val="000000"/>
                <w:sz w:val="20"/>
                <w:szCs w:val="20"/>
              </w:rPr>
            </w:pP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产</w:t>
            </w:r>
          </w:p>
          <w:p>
            <w:pPr>
              <w:widowControl/>
              <w:spacing w:line="300" w:lineRule="exact"/>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出</w:t>
            </w:r>
          </w:p>
          <w:p>
            <w:pPr>
              <w:widowControl/>
              <w:spacing w:line="300" w:lineRule="exact"/>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指</w:t>
            </w:r>
          </w:p>
          <w:p>
            <w:pPr>
              <w:widowControl/>
              <w:spacing w:line="300" w:lineRule="exact"/>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标</w:t>
            </w:r>
          </w:p>
          <w:p>
            <w:pPr>
              <w:widowControl/>
              <w:spacing w:line="300" w:lineRule="exact"/>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(50分)</w:t>
            </w:r>
          </w:p>
        </w:tc>
        <w:tc>
          <w:tcPr>
            <w:tcW w:w="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数量指标</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指标1：为全</w:t>
            </w:r>
            <w:r>
              <w:rPr>
                <w:rFonts w:hint="eastAsia" w:ascii="仿宋_GB2312" w:hAnsi="仿宋_GB2312" w:cs="仿宋_GB2312"/>
                <w:color w:val="000000"/>
                <w:kern w:val="0"/>
                <w:sz w:val="20"/>
                <w:szCs w:val="20"/>
                <w:lang w:val="en-US" w:eastAsia="zh-CN"/>
              </w:rPr>
              <w:t>县</w:t>
            </w:r>
            <w:r>
              <w:rPr>
                <w:rFonts w:hint="eastAsia" w:ascii="仿宋_GB2312" w:hAnsi="仿宋_GB2312" w:cs="仿宋_GB2312"/>
                <w:color w:val="000000"/>
                <w:kern w:val="0"/>
                <w:sz w:val="20"/>
                <w:szCs w:val="20"/>
              </w:rPr>
              <w:t>招投标事务提供优质、高效、便捷服务。</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99%</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99%</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20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20</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207" w:hRule="atLeast"/>
        </w:trPr>
        <w:tc>
          <w:tcPr>
            <w:tcW w:w="90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仿宋_GB2312" w:hAnsi="仿宋_GB2312" w:cs="仿宋_GB2312"/>
                <w:color w:val="000000"/>
                <w:sz w:val="20"/>
                <w:szCs w:val="20"/>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质量指标</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_GB2312" w:hAnsi="仿宋_GB2312" w:eastAsia="仿宋_GB2312" w:cs="仿宋_GB2312"/>
                <w:color w:val="000000"/>
                <w:sz w:val="20"/>
                <w:szCs w:val="20"/>
                <w:lang w:val="en-US" w:eastAsia="zh-CN"/>
              </w:rPr>
            </w:pPr>
            <w:r>
              <w:rPr>
                <w:rFonts w:hint="eastAsia" w:ascii="仿宋_GB2312" w:hAnsi="仿宋_GB2312" w:cs="仿宋_GB2312"/>
                <w:color w:val="000000"/>
                <w:kern w:val="0"/>
                <w:sz w:val="20"/>
                <w:szCs w:val="20"/>
              </w:rPr>
              <w:t>指标1：为全市公共资源交易提供公开、公平、公正</w:t>
            </w:r>
            <w:r>
              <w:rPr>
                <w:rFonts w:hint="eastAsia" w:ascii="仿宋_GB2312" w:hAnsi="仿宋_GB2312" w:cs="仿宋_GB2312"/>
                <w:color w:val="000000"/>
                <w:kern w:val="0"/>
                <w:sz w:val="20"/>
                <w:szCs w:val="20"/>
                <w:lang w:val="en-US" w:eastAsia="zh-CN"/>
              </w:rPr>
              <w:t>平台保障</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100%</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207" w:hRule="atLeast"/>
        </w:trPr>
        <w:tc>
          <w:tcPr>
            <w:tcW w:w="90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仿宋_GB2312" w:hAnsi="仿宋_GB2312" w:cs="仿宋_GB2312"/>
                <w:color w:val="000000"/>
                <w:sz w:val="20"/>
                <w:szCs w:val="20"/>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时效指标</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指标1：实时处理公共资源交易过程中咨询、培训、论证、复审、档案管理，专家抽取，公告，公证，开标，评标，监控及机房维护各类事务，保证网络安全等级测试。</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sz w:val="20"/>
                <w:szCs w:val="20"/>
              </w:rPr>
              <w:t>98%</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sz w:val="20"/>
                <w:szCs w:val="20"/>
              </w:rPr>
              <w:t>98%</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247" w:hRule="atLeast"/>
        </w:trPr>
        <w:tc>
          <w:tcPr>
            <w:tcW w:w="90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仿宋_GB2312" w:hAnsi="仿宋_GB2312" w:cs="仿宋_GB2312"/>
                <w:color w:val="000000"/>
                <w:sz w:val="20"/>
                <w:szCs w:val="20"/>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成本指标</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指标每年65万的建设和维护费</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16"/>
                <w:szCs w:val="16"/>
              </w:rPr>
            </w:pPr>
            <w:r>
              <w:rPr>
                <w:rFonts w:hint="eastAsia" w:ascii="仿宋_GB2312" w:hAnsi="仿宋_GB2312" w:cs="仿宋_GB2312"/>
                <w:color w:val="000000"/>
                <w:kern w:val="0"/>
                <w:sz w:val="16"/>
                <w:szCs w:val="16"/>
              </w:rPr>
              <w:t>65万元</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16"/>
                <w:szCs w:val="16"/>
              </w:rPr>
            </w:pPr>
            <w:r>
              <w:rPr>
                <w:rFonts w:hint="eastAsia" w:ascii="仿宋_GB2312" w:hAnsi="仿宋_GB2312" w:cs="仿宋_GB2312"/>
                <w:color w:val="000000"/>
                <w:sz w:val="16"/>
                <w:szCs w:val="16"/>
              </w:rPr>
              <w:t>44。07万元</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247" w:hRule="atLeast"/>
        </w:trPr>
        <w:tc>
          <w:tcPr>
            <w:tcW w:w="90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仿宋_GB2312" w:hAnsi="仿宋_GB2312" w:cs="仿宋_GB2312"/>
                <w:color w:val="000000"/>
                <w:sz w:val="20"/>
                <w:szCs w:val="20"/>
              </w:rPr>
            </w:pP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效</w:t>
            </w:r>
          </w:p>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益</w:t>
            </w:r>
          </w:p>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指</w:t>
            </w:r>
          </w:p>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标</w:t>
            </w:r>
          </w:p>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(30分)</w:t>
            </w:r>
          </w:p>
        </w:tc>
        <w:tc>
          <w:tcPr>
            <w:tcW w:w="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经济效益</w:t>
            </w:r>
          </w:p>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指标1提高公共资源配置效率和效益</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12个月</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12个月</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247" w:hRule="atLeast"/>
        </w:trPr>
        <w:tc>
          <w:tcPr>
            <w:tcW w:w="90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仿宋_GB2312" w:hAnsi="仿宋_GB2312" w:cs="仿宋_GB2312"/>
                <w:color w:val="000000"/>
                <w:sz w:val="20"/>
                <w:szCs w:val="20"/>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社会效益</w:t>
            </w:r>
          </w:p>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指标1减少投标企业投标成本</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65%</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65%</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247" w:hRule="atLeast"/>
        </w:trPr>
        <w:tc>
          <w:tcPr>
            <w:tcW w:w="90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仿宋_GB2312" w:hAnsi="仿宋_GB2312" w:cs="仿宋_GB2312"/>
                <w:color w:val="000000"/>
                <w:sz w:val="20"/>
                <w:szCs w:val="20"/>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生态效益</w:t>
            </w:r>
          </w:p>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指标1：推行不见面开标，减少人员出入开评标</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90%</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 xml:space="preserve"> 90%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247" w:hRule="atLeast"/>
        </w:trPr>
        <w:tc>
          <w:tcPr>
            <w:tcW w:w="90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仿宋_GB2312" w:hAnsi="仿宋_GB2312" w:cs="仿宋_GB2312"/>
                <w:color w:val="000000"/>
                <w:sz w:val="20"/>
                <w:szCs w:val="20"/>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c>
          <w:tcPr>
            <w:tcW w:w="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可持续影</w:t>
            </w:r>
          </w:p>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响指标</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指标1：不断更新升级，满足经济社会发展需要。</w:t>
            </w:r>
          </w:p>
        </w:tc>
        <w:tc>
          <w:tcPr>
            <w:tcW w:w="836"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cs="仿宋_GB2312"/>
                <w:color w:val="000000"/>
                <w:sz w:val="20"/>
                <w:szCs w:val="20"/>
              </w:rPr>
            </w:pPr>
            <w:r>
              <w:rPr>
                <w:rFonts w:hint="eastAsia" w:ascii="仿宋_GB2312" w:hAnsi="仿宋_GB2312" w:cs="仿宋_GB2312"/>
                <w:color w:val="000000"/>
                <w:sz w:val="20"/>
                <w:szCs w:val="20"/>
              </w:rPr>
              <w:t>99%</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99%</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247" w:hRule="atLeast"/>
        </w:trPr>
        <w:tc>
          <w:tcPr>
            <w:tcW w:w="90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仿宋_GB2312" w:hAnsi="仿宋_GB2312" w:cs="仿宋_GB2312"/>
                <w:color w:val="000000"/>
                <w:sz w:val="20"/>
                <w:szCs w:val="20"/>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满意度指标</w:t>
            </w:r>
          </w:p>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(10分)</w:t>
            </w:r>
          </w:p>
        </w:tc>
        <w:tc>
          <w:tcPr>
            <w:tcW w:w="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0"/>
                <w:szCs w:val="20"/>
              </w:rPr>
            </w:pPr>
            <w:r>
              <w:rPr>
                <w:rFonts w:hint="eastAsia" w:ascii="仿宋_GB2312" w:hAnsi="仿宋_GB2312" w:cs="仿宋_GB2312"/>
                <w:color w:val="000000"/>
                <w:kern w:val="0"/>
                <w:sz w:val="20"/>
                <w:szCs w:val="20"/>
              </w:rPr>
              <w:t>服务对象</w:t>
            </w:r>
          </w:p>
          <w:p>
            <w:pPr>
              <w:widowControl/>
              <w:jc w:val="center"/>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满意度指标</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指标1：根据用户满意度调查，用户满意度达99%</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12个月</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12个月</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color w:val="000000"/>
                <w:sz w:val="20"/>
                <w:szCs w:val="20"/>
              </w:rPr>
            </w:pPr>
            <w:r>
              <w:rPr>
                <w:rFonts w:hint="eastAsia" w:ascii="仿宋_GB2312" w:hAnsi="仿宋_GB2312" w:cs="仿宋_GB2312"/>
                <w:color w:val="000000"/>
                <w:kern w:val="0"/>
                <w:sz w:val="20"/>
                <w:szCs w:val="20"/>
              </w:rPr>
              <w:t>8</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r>
        <w:tblPrEx>
          <w:tblCellMar>
            <w:top w:w="0" w:type="dxa"/>
            <w:left w:w="108" w:type="dxa"/>
            <w:bottom w:w="0" w:type="dxa"/>
            <w:right w:w="108" w:type="dxa"/>
          </w:tblCellMar>
        </w:tblPrEx>
        <w:trPr>
          <w:trHeight w:val="207" w:hRule="atLeast"/>
        </w:trPr>
        <w:tc>
          <w:tcPr>
            <w:tcW w:w="5041" w:type="dxa"/>
            <w:gridSpan w:val="7"/>
            <w:tcBorders>
              <w:top w:val="single" w:color="000000" w:sz="4" w:space="0"/>
              <w:left w:val="single" w:color="000000" w:sz="4" w:space="0"/>
              <w:bottom w:val="single" w:color="000000" w:sz="4" w:space="0"/>
              <w:right w:val="nil"/>
            </w:tcBorders>
            <w:vAlign w:val="center"/>
          </w:tcPr>
          <w:p>
            <w:pPr>
              <w:widowControl/>
              <w:jc w:val="center"/>
              <w:textAlignment w:val="center"/>
              <w:rPr>
                <w:rFonts w:ascii="仿宋_GB2312" w:hAnsi="仿宋_GB2312" w:cs="仿宋_GB2312"/>
                <w:b/>
                <w:bCs/>
                <w:color w:val="000000"/>
                <w:sz w:val="20"/>
                <w:szCs w:val="20"/>
              </w:rPr>
            </w:pPr>
            <w:r>
              <w:rPr>
                <w:rFonts w:hint="eastAsia" w:ascii="仿宋_GB2312" w:hAnsi="仿宋_GB2312" w:cs="仿宋_GB2312"/>
                <w:b/>
                <w:bCs/>
                <w:color w:val="000000"/>
                <w:kern w:val="0"/>
                <w:sz w:val="20"/>
                <w:szCs w:val="20"/>
              </w:rPr>
              <w:t>总分</w:t>
            </w:r>
          </w:p>
        </w:tc>
        <w:tc>
          <w:tcPr>
            <w:tcW w:w="1076" w:type="dxa"/>
            <w:gridSpan w:val="2"/>
            <w:tcBorders>
              <w:top w:val="nil"/>
              <w:left w:val="nil"/>
              <w:bottom w:val="nil"/>
              <w:right w:val="nil"/>
            </w:tcBorders>
            <w:noWrap/>
            <w:vAlign w:val="center"/>
          </w:tcPr>
          <w:p>
            <w:pPr>
              <w:rPr>
                <w:rFonts w:ascii="仿宋_GB2312" w:hAnsi="仿宋_GB2312" w:cs="仿宋_GB2312"/>
                <w:color w:val="000000"/>
                <w:sz w:val="20"/>
                <w:szCs w:val="20"/>
              </w:rPr>
            </w:pP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cs="仿宋_GB2312"/>
                <w:b/>
                <w:bCs/>
                <w:color w:val="000000"/>
                <w:sz w:val="20"/>
                <w:szCs w:val="20"/>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b/>
                <w:bCs/>
                <w:color w:val="000000"/>
                <w:sz w:val="20"/>
                <w:szCs w:val="20"/>
              </w:rPr>
            </w:pPr>
            <w:r>
              <w:rPr>
                <w:rFonts w:hint="eastAsia" w:ascii="仿宋_GB2312" w:hAnsi="仿宋_GB2312" w:cs="仿宋_GB2312"/>
                <w:b/>
                <w:bCs/>
                <w:color w:val="000000"/>
                <w:sz w:val="20"/>
                <w:szCs w:val="20"/>
              </w:rPr>
              <w:t>100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仿宋_GB2312" w:cs="仿宋_GB2312"/>
                <w:b/>
                <w:bCs/>
                <w:color w:val="000000"/>
                <w:sz w:val="20"/>
                <w:szCs w:val="20"/>
              </w:rPr>
            </w:pPr>
            <w:r>
              <w:rPr>
                <w:rFonts w:hint="eastAsia" w:ascii="仿宋_GB2312" w:hAnsi="仿宋_GB2312" w:cs="仿宋_GB2312"/>
                <w:b/>
                <w:bCs/>
                <w:color w:val="000000"/>
                <w:kern w:val="0"/>
                <w:sz w:val="20"/>
                <w:szCs w:val="20"/>
              </w:rPr>
              <w:t>98</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color w:val="000000"/>
                <w:sz w:val="20"/>
                <w:szCs w:val="20"/>
              </w:rPr>
            </w:pPr>
          </w:p>
        </w:tc>
      </w:tr>
    </w:tbl>
    <w:p>
      <w:pPr>
        <w:spacing w:line="600" w:lineRule="exact"/>
        <w:ind w:firstLine="600" w:firstLineChars="200"/>
        <w:rPr>
          <w:rFonts w:ascii="黑体" w:hAnsi="黑体" w:eastAsia="黑体"/>
        </w:rPr>
        <w:sectPr>
          <w:pgSz w:w="16838" w:h="11906" w:orient="landscape"/>
          <w:pgMar w:top="1531" w:right="1928" w:bottom="1531" w:left="1701" w:header="737" w:footer="850" w:gutter="0"/>
          <w:cols w:space="720" w:num="1"/>
          <w:docGrid w:type="lines" w:linePitch="421" w:charSpace="0"/>
        </w:sectPr>
      </w:pPr>
    </w:p>
    <w:p>
      <w:pPr>
        <w:spacing w:line="600" w:lineRule="exact"/>
        <w:ind w:firstLine="643" w:firstLineChars="200"/>
        <w:outlineLvl w:val="0"/>
        <w:rPr>
          <w:rFonts w:hint="eastAsia" w:ascii="仿宋_GB2312" w:hAnsi="仿宋_GB2312" w:cs="仿宋_GB2312"/>
          <w:b/>
          <w:bCs/>
          <w:sz w:val="32"/>
          <w:szCs w:val="32"/>
        </w:rPr>
      </w:pPr>
      <w:r>
        <w:rPr>
          <w:rFonts w:hint="eastAsia" w:ascii="仿宋_GB2312" w:hAnsi="仿宋_GB2312" w:cs="仿宋_GB2312"/>
          <w:b/>
          <w:bCs/>
          <w:sz w:val="32"/>
          <w:szCs w:val="32"/>
        </w:rPr>
        <w:t>四、绩效评价指标分析</w:t>
      </w:r>
    </w:p>
    <w:p>
      <w:pPr>
        <w:spacing w:line="600" w:lineRule="exact"/>
        <w:ind w:firstLine="640" w:firstLineChars="200"/>
        <w:outlineLvl w:val="0"/>
        <w:rPr>
          <w:rFonts w:ascii="仿宋_GB2312"/>
          <w:sz w:val="32"/>
          <w:szCs w:val="32"/>
        </w:rPr>
      </w:pPr>
      <w:r>
        <w:rPr>
          <w:rFonts w:hint="eastAsia" w:ascii="仿宋_GB2312"/>
          <w:sz w:val="32"/>
          <w:szCs w:val="32"/>
        </w:rPr>
        <w:t>（一）项目决策情况。</w:t>
      </w:r>
    </w:p>
    <w:p>
      <w:pPr>
        <w:spacing w:line="560" w:lineRule="exact"/>
        <w:ind w:firstLine="640" w:firstLineChars="200"/>
        <w:rPr>
          <w:rFonts w:ascii="仿宋_GB2312"/>
          <w:sz w:val="32"/>
          <w:szCs w:val="32"/>
        </w:rPr>
      </w:pPr>
      <w:r>
        <w:rPr>
          <w:rFonts w:hint="eastAsia" w:ascii="仿宋_GB2312"/>
          <w:sz w:val="32"/>
          <w:szCs w:val="32"/>
        </w:rPr>
        <w:t>根据《</w:t>
      </w:r>
      <w:r>
        <w:rPr>
          <w:rFonts w:hint="eastAsia" w:ascii="仿宋" w:hAnsi="仿宋" w:eastAsia="仿宋" w:cs="仿宋"/>
          <w:color w:val="333333"/>
          <w:kern w:val="0"/>
          <w:sz w:val="32"/>
          <w:szCs w:val="32"/>
          <w:shd w:val="clear" w:color="auto" w:fill="FFFFFF"/>
        </w:rPr>
        <w:t>安徽省发展改革委关于印发安徽省公共资源交易平台服务第三方评价指标和市场主体评价表的通知</w:t>
      </w:r>
      <w:r>
        <w:rPr>
          <w:rFonts w:hint="eastAsia" w:ascii="仿宋_GB2312"/>
          <w:sz w:val="32"/>
          <w:szCs w:val="32"/>
        </w:rPr>
        <w:t>》的有关规定，设置</w:t>
      </w:r>
      <w:r>
        <w:rPr>
          <w:rFonts w:hint="eastAsia" w:ascii="仿宋_GB2312" w:hAnsi="仿宋_GB2312" w:cs="仿宋_GB2312"/>
          <w:color w:val="333333"/>
          <w:sz w:val="32"/>
          <w:szCs w:val="32"/>
          <w:shd w:val="clear" w:color="auto" w:fill="FFFFFF"/>
        </w:rPr>
        <w:t>县公共资源交易中心招标投标事务运行费，此项目在规范、合理的情况下支付全年经费。</w:t>
      </w:r>
    </w:p>
    <w:p>
      <w:pPr>
        <w:spacing w:line="600" w:lineRule="exact"/>
        <w:ind w:firstLine="640" w:firstLineChars="200"/>
        <w:outlineLvl w:val="0"/>
        <w:rPr>
          <w:rFonts w:ascii="仿宋_GB2312"/>
          <w:sz w:val="32"/>
          <w:szCs w:val="32"/>
        </w:rPr>
      </w:pPr>
      <w:r>
        <w:rPr>
          <w:rFonts w:hint="eastAsia" w:ascii="仿宋_GB2312"/>
          <w:sz w:val="32"/>
          <w:szCs w:val="32"/>
        </w:rPr>
        <w:t>（二）项目过程情况。</w:t>
      </w:r>
    </w:p>
    <w:p>
      <w:pPr>
        <w:spacing w:line="600" w:lineRule="exact"/>
        <w:ind w:firstLine="640" w:firstLineChars="200"/>
        <w:outlineLvl w:val="0"/>
        <w:rPr>
          <w:rFonts w:ascii="仿宋_GB2312"/>
          <w:sz w:val="32"/>
          <w:szCs w:val="32"/>
        </w:rPr>
      </w:pPr>
      <w:r>
        <w:rPr>
          <w:rFonts w:hint="eastAsia" w:ascii="仿宋_GB2312"/>
          <w:sz w:val="32"/>
          <w:szCs w:val="32"/>
        </w:rPr>
        <w:t>项目从年初开始，贯穿全年开展招标投标项目的全过程运转。年未基本完成年初制定目标任务。</w:t>
      </w:r>
    </w:p>
    <w:p>
      <w:pPr>
        <w:spacing w:line="600" w:lineRule="exact"/>
        <w:ind w:firstLine="640" w:firstLineChars="200"/>
        <w:outlineLvl w:val="0"/>
        <w:rPr>
          <w:rFonts w:ascii="仿宋_GB2312"/>
          <w:sz w:val="32"/>
          <w:szCs w:val="32"/>
        </w:rPr>
      </w:pPr>
      <w:r>
        <w:rPr>
          <w:rFonts w:hint="eastAsia" w:ascii="仿宋_GB2312"/>
          <w:sz w:val="32"/>
          <w:szCs w:val="32"/>
        </w:rPr>
        <w:t>（三）项目产出情况。</w:t>
      </w:r>
    </w:p>
    <w:p>
      <w:pPr>
        <w:spacing w:line="600" w:lineRule="exact"/>
        <w:ind w:firstLine="640" w:firstLineChars="200"/>
        <w:outlineLvl w:val="0"/>
        <w:rPr>
          <w:rFonts w:ascii="仿宋_GB2312" w:hAnsi="仿宋_GB2312" w:cs="仿宋_GB2312"/>
          <w:color w:val="000000"/>
          <w:kern w:val="0"/>
          <w:sz w:val="32"/>
          <w:szCs w:val="32"/>
        </w:rPr>
      </w:pPr>
      <w:r>
        <w:rPr>
          <w:rFonts w:hint="eastAsia" w:ascii="仿宋_GB2312" w:hAnsi="仿宋_GB2312" w:cs="仿宋_GB2312"/>
          <w:color w:val="000000"/>
          <w:kern w:val="0"/>
          <w:sz w:val="32"/>
          <w:szCs w:val="32"/>
        </w:rPr>
        <w:t>实时处理公共资源交易过程中咨询、培训宣传、论证、复审、档案管理，专家抽取，公告，公证，开标，评标，办公的设备使用和维护、监控及网络安全维护等各类事务，推行不见面开标，减少人员出入开评标，不断更新升级，满足经济社会发展需要。</w:t>
      </w:r>
    </w:p>
    <w:p>
      <w:pPr>
        <w:spacing w:line="600" w:lineRule="exact"/>
        <w:ind w:firstLine="640" w:firstLineChars="200"/>
        <w:outlineLvl w:val="0"/>
        <w:rPr>
          <w:rFonts w:ascii="仿宋_GB2312"/>
          <w:sz w:val="32"/>
          <w:szCs w:val="32"/>
        </w:rPr>
      </w:pPr>
      <w:r>
        <w:rPr>
          <w:rFonts w:hint="eastAsia" w:ascii="仿宋_GB2312"/>
          <w:sz w:val="32"/>
          <w:szCs w:val="32"/>
        </w:rPr>
        <w:t>（四）项目效益情况。</w:t>
      </w:r>
    </w:p>
    <w:p>
      <w:pPr>
        <w:spacing w:line="600" w:lineRule="exact"/>
        <w:ind w:firstLine="640" w:firstLineChars="200"/>
        <w:outlineLvl w:val="0"/>
        <w:rPr>
          <w:rFonts w:ascii="仿宋_GB2312" w:hAnsi="仿宋_GB2312" w:cs="仿宋_GB2312"/>
          <w:color w:val="000000"/>
          <w:kern w:val="0"/>
          <w:sz w:val="32"/>
          <w:szCs w:val="32"/>
        </w:rPr>
      </w:pPr>
      <w:r>
        <w:rPr>
          <w:rFonts w:hint="eastAsia" w:ascii="仿宋_GB2312" w:hAnsi="仿宋_GB2312" w:cs="仿宋_GB2312"/>
          <w:sz w:val="32"/>
          <w:szCs w:val="32"/>
        </w:rPr>
        <w:t>通过项目开展，</w:t>
      </w:r>
      <w:r>
        <w:rPr>
          <w:rFonts w:hint="eastAsia" w:ascii="仿宋_GB2312" w:hAnsi="仿宋_GB2312" w:cs="仿宋_GB2312"/>
          <w:color w:val="000000"/>
          <w:kern w:val="0"/>
          <w:sz w:val="32"/>
          <w:szCs w:val="32"/>
        </w:rPr>
        <w:t>为全</w:t>
      </w:r>
      <w:r>
        <w:rPr>
          <w:rFonts w:hint="eastAsia" w:ascii="仿宋_GB2312" w:hAnsi="仿宋_GB2312" w:cs="仿宋_GB2312"/>
          <w:color w:val="000000"/>
          <w:kern w:val="0"/>
          <w:sz w:val="32"/>
          <w:szCs w:val="32"/>
          <w:lang w:val="en-US" w:eastAsia="zh-CN"/>
        </w:rPr>
        <w:t>县</w:t>
      </w:r>
      <w:r>
        <w:rPr>
          <w:rFonts w:hint="eastAsia" w:ascii="仿宋_GB2312" w:hAnsi="仿宋_GB2312" w:cs="仿宋_GB2312"/>
          <w:color w:val="000000"/>
          <w:kern w:val="0"/>
          <w:sz w:val="32"/>
          <w:szCs w:val="32"/>
        </w:rPr>
        <w:t>招投标事务提供了优质、高效、便捷服务。</w:t>
      </w:r>
    </w:p>
    <w:p>
      <w:pPr>
        <w:spacing w:line="600" w:lineRule="exact"/>
        <w:ind w:firstLine="643" w:firstLineChars="200"/>
        <w:outlineLvl w:val="0"/>
        <w:rPr>
          <w:rFonts w:hint="eastAsia" w:ascii="仿宋_GB2312" w:hAnsi="仿宋_GB2312" w:cs="仿宋_GB2312"/>
          <w:b/>
          <w:bCs/>
          <w:sz w:val="32"/>
          <w:szCs w:val="32"/>
        </w:rPr>
      </w:pPr>
      <w:r>
        <w:rPr>
          <w:rFonts w:hint="eastAsia" w:ascii="仿宋_GB2312" w:hAnsi="仿宋_GB2312" w:cs="仿宋_GB2312"/>
          <w:b/>
          <w:bCs/>
          <w:sz w:val="32"/>
          <w:szCs w:val="32"/>
        </w:rPr>
        <w:t>五、主要经验及做法、存在的问题及原因分析</w:t>
      </w:r>
    </w:p>
    <w:p>
      <w:pPr>
        <w:spacing w:line="600" w:lineRule="exact"/>
        <w:ind w:firstLine="640" w:firstLineChars="200"/>
        <w:outlineLvl w:val="0"/>
        <w:rPr>
          <w:rFonts w:ascii="仿宋_GB2312" w:hAnsi="仿宋_GB2312" w:cs="仿宋_GB2312"/>
          <w:sz w:val="32"/>
          <w:szCs w:val="32"/>
        </w:rPr>
      </w:pPr>
      <w:r>
        <w:rPr>
          <w:rFonts w:hint="eastAsia" w:ascii="仿宋_GB2312" w:hAnsi="仿宋_GB2312" w:cs="仿宋_GB2312"/>
          <w:sz w:val="32"/>
          <w:szCs w:val="32"/>
        </w:rPr>
        <w:t>存在问题：第一，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第三，对项目支出绩效评价的内容上还有待于进一步完善。缺乏科学、完善的项目支出绩效评价会为机关、事业单位的绩效评价工作带来很大的弊端。</w:t>
      </w:r>
    </w:p>
    <w:p>
      <w:pPr>
        <w:spacing w:line="600" w:lineRule="exact"/>
        <w:ind w:firstLine="643" w:firstLineChars="200"/>
        <w:outlineLvl w:val="0"/>
        <w:rPr>
          <w:rFonts w:hint="eastAsia" w:ascii="仿宋_GB2312" w:hAnsi="仿宋_GB2312" w:cs="仿宋_GB2312"/>
          <w:b/>
          <w:bCs/>
          <w:sz w:val="32"/>
          <w:szCs w:val="32"/>
        </w:rPr>
      </w:pPr>
      <w:r>
        <w:rPr>
          <w:rFonts w:hint="eastAsia" w:ascii="仿宋_GB2312" w:hAnsi="仿宋_GB2312" w:cs="仿宋_GB2312"/>
          <w:b/>
          <w:bCs/>
          <w:sz w:val="32"/>
          <w:szCs w:val="32"/>
        </w:rPr>
        <w:t>六、有关建议</w:t>
      </w:r>
    </w:p>
    <w:p>
      <w:pPr>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spacing w:line="600" w:lineRule="exact"/>
        <w:ind w:firstLine="640" w:firstLineChars="200"/>
        <w:rPr>
          <w:rFonts w:ascii="黑体" w:hAnsi="黑体" w:eastAsia="黑体"/>
        </w:rPr>
      </w:pPr>
      <w:r>
        <w:rPr>
          <w:rFonts w:hint="eastAsia" w:ascii="仿宋_GB2312" w:hAnsi="仿宋_GB2312" w:cs="仿宋_GB2312"/>
          <w:sz w:val="32"/>
          <w:szCs w:val="32"/>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spacing w:line="600" w:lineRule="exact"/>
        <w:ind w:firstLine="643" w:firstLineChars="200"/>
        <w:outlineLvl w:val="0"/>
        <w:rPr>
          <w:rFonts w:hint="eastAsia" w:ascii="仿宋_GB2312" w:hAnsi="仿宋_GB2312" w:cs="仿宋_GB2312"/>
          <w:b/>
          <w:bCs/>
          <w:sz w:val="32"/>
          <w:szCs w:val="32"/>
        </w:rPr>
      </w:pPr>
      <w:r>
        <w:rPr>
          <w:rFonts w:hint="eastAsia" w:ascii="仿宋_GB2312" w:hAnsi="仿宋_GB2312" w:cs="仿宋_GB2312"/>
          <w:b/>
          <w:bCs/>
          <w:sz w:val="32"/>
          <w:szCs w:val="32"/>
        </w:rPr>
        <w:t>七、其他需要说明的问题</w:t>
      </w:r>
    </w:p>
    <w:p>
      <w:pPr>
        <w:spacing w:line="560" w:lineRule="exact"/>
        <w:ind w:firstLine="640" w:firstLineChars="200"/>
        <w:rPr>
          <w:rFonts w:ascii="仿宋_GB2312"/>
          <w:sz w:val="32"/>
          <w:szCs w:val="32"/>
        </w:rPr>
      </w:pPr>
      <w:r>
        <w:rPr>
          <w:rFonts w:hint="eastAsia" w:ascii="仿宋_GB2312"/>
          <w:sz w:val="32"/>
          <w:szCs w:val="32"/>
        </w:rPr>
        <w:t>目前并未发现存在其他问题。</w:t>
      </w: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_GB2312" w:cs="仿宋_GB2312"/>
          <w:sz w:val="32"/>
          <w:szCs w:val="32"/>
        </w:rPr>
      </w:pPr>
    </w:p>
    <w:p>
      <w:pPr>
        <w:spacing w:line="600" w:lineRule="exact"/>
        <w:ind w:firstLine="640" w:firstLineChars="200"/>
        <w:jc w:val="right"/>
        <w:rPr>
          <w:rFonts w:ascii="仿宋_GB2312" w:hAnsi="仿宋_GB2312" w:cs="仿宋_GB2312"/>
          <w:sz w:val="32"/>
          <w:szCs w:val="32"/>
        </w:rPr>
      </w:pPr>
      <w:r>
        <w:rPr>
          <w:rFonts w:hint="eastAsia" w:ascii="仿宋_GB2312" w:hAnsi="仿宋_GB2312" w:cs="仿宋_GB2312"/>
          <w:sz w:val="32"/>
          <w:szCs w:val="32"/>
        </w:rPr>
        <w:t>凤台县公共资源交易中心</w:t>
      </w:r>
    </w:p>
    <w:p>
      <w:pPr>
        <w:spacing w:line="600" w:lineRule="exact"/>
        <w:ind w:firstLine="640" w:firstLineChars="200"/>
        <w:jc w:val="right"/>
        <w:rPr>
          <w:rFonts w:ascii="仿宋_GB2312" w:hAnsi="仿宋_GB2312" w:cs="仿宋_GB2312"/>
          <w:sz w:val="32"/>
          <w:szCs w:val="32"/>
        </w:rPr>
      </w:pPr>
      <w:r>
        <w:rPr>
          <w:rFonts w:hint="eastAsia" w:ascii="仿宋_GB2312" w:hAnsi="仿宋_GB2312" w:cs="仿宋_GB2312"/>
          <w:sz w:val="32"/>
          <w:szCs w:val="32"/>
        </w:rPr>
        <w:t>2023年9月4日</w:t>
      </w:r>
    </w:p>
    <w:p/>
    <w:sectPr>
      <w:pgSz w:w="11906" w:h="16838"/>
      <w:pgMar w:top="1928" w:right="1531" w:bottom="1701" w:left="1531" w:header="737" w:footer="850" w:gutter="0"/>
      <w:cols w:space="720" w:num="1"/>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Yjc5NWRjNDFmOWMzNWIzOTdmZGViMDk3NjllN2EifQ=="/>
  </w:docVars>
  <w:rsids>
    <w:rsidRoot w:val="004A3FDD"/>
    <w:rsid w:val="000E437F"/>
    <w:rsid w:val="00145614"/>
    <w:rsid w:val="00244024"/>
    <w:rsid w:val="00277AB3"/>
    <w:rsid w:val="002B3825"/>
    <w:rsid w:val="002B6FB9"/>
    <w:rsid w:val="002F0A44"/>
    <w:rsid w:val="0042482B"/>
    <w:rsid w:val="00492D16"/>
    <w:rsid w:val="004A3FDD"/>
    <w:rsid w:val="004B544D"/>
    <w:rsid w:val="00503237"/>
    <w:rsid w:val="00561387"/>
    <w:rsid w:val="00665EB9"/>
    <w:rsid w:val="00690B67"/>
    <w:rsid w:val="006A35A2"/>
    <w:rsid w:val="006C6902"/>
    <w:rsid w:val="006C7375"/>
    <w:rsid w:val="006E3E95"/>
    <w:rsid w:val="006F0152"/>
    <w:rsid w:val="007663BA"/>
    <w:rsid w:val="007933CC"/>
    <w:rsid w:val="007C4340"/>
    <w:rsid w:val="007D04CF"/>
    <w:rsid w:val="008607F9"/>
    <w:rsid w:val="008B6106"/>
    <w:rsid w:val="008F4CB3"/>
    <w:rsid w:val="00921263"/>
    <w:rsid w:val="00A75425"/>
    <w:rsid w:val="00AB06F4"/>
    <w:rsid w:val="00B62325"/>
    <w:rsid w:val="00BA016A"/>
    <w:rsid w:val="00BD4AE6"/>
    <w:rsid w:val="00C82D8D"/>
    <w:rsid w:val="00C84089"/>
    <w:rsid w:val="00C8702C"/>
    <w:rsid w:val="00CC4FB3"/>
    <w:rsid w:val="00CF193C"/>
    <w:rsid w:val="00D453B8"/>
    <w:rsid w:val="00E078A2"/>
    <w:rsid w:val="00E53759"/>
    <w:rsid w:val="00E711D8"/>
    <w:rsid w:val="00F973F2"/>
    <w:rsid w:val="00FD6B0A"/>
    <w:rsid w:val="0353291D"/>
    <w:rsid w:val="446908C9"/>
    <w:rsid w:val="6D35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semiHidden/>
    <w:unhideWhenUsed/>
    <w:qFormat/>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font101"/>
    <w:basedOn w:val="6"/>
    <w:qFormat/>
    <w:uiPriority w:val="0"/>
    <w:rPr>
      <w:rFonts w:hint="eastAsia" w:ascii="宋体" w:hAnsi="宋体" w:eastAsia="宋体" w:cs="宋体"/>
      <w:b/>
      <w:bCs/>
      <w:color w:val="000000"/>
      <w:sz w:val="32"/>
      <w:szCs w:val="32"/>
      <w:u w:val="none"/>
    </w:rPr>
  </w:style>
  <w:style w:type="character" w:customStyle="1" w:styleId="8">
    <w:name w:val="font61"/>
    <w:basedOn w:val="6"/>
    <w:qFormat/>
    <w:uiPriority w:val="0"/>
    <w:rPr>
      <w:rFonts w:hint="eastAsia" w:ascii="宋体" w:hAnsi="宋体" w:eastAsia="宋体" w:cs="宋体"/>
      <w:color w:val="000000"/>
      <w:sz w:val="18"/>
      <w:szCs w:val="18"/>
      <w:u w:val="none"/>
    </w:rPr>
  </w:style>
  <w:style w:type="character" w:customStyle="1" w:styleId="9">
    <w:name w:val="font112"/>
    <w:basedOn w:val="6"/>
    <w:qFormat/>
    <w:uiPriority w:val="0"/>
    <w:rPr>
      <w:rFonts w:hint="eastAsia" w:ascii="宋体" w:hAnsi="宋体" w:eastAsia="宋体" w:cs="宋体"/>
      <w:b/>
      <w:bCs/>
      <w:color w:val="000000"/>
      <w:sz w:val="32"/>
      <w:szCs w:val="32"/>
      <w:u w:val="none"/>
    </w:rPr>
  </w:style>
  <w:style w:type="character" w:customStyle="1" w:styleId="10">
    <w:name w:val="font21"/>
    <w:basedOn w:val="6"/>
    <w:qFormat/>
    <w:uiPriority w:val="0"/>
    <w:rPr>
      <w:rFonts w:hint="eastAsia" w:ascii="宋体" w:hAnsi="宋体" w:eastAsia="宋体" w:cs="宋体"/>
      <w:color w:val="000000"/>
      <w:sz w:val="20"/>
      <w:szCs w:val="20"/>
      <w:u w:val="none"/>
    </w:rPr>
  </w:style>
  <w:style w:type="character" w:customStyle="1" w:styleId="11">
    <w:name w:val="font131"/>
    <w:basedOn w:val="6"/>
    <w:qFormat/>
    <w:uiPriority w:val="0"/>
    <w:rPr>
      <w:rFonts w:hint="eastAsia" w:ascii="宋体" w:hAnsi="宋体" w:eastAsia="宋体" w:cs="宋体"/>
      <w:color w:val="000000"/>
      <w:sz w:val="20"/>
      <w:szCs w:val="20"/>
      <w:u w:val="none"/>
    </w:rPr>
  </w:style>
  <w:style w:type="character" w:customStyle="1" w:styleId="12">
    <w:name w:val="页眉 Char"/>
    <w:basedOn w:val="6"/>
    <w:link w:val="3"/>
    <w:semiHidden/>
    <w:qFormat/>
    <w:uiPriority w:val="99"/>
    <w:rPr>
      <w:rFonts w:ascii="Times New Roman" w:hAnsi="Times New Roman" w:eastAsia="仿宋_GB2312" w:cs="Times New Roman"/>
      <w:sz w:val="18"/>
      <w:szCs w:val="18"/>
    </w:rPr>
  </w:style>
  <w:style w:type="character" w:customStyle="1" w:styleId="13">
    <w:name w:val="页脚 Char"/>
    <w:basedOn w:val="6"/>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3259</Words>
  <Characters>3374</Characters>
  <Lines>25</Lines>
  <Paragraphs>7</Paragraphs>
  <TotalTime>121</TotalTime>
  <ScaleCrop>false</ScaleCrop>
  <LinksUpToDate>false</LinksUpToDate>
  <CharactersWithSpaces>3387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2023-09-01T07:39:00Z</dcterms:created>
  <dc:creator>Administrator</dc:creator>
  <cp:lastModifiedBy>浮云吹作雪</cp:lastModifiedBy>
  <dcterms:modified xsi:type="dcterms:W3CDTF">2023-11-24T02:52:26Z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A35AA5D19B074CE08645393C25B13177_13</vt:lpwstr>
  </property>
</Properties>
</file>