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2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9"/>
        <w:gridCol w:w="538"/>
        <w:gridCol w:w="766"/>
        <w:gridCol w:w="1946"/>
        <w:gridCol w:w="703"/>
        <w:gridCol w:w="538"/>
        <w:gridCol w:w="867"/>
        <w:gridCol w:w="923"/>
        <w:gridCol w:w="620"/>
        <w:gridCol w:w="857"/>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40" w:hRule="atLeast"/>
        </w:trPr>
        <w:tc>
          <w:tcPr>
            <w:tcW w:w="5000" w:type="pct"/>
            <w:gridSpan w:val="11"/>
            <w:tcBorders>
              <w:top w:val="nil"/>
              <w:left w:val="nil"/>
              <w:bottom w:val="nil"/>
              <w:right w:val="nil"/>
            </w:tcBorders>
            <w:shd w:val="clear"/>
            <w:vAlign w:val="center"/>
          </w:tcPr>
          <w:p>
            <w:pPr>
              <w:jc w:val="left"/>
              <w:rPr>
                <w:rFonts w:hint="eastAsia" w:eastAsiaTheme="minorEastAsia"/>
                <w:lang w:eastAsia="zh-CN"/>
              </w:rPr>
            </w:pPr>
            <w:r>
              <w:rPr>
                <w:rFonts w:hint="eastAsia" w:ascii="黑体" w:hAnsi="黑体" w:eastAsia="黑体"/>
                <w:sz w:val="44"/>
                <w:szCs w:val="44"/>
                <w:lang w:val="en-US"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24" w:hRule="atLeast"/>
        </w:trPr>
        <w:tc>
          <w:tcPr>
            <w:tcW w:w="5000" w:type="pct"/>
            <w:gridSpan w:val="11"/>
            <w:tcBorders>
              <w:top w:val="nil"/>
              <w:left w:val="nil"/>
              <w:bottom w:val="nil"/>
              <w:right w:val="nil"/>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eastAsia" w:ascii="宋体" w:hAnsi="宋体" w:eastAsia="宋体" w:cs="宋体"/>
                <w:b/>
                <w:bCs/>
                <w:i w:val="0"/>
                <w:iCs w:val="0"/>
                <w:color w:val="000000"/>
                <w:kern w:val="0"/>
                <w:sz w:val="32"/>
                <w:szCs w:val="32"/>
                <w:bdr w:val="none" w:color="auto" w:sz="0" w:space="0"/>
                <w:lang w:val="en-US" w:eastAsia="zh-CN" w:bidi="ar"/>
              </w:rPr>
            </w:pPr>
            <w:r>
              <w:rPr>
                <w:rFonts w:hint="eastAsia" w:ascii="宋体" w:hAnsi="宋体" w:eastAsia="宋体" w:cs="宋体"/>
                <w:b/>
                <w:bCs/>
                <w:i w:val="0"/>
                <w:iCs w:val="0"/>
                <w:color w:val="000000"/>
                <w:kern w:val="0"/>
                <w:sz w:val="32"/>
                <w:szCs w:val="32"/>
                <w:lang w:val="en-US" w:eastAsia="zh-CN" w:bidi="ar"/>
              </w:rPr>
              <w:t xml:space="preserve"> 项目支出绩效自评表</w:t>
            </w:r>
            <w:r>
              <w:rPr>
                <w:rFonts w:hint="eastAsia" w:ascii="宋体" w:hAnsi="宋体" w:eastAsia="宋体" w:cs="宋体"/>
                <w:i w:val="0"/>
                <w:iCs w:val="0"/>
                <w:color w:val="000000"/>
                <w:kern w:val="0"/>
                <w:sz w:val="32"/>
                <w:szCs w:val="3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0" w:hRule="atLeast"/>
        </w:trPr>
        <w:tc>
          <w:tcPr>
            <w:tcW w:w="5000" w:type="pct"/>
            <w:gridSpan w:val="11"/>
            <w:tcBorders>
              <w:top w:val="nil"/>
              <w:left w:val="nil"/>
              <w:bottom w:val="single" w:color="000000" w:sz="4" w:space="0"/>
              <w:right w:val="nil"/>
            </w:tcBorders>
            <w:shd w:val="clear"/>
            <w:vAlign w:val="top"/>
          </w:tcPr>
          <w:p>
            <w:pPr>
              <w:keepNext w:val="0"/>
              <w:keepLines w:val="0"/>
              <w:widowControl/>
              <w:suppressLineNumbers w:val="0"/>
              <w:spacing w:before="0" w:beforeAutospacing="0" w:after="0" w:afterAutospacing="0" w:line="23" w:lineRule="atLeast"/>
              <w:ind w:left="0" w:right="0"/>
              <w:jc w:val="center"/>
              <w:textAlignment w:val="top"/>
            </w:pPr>
            <w:r>
              <w:rPr>
                <w:rFonts w:hint="eastAsia" w:ascii="宋体" w:hAnsi="宋体" w:eastAsia="宋体" w:cs="宋体"/>
                <w:i w:val="0"/>
                <w:iCs w:val="0"/>
                <w:color w:val="000000"/>
                <w:kern w:val="0"/>
                <w:sz w:val="22"/>
                <w:szCs w:val="22"/>
                <w:bdr w:val="none" w:color="auto" w:sz="0" w:space="0"/>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0" w:hRule="atLeast"/>
        </w:trPr>
        <w:tc>
          <w:tcPr>
            <w:tcW w:w="97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项目名称</w:t>
            </w:r>
          </w:p>
        </w:tc>
        <w:tc>
          <w:tcPr>
            <w:tcW w:w="4026" w:type="pct"/>
            <w:gridSpan w:val="8"/>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18"/>
                <w:szCs w:val="18"/>
                <w:bdr w:val="none" w:color="auto" w:sz="0" w:space="0"/>
              </w:rPr>
              <w:t>支持共青团工作及党建经费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97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主管部门</w:t>
            </w:r>
          </w:p>
        </w:tc>
        <w:tc>
          <w:tcPr>
            <w:tcW w:w="1779" w:type="pct"/>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pPr>
            <w:r>
              <w:rPr>
                <w:rFonts w:hint="eastAsia" w:ascii="宋体" w:hAnsi="宋体" w:eastAsia="宋体" w:cs="宋体"/>
                <w:i w:val="0"/>
                <w:iCs w:val="0"/>
                <w:color w:val="000000"/>
                <w:kern w:val="0"/>
                <w:sz w:val="18"/>
                <w:szCs w:val="18"/>
                <w:bdr w:val="none" w:color="auto" w:sz="0" w:space="0"/>
              </w:rPr>
              <w:t>[029]中国共产主义青年团凤台县委员会</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实施单位</w:t>
            </w:r>
          </w:p>
        </w:tc>
        <w:tc>
          <w:tcPr>
            <w:tcW w:w="1760" w:type="pct"/>
            <w:gridSpan w:val="4"/>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i w:val="0"/>
                <w:iCs w:val="0"/>
                <w:color w:val="000000"/>
                <w:kern w:val="0"/>
                <w:sz w:val="18"/>
                <w:szCs w:val="18"/>
                <w:bdr w:val="none" w:color="auto" w:sz="0" w:space="0"/>
              </w:rPr>
              <w:t>中国共产主义青年团凤台县委员会</w:t>
            </w:r>
            <w:r>
              <w:rPr>
                <w:rFonts w:hint="eastAsia" w:ascii="宋体" w:hAnsi="宋体" w:eastAsia="宋体" w:cs="宋体"/>
                <w:i w:val="0"/>
                <w:iCs w:val="0"/>
                <w:color w:val="000000"/>
                <w:kern w:val="2"/>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99" w:hRule="atLeast"/>
        </w:trPr>
        <w:tc>
          <w:tcPr>
            <w:tcW w:w="973" w:type="pct"/>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资金情况</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（万元）</w:t>
            </w:r>
          </w:p>
        </w:tc>
        <w:tc>
          <w:tcPr>
            <w:tcW w:w="10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hint="eastAsia" w:ascii="宋体" w:hAnsi="宋体" w:eastAsia="宋体" w:cs="宋体"/>
                <w:i w:val="0"/>
                <w:iCs w:val="0"/>
                <w:color w:val="000000"/>
                <w:kern w:val="0"/>
                <w:sz w:val="20"/>
                <w:szCs w:val="20"/>
                <w:bdr w:val="none" w:color="auto" w:sz="0" w:space="0"/>
                <w:lang w:val="en-US" w:eastAsia="zh-CN" w:bidi="ar"/>
              </w:rPr>
              <w:t>共青团凤台县委员会</w:t>
            </w:r>
          </w:p>
        </w:tc>
        <w:tc>
          <w:tcPr>
            <w:tcW w:w="69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全年预算数（A）</w:t>
            </w:r>
          </w:p>
        </w:tc>
        <w:tc>
          <w:tcPr>
            <w:tcW w:w="1001"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全年执行数（B）</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分值</w:t>
            </w:r>
          </w:p>
        </w:tc>
        <w:tc>
          <w:tcPr>
            <w:tcW w:w="47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执行率（B/A)</w:t>
            </w:r>
          </w:p>
        </w:tc>
        <w:tc>
          <w:tcPr>
            <w:tcW w:w="46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973" w:type="pct"/>
            <w:gridSpan w:val="3"/>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10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hint="eastAsia" w:ascii="宋体" w:hAnsi="宋体" w:eastAsia="宋体" w:cs="宋体"/>
                <w:i w:val="0"/>
                <w:iCs w:val="0"/>
                <w:color w:val="000000"/>
                <w:kern w:val="0"/>
                <w:sz w:val="20"/>
                <w:szCs w:val="20"/>
                <w:bdr w:val="none" w:color="auto" w:sz="0" w:space="0"/>
                <w:lang w:val="en-US" w:eastAsia="zh-CN" w:bidi="ar"/>
              </w:rPr>
              <w:t>年度资金总额：</w:t>
            </w:r>
          </w:p>
        </w:tc>
        <w:tc>
          <w:tcPr>
            <w:tcW w:w="69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40</w:t>
            </w:r>
          </w:p>
        </w:tc>
        <w:tc>
          <w:tcPr>
            <w:tcW w:w="1001"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24.92</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w:t>
            </w:r>
          </w:p>
        </w:tc>
        <w:tc>
          <w:tcPr>
            <w:tcW w:w="47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62.3%</w:t>
            </w:r>
          </w:p>
        </w:tc>
        <w:tc>
          <w:tcPr>
            <w:tcW w:w="46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pPr>
            <w:r>
              <w:rPr>
                <w:rFonts w:hint="eastAsia" w:ascii="宋体" w:hAnsi="宋体" w:eastAsia="宋体" w:cs="宋体"/>
                <w:i w:val="0"/>
                <w:iCs w:val="0"/>
                <w:color w:val="000000"/>
                <w:kern w:val="2"/>
                <w:sz w:val="20"/>
                <w:szCs w:val="20"/>
                <w:bdr w:val="none" w:color="auto" w:sz="0" w:space="0"/>
                <w:lang w:val="en-US" w:eastAsia="zh-CN" w:bidi="ar"/>
              </w:rPr>
              <w:t>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973" w:type="pct"/>
            <w:gridSpan w:val="3"/>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10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hint="eastAsia" w:ascii="宋体" w:hAnsi="宋体" w:eastAsia="宋体" w:cs="宋体"/>
                <w:i w:val="0"/>
                <w:iCs w:val="0"/>
                <w:color w:val="000000"/>
                <w:kern w:val="0"/>
                <w:sz w:val="20"/>
                <w:szCs w:val="20"/>
                <w:bdr w:val="none" w:color="auto" w:sz="0" w:space="0"/>
                <w:lang w:val="en-US" w:eastAsia="zh-CN" w:bidi="ar"/>
              </w:rPr>
              <w:t xml:space="preserve"> </w:t>
            </w:r>
            <w:r>
              <w:rPr>
                <w:rFonts w:hint="eastAsia" w:ascii="宋体" w:hAnsi="宋体" w:eastAsia="宋体" w:cs="宋体"/>
                <w:i w:val="0"/>
                <w:iCs w:val="0"/>
                <w:color w:val="000000"/>
                <w:kern w:val="0"/>
                <w:sz w:val="20"/>
                <w:szCs w:val="20"/>
                <w:bdr w:val="none" w:color="auto" w:sz="0" w:space="0"/>
                <w:lang w:val="en-US" w:eastAsia="zh-CN" w:bidi="ar"/>
              </w:rPr>
              <w:t>其中：本年财政拨款</w:t>
            </w:r>
          </w:p>
        </w:tc>
        <w:tc>
          <w:tcPr>
            <w:tcW w:w="69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40</w:t>
            </w:r>
          </w:p>
        </w:tc>
        <w:tc>
          <w:tcPr>
            <w:tcW w:w="1001"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24.92</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w:t>
            </w:r>
          </w:p>
        </w:tc>
        <w:tc>
          <w:tcPr>
            <w:tcW w:w="47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62.3%</w:t>
            </w:r>
          </w:p>
        </w:tc>
        <w:tc>
          <w:tcPr>
            <w:tcW w:w="46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973" w:type="pct"/>
            <w:gridSpan w:val="3"/>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1083"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hint="eastAsia" w:ascii="宋体" w:hAnsi="宋体" w:eastAsia="宋体" w:cs="宋体"/>
                <w:i w:val="0"/>
                <w:iCs w:val="0"/>
                <w:color w:val="000000"/>
                <w:kern w:val="0"/>
                <w:sz w:val="20"/>
                <w:szCs w:val="20"/>
                <w:bdr w:val="none" w:color="auto" w:sz="0" w:space="0"/>
                <w:lang w:val="en-US" w:eastAsia="zh-CN" w:bidi="ar"/>
              </w:rPr>
              <w:t xml:space="preserve"> </w:t>
            </w:r>
            <w:r>
              <w:rPr>
                <w:rFonts w:hint="eastAsia" w:ascii="宋体" w:hAnsi="宋体" w:eastAsia="宋体" w:cs="宋体"/>
                <w:i w:val="0"/>
                <w:iCs w:val="0"/>
                <w:color w:val="000000"/>
                <w:kern w:val="0"/>
                <w:sz w:val="20"/>
                <w:szCs w:val="20"/>
                <w:bdr w:val="none" w:color="auto" w:sz="0" w:space="0"/>
                <w:lang w:val="en-US" w:eastAsia="zh-CN" w:bidi="ar"/>
              </w:rPr>
              <w:t xml:space="preserve">      其他资金</w:t>
            </w:r>
          </w:p>
        </w:tc>
        <w:tc>
          <w:tcPr>
            <w:tcW w:w="69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i w:val="0"/>
                <w:iCs w:val="0"/>
                <w:color w:val="000000"/>
                <w:kern w:val="2"/>
                <w:sz w:val="20"/>
                <w:szCs w:val="20"/>
                <w:bdr w:val="none" w:color="auto" w:sz="0" w:space="0"/>
                <w:lang w:val="en-US" w:eastAsia="zh-CN" w:bidi="ar"/>
              </w:rPr>
              <w:t> </w:t>
            </w:r>
          </w:p>
        </w:tc>
        <w:tc>
          <w:tcPr>
            <w:tcW w:w="1001"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0</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w:t>
            </w:r>
          </w:p>
        </w:tc>
        <w:tc>
          <w:tcPr>
            <w:tcW w:w="479"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hint="eastAsia" w:ascii="宋体" w:hAnsi="宋体" w:eastAsia="宋体" w:cs="宋体"/>
                <w:i w:val="0"/>
                <w:iCs w:val="0"/>
                <w:color w:val="000000"/>
                <w:kern w:val="0"/>
                <w:sz w:val="20"/>
                <w:szCs w:val="20"/>
                <w:bdr w:val="none" w:color="auto" w:sz="0" w:space="0"/>
                <w:lang w:val="en-US" w:eastAsia="zh-CN" w:bidi="ar"/>
              </w:rPr>
              <w:t>0</w:t>
            </w:r>
          </w:p>
        </w:tc>
        <w:tc>
          <w:tcPr>
            <w:tcW w:w="460"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80" w:hRule="atLeast"/>
        </w:trPr>
        <w:tc>
          <w:tcPr>
            <w:tcW w:w="242"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年度总体目标完成情况</w:t>
            </w:r>
          </w:p>
        </w:tc>
        <w:tc>
          <w:tcPr>
            <w:tcW w:w="2510" w:type="pct"/>
            <w:gridSpan w:val="5"/>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年初设定目标</w:t>
            </w:r>
          </w:p>
        </w:tc>
        <w:tc>
          <w:tcPr>
            <w:tcW w:w="2246" w:type="pct"/>
            <w:gridSpan w:val="5"/>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9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2510" w:type="pct"/>
            <w:gridSpan w:val="5"/>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spacing w:before="0" w:beforeAutospacing="0" w:after="0" w:afterAutospacing="0" w:line="23" w:lineRule="atLeast"/>
              <w:ind w:left="0" w:right="0"/>
              <w:jc w:val="left"/>
              <w:textAlignment w:val="top"/>
            </w:pPr>
            <w:r>
              <w:rPr>
                <w:rFonts w:hint="eastAsia" w:ascii="宋体" w:hAnsi="宋体" w:eastAsia="宋体" w:cs="宋体"/>
                <w:i w:val="0"/>
                <w:iCs w:val="0"/>
                <w:color w:val="000000"/>
                <w:kern w:val="0"/>
                <w:sz w:val="18"/>
                <w:szCs w:val="18"/>
                <w:bdr w:val="none" w:color="auto" w:sz="0" w:space="0"/>
              </w:rPr>
              <w:t>一是全年开展青年志愿服务活动10次以上，动员社会力量参与志愿服务，服务县中心工作，凝聚青年力量。二是进一步推动共青团向深入改革，指导乡镇和学校完成共青团改革工作，加大基层团的活动阵地建设。三是加大未成年人保护力度，关心关爱困难儿童。</w:t>
            </w:r>
          </w:p>
        </w:tc>
        <w:tc>
          <w:tcPr>
            <w:tcW w:w="2246" w:type="pct"/>
            <w:gridSpan w:val="5"/>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spacing w:before="0" w:beforeAutospacing="0" w:after="0" w:afterAutospacing="0" w:line="23" w:lineRule="atLeast"/>
              <w:ind w:left="0" w:right="0"/>
              <w:jc w:val="left"/>
              <w:textAlignment w:val="top"/>
              <w:rPr>
                <w:rFonts w:hint="eastAsia" w:eastAsiaTheme="minorEastAsia"/>
                <w:lang w:val="en-US" w:eastAsia="zh-CN"/>
              </w:rPr>
            </w:pPr>
            <w:r>
              <w:rPr>
                <w:rFonts w:hint="eastAsia"/>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2"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2510" w:type="pct"/>
            <w:gridSpan w:val="5"/>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spacing w:before="0" w:beforeAutospacing="0" w:after="0" w:afterAutospacing="0" w:line="23" w:lineRule="atLeast"/>
              <w:ind w:left="0" w:right="0"/>
              <w:jc w:val="left"/>
              <w:textAlignment w:val="top"/>
            </w:pPr>
            <w:r>
              <w:rPr>
                <w:rFonts w:hint="eastAsia" w:ascii="宋体" w:hAnsi="宋体" w:eastAsia="宋体" w:cs="宋体"/>
                <w:i w:val="0"/>
                <w:iCs w:val="0"/>
                <w:color w:val="000000"/>
                <w:kern w:val="0"/>
                <w:sz w:val="20"/>
                <w:szCs w:val="20"/>
                <w:bdr w:val="none" w:color="auto" w:sz="0" w:space="0"/>
                <w:lang w:val="en-US" w:eastAsia="zh-CN" w:bidi="ar"/>
              </w:rPr>
              <w:t>存在的问题：无</w:t>
            </w:r>
          </w:p>
        </w:tc>
        <w:tc>
          <w:tcPr>
            <w:tcW w:w="2246" w:type="pct"/>
            <w:gridSpan w:val="5"/>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spacing w:before="0" w:beforeAutospacing="0" w:after="0" w:afterAutospacing="0" w:line="23" w:lineRule="atLeast"/>
              <w:ind w:left="0" w:right="0"/>
              <w:jc w:val="left"/>
              <w:textAlignment w:val="top"/>
            </w:pPr>
            <w:r>
              <w:rPr>
                <w:rFonts w:hint="eastAsia" w:ascii="宋体" w:hAnsi="宋体" w:eastAsia="宋体" w:cs="宋体"/>
                <w:i w:val="0"/>
                <w:iCs w:val="0"/>
                <w:color w:val="000000"/>
                <w:kern w:val="0"/>
                <w:sz w:val="20"/>
                <w:szCs w:val="20"/>
                <w:bdr w:val="none" w:color="auto" w:sz="0" w:space="0"/>
                <w:lang w:val="en-US" w:eastAsia="zh-CN" w:bidi="ar"/>
              </w:rPr>
              <w:t>整改的措施与建议：无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2" w:hRule="atLeast"/>
        </w:trPr>
        <w:tc>
          <w:tcPr>
            <w:tcW w:w="242"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年度绩效指标完成情况</w:t>
            </w:r>
          </w:p>
        </w:tc>
        <w:tc>
          <w:tcPr>
            <w:tcW w:w="30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一级</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w:t>
            </w:r>
          </w:p>
        </w:tc>
        <w:tc>
          <w:tcPr>
            <w:tcW w:w="428"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二级指标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三级指标</w:t>
            </w:r>
          </w:p>
        </w:tc>
        <w:tc>
          <w:tcPr>
            <w:tcW w:w="30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分值</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年度指标值</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全年实际值</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得分</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评价得分说明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产</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出</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标</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(50分)</w:t>
            </w:r>
          </w:p>
        </w:tc>
        <w:tc>
          <w:tcPr>
            <w:tcW w:w="428"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数量指标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指标1：</w:t>
            </w:r>
            <w:r>
              <w:rPr>
                <w:rFonts w:hint="eastAsia" w:ascii="宋体" w:hAnsi="宋体" w:eastAsia="宋体" w:cs="宋体"/>
                <w:i w:val="0"/>
                <w:iCs w:val="0"/>
                <w:color w:val="000000"/>
                <w:kern w:val="0"/>
                <w:sz w:val="20"/>
                <w:szCs w:val="20"/>
                <w:bdr w:val="none" w:color="auto" w:sz="0" w:space="0"/>
              </w:rPr>
              <w:t>青年志愿服务活动</w:t>
            </w:r>
          </w:p>
        </w:tc>
        <w:tc>
          <w:tcPr>
            <w:tcW w:w="302" w:type="pct"/>
            <w:vMerge w:val="restart"/>
            <w:tcBorders>
              <w:top w:val="single" w:color="000000" w:sz="4" w:space="0"/>
              <w:left w:val="nil"/>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i w:val="0"/>
                <w:iCs w:val="0"/>
                <w:color w:val="000000"/>
                <w:kern w:val="0"/>
                <w:sz w:val="20"/>
                <w:szCs w:val="20"/>
                <w:bdr w:val="none" w:color="auto" w:sz="0" w:space="0"/>
                <w:lang w:val="en-US" w:eastAsia="zh-CN" w:bidi="ar"/>
              </w:rPr>
              <w:t>20</w:t>
            </w:r>
          </w:p>
          <w:p>
            <w:pPr>
              <w:keepNext w:val="0"/>
              <w:keepLines w:val="0"/>
              <w:widowControl/>
              <w:suppressLineNumbers w:val="0"/>
              <w:spacing w:before="0" w:beforeAutospacing="0" w:after="0" w:afterAutospacing="0" w:line="23" w:lineRule="atLeast"/>
              <w:ind w:left="0" w:right="0"/>
              <w:jc w:val="center"/>
            </w:pP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≥10次</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12次</w:t>
            </w:r>
          </w:p>
        </w:tc>
        <w:tc>
          <w:tcPr>
            <w:tcW w:w="305" w:type="pct"/>
            <w:vMerge w:val="restart"/>
            <w:tcBorders>
              <w:top w:val="single" w:color="000000" w:sz="4" w:space="0"/>
              <w:left w:val="nil"/>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20</w:t>
            </w:r>
          </w:p>
          <w:p>
            <w:pPr>
              <w:keepNext w:val="0"/>
              <w:keepLines w:val="0"/>
              <w:widowControl/>
              <w:suppressLineNumbers w:val="0"/>
              <w:spacing w:before="0" w:beforeAutospacing="0" w:after="0" w:afterAutospacing="0" w:line="23" w:lineRule="atLeast"/>
              <w:ind w:left="0" w:right="0"/>
              <w:jc w:val="center"/>
            </w:pP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428"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指标2：慰问困难儿童</w:t>
            </w:r>
          </w:p>
        </w:tc>
        <w:tc>
          <w:tcPr>
            <w:tcW w:w="302" w:type="pct"/>
            <w:vMerge w:val="continue"/>
            <w:tcBorders>
              <w:left w:val="nil"/>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≥5次</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rPr>
                <w:rFonts w:hint="default"/>
                <w:lang w:val="en-US"/>
              </w:rPr>
            </w:pPr>
            <w:r>
              <w:rPr>
                <w:rFonts w:hint="eastAsia" w:ascii="宋体" w:hAnsi="宋体" w:eastAsia="宋体" w:cs="宋体"/>
                <w:i w:val="0"/>
                <w:iCs w:val="0"/>
                <w:color w:val="000000"/>
                <w:kern w:val="2"/>
                <w:sz w:val="20"/>
                <w:szCs w:val="20"/>
                <w:bdr w:val="none" w:color="auto" w:sz="0" w:space="0"/>
                <w:lang w:val="en-US" w:eastAsia="zh-CN" w:bidi="ar"/>
              </w:rPr>
              <w:t>6次</w:t>
            </w:r>
          </w:p>
        </w:tc>
        <w:tc>
          <w:tcPr>
            <w:tcW w:w="305" w:type="pct"/>
            <w:vMerge w:val="continue"/>
            <w:tcBorders>
              <w:left w:val="nil"/>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i w:val="0"/>
                <w:iCs w:val="0"/>
                <w:color w:val="000000"/>
                <w:kern w:val="2"/>
                <w:sz w:val="20"/>
                <w:szCs w:val="20"/>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428"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指标3：共青团改革</w:t>
            </w:r>
          </w:p>
        </w:tc>
        <w:tc>
          <w:tcPr>
            <w:tcW w:w="302" w:type="pct"/>
            <w:vMerge w:val="continue"/>
            <w:tcBorders>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≥12月</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rPr>
                <w:rFonts w:hint="default" w:eastAsiaTheme="minorEastAsia"/>
                <w:lang w:val="en-US" w:eastAsia="zh-CN"/>
              </w:rPr>
            </w:pPr>
            <w:r>
              <w:rPr>
                <w:rFonts w:hint="eastAsia"/>
                <w:lang w:val="en-US" w:eastAsia="zh-CN"/>
              </w:rPr>
              <w:t>12月</w:t>
            </w:r>
          </w:p>
        </w:tc>
        <w:tc>
          <w:tcPr>
            <w:tcW w:w="305" w:type="pct"/>
            <w:vMerge w:val="continue"/>
            <w:tcBorders>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i w:val="0"/>
                <w:iCs w:val="0"/>
                <w:color w:val="000000"/>
                <w:kern w:val="2"/>
                <w:sz w:val="20"/>
                <w:szCs w:val="20"/>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428" w:type="pc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质量指标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指标1：</w:t>
            </w:r>
            <w:r>
              <w:rPr>
                <w:rFonts w:hint="eastAsia" w:ascii="宋体" w:hAnsi="宋体" w:eastAsia="宋体" w:cs="宋体"/>
                <w:i w:val="0"/>
                <w:iCs w:val="0"/>
                <w:color w:val="000000"/>
                <w:kern w:val="0"/>
                <w:sz w:val="20"/>
                <w:szCs w:val="20"/>
                <w:lang w:val="en-US" w:eastAsia="zh-CN" w:bidi="ar"/>
              </w:rPr>
              <w:t>智慧团建建设</w:t>
            </w:r>
          </w:p>
        </w:tc>
        <w:tc>
          <w:tcPr>
            <w:tcW w:w="30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≥90%</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100%</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428" w:type="pc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时效指标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指标1：时效指标</w:t>
            </w:r>
          </w:p>
        </w:tc>
        <w:tc>
          <w:tcPr>
            <w:tcW w:w="30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4季度</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eastAsia" w:eastAsiaTheme="minorEastAsia"/>
                <w:lang w:val="en-US" w:eastAsia="zh-CN"/>
              </w:rPr>
            </w:pPr>
            <w:r>
              <w:rPr>
                <w:rFonts w:hint="eastAsia"/>
                <w:lang w:val="en-US" w:eastAsia="zh-CN"/>
              </w:rPr>
              <w:t>4季度</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428" w:type="pc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成本指标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指标1：</w:t>
            </w:r>
            <w:r>
              <w:rPr>
                <w:rFonts w:hint="eastAsia" w:ascii="宋体" w:hAnsi="宋体" w:eastAsia="宋体" w:cs="宋体"/>
                <w:i w:val="0"/>
                <w:iCs w:val="0"/>
                <w:color w:val="000000"/>
                <w:kern w:val="0"/>
                <w:sz w:val="20"/>
                <w:szCs w:val="20"/>
                <w:lang w:val="en-US" w:eastAsia="zh-CN" w:bidi="ar"/>
              </w:rPr>
              <w:t>支持共青团工作经费</w:t>
            </w:r>
          </w:p>
        </w:tc>
        <w:tc>
          <w:tcPr>
            <w:tcW w:w="30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10</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40万元</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24.92万元</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6.2</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效</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益</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标</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(30分)</w:t>
            </w:r>
          </w:p>
        </w:tc>
        <w:tc>
          <w:tcPr>
            <w:tcW w:w="428" w:type="pc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经济效益</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指标1：</w:t>
            </w:r>
            <w:r>
              <w:rPr>
                <w:rFonts w:hint="eastAsia" w:ascii="宋体" w:hAnsi="宋体" w:eastAsia="宋体" w:cs="宋体"/>
                <w:i w:val="0"/>
                <w:iCs w:val="0"/>
                <w:color w:val="000000"/>
                <w:kern w:val="0"/>
                <w:sz w:val="20"/>
                <w:szCs w:val="20"/>
                <w:lang w:val="en-US" w:eastAsia="zh-CN" w:bidi="ar"/>
              </w:rPr>
              <w:t>提升困难儿童生活质量</w:t>
            </w:r>
          </w:p>
        </w:tc>
        <w:tc>
          <w:tcPr>
            <w:tcW w:w="30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5</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≥170个</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170</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5</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428" w:type="pct"/>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社会效益</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指标1：</w:t>
            </w:r>
            <w:r>
              <w:rPr>
                <w:rFonts w:hint="eastAsia" w:ascii="宋体" w:hAnsi="宋体" w:eastAsia="宋体" w:cs="宋体"/>
                <w:i w:val="0"/>
                <w:iCs w:val="0"/>
                <w:color w:val="000000"/>
                <w:kern w:val="0"/>
                <w:sz w:val="20"/>
                <w:szCs w:val="20"/>
                <w:lang w:val="en-US" w:eastAsia="zh-CN" w:bidi="ar"/>
              </w:rPr>
              <w:t>青年志愿服务参与率</w:t>
            </w:r>
          </w:p>
        </w:tc>
        <w:tc>
          <w:tcPr>
            <w:tcW w:w="302" w:type="pct"/>
            <w:vMerge w:val="restart"/>
            <w:tcBorders>
              <w:top w:val="single" w:color="000000" w:sz="4" w:space="0"/>
              <w:left w:val="nil"/>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eastAsia" w:ascii="宋体" w:hAnsi="宋体" w:eastAsia="宋体" w:cs="宋体"/>
                <w:i w:val="0"/>
                <w:iCs w:val="0"/>
                <w:color w:val="000000"/>
                <w:kern w:val="0"/>
                <w:sz w:val="20"/>
                <w:szCs w:val="20"/>
                <w:bdr w:val="none" w:color="auto" w:sz="0" w:space="0"/>
                <w:lang w:val="en-US" w:eastAsia="zh-CN" w:bidi="ar"/>
              </w:rPr>
            </w:pPr>
            <w:r>
              <w:rPr>
                <w:rFonts w:hint="eastAsia" w:ascii="宋体" w:hAnsi="宋体" w:eastAsia="宋体" w:cs="宋体"/>
                <w:i w:val="0"/>
                <w:iCs w:val="0"/>
                <w:color w:val="000000"/>
                <w:kern w:val="0"/>
                <w:sz w:val="20"/>
                <w:szCs w:val="20"/>
                <w:bdr w:val="none" w:color="auto" w:sz="0" w:space="0"/>
                <w:lang w:val="en-US" w:eastAsia="zh-CN" w:bidi="ar"/>
              </w:rPr>
              <w:t>10</w:t>
            </w:r>
          </w:p>
          <w:p>
            <w:pPr>
              <w:keepNext w:val="0"/>
              <w:keepLines w:val="0"/>
              <w:widowControl/>
              <w:suppressLineNumbers w:val="0"/>
              <w:spacing w:before="0" w:beforeAutospacing="0" w:after="0" w:afterAutospacing="0" w:line="23" w:lineRule="atLeast"/>
              <w:ind w:left="0" w:right="0"/>
              <w:jc w:val="center"/>
            </w:pP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≥70%</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rPr>
            </w:pPr>
            <w:r>
              <w:rPr>
                <w:rFonts w:hint="eastAsia" w:ascii="宋体" w:hAnsi="宋体" w:eastAsia="宋体" w:cs="宋体"/>
                <w:i w:val="0"/>
                <w:iCs w:val="0"/>
                <w:color w:val="000000"/>
                <w:kern w:val="0"/>
                <w:sz w:val="20"/>
                <w:szCs w:val="20"/>
                <w:bdr w:val="none" w:color="auto" w:sz="0" w:space="0"/>
                <w:lang w:val="en-US" w:eastAsia="zh-CN" w:bidi="ar"/>
              </w:rPr>
              <w:t>80%</w:t>
            </w:r>
          </w:p>
        </w:tc>
        <w:tc>
          <w:tcPr>
            <w:tcW w:w="305" w:type="pct"/>
            <w:vMerge w:val="restart"/>
            <w:tcBorders>
              <w:top w:val="single" w:color="000000" w:sz="4" w:space="0"/>
              <w:left w:val="nil"/>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eastAsia" w:ascii="宋体" w:hAnsi="宋体" w:eastAsia="宋体" w:cs="宋体"/>
                <w:i w:val="0"/>
                <w:iCs w:val="0"/>
                <w:color w:val="000000"/>
                <w:kern w:val="0"/>
                <w:sz w:val="20"/>
                <w:szCs w:val="20"/>
                <w:lang w:val="en-US" w:eastAsia="zh-CN" w:bidi="ar"/>
              </w:rPr>
            </w:pPr>
            <w:r>
              <w:rPr>
                <w:rFonts w:hint="eastAsia" w:ascii="宋体" w:hAnsi="宋体" w:eastAsia="宋体" w:cs="宋体"/>
                <w:i w:val="0"/>
                <w:iCs w:val="0"/>
                <w:color w:val="000000"/>
                <w:kern w:val="0"/>
                <w:sz w:val="20"/>
                <w:szCs w:val="20"/>
                <w:lang w:val="en-US" w:eastAsia="zh-CN" w:bidi="ar"/>
              </w:rPr>
              <w:t>10</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428"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i w:val="0"/>
                <w:iCs w:val="0"/>
                <w:color w:val="000000"/>
                <w:kern w:val="2"/>
                <w:sz w:val="20"/>
                <w:szCs w:val="20"/>
                <w:bdr w:val="none" w:color="auto" w:sz="0" w:space="0"/>
                <w:lang w:val="en-US" w:eastAsia="zh-CN" w:bidi="ar"/>
              </w:rPr>
              <w:t>指标2：</w:t>
            </w:r>
            <w:r>
              <w:rPr>
                <w:rFonts w:hint="eastAsia" w:ascii="宋体" w:hAnsi="宋体" w:eastAsia="宋体" w:cs="宋体"/>
                <w:i w:val="0"/>
                <w:iCs w:val="0"/>
                <w:color w:val="000000"/>
                <w:kern w:val="0"/>
                <w:sz w:val="20"/>
                <w:szCs w:val="20"/>
                <w:lang w:val="en-US" w:eastAsia="zh-CN" w:bidi="ar"/>
              </w:rPr>
              <w:t>群众对青少年维权和未成年人保护认知度</w:t>
            </w:r>
            <w:r>
              <w:rPr>
                <w:rFonts w:hint="eastAsia" w:ascii="宋体" w:hAnsi="宋体" w:eastAsia="宋体" w:cs="宋体"/>
                <w:i w:val="0"/>
                <w:iCs w:val="0"/>
                <w:color w:val="000000"/>
                <w:kern w:val="2"/>
                <w:sz w:val="20"/>
                <w:szCs w:val="20"/>
                <w:bdr w:val="none" w:color="auto" w:sz="0" w:space="0"/>
                <w:lang w:val="en-US" w:eastAsia="zh-CN" w:bidi="ar"/>
              </w:rPr>
              <w:t> </w:t>
            </w:r>
          </w:p>
        </w:tc>
        <w:tc>
          <w:tcPr>
            <w:tcW w:w="302" w:type="pct"/>
            <w:vMerge w:val="continue"/>
            <w:tcBorders>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≥90%</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rPr>
                <w:rFonts w:hint="default" w:eastAsiaTheme="minorEastAsia"/>
                <w:lang w:val="en-US" w:eastAsia="zh-CN"/>
              </w:rPr>
            </w:pPr>
            <w:r>
              <w:rPr>
                <w:rFonts w:hint="eastAsia"/>
                <w:lang w:val="en-US" w:eastAsia="zh-CN"/>
              </w:rPr>
              <w:t>90%</w:t>
            </w:r>
          </w:p>
        </w:tc>
        <w:tc>
          <w:tcPr>
            <w:tcW w:w="305" w:type="pct"/>
            <w:vMerge w:val="continue"/>
            <w:tcBorders>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eastAsia" w:ascii="宋体" w:hAnsi="宋体" w:eastAsia="宋体" w:cs="宋体"/>
                <w:i w:val="0"/>
                <w:iCs w:val="0"/>
                <w:color w:val="000000"/>
                <w:kern w:val="0"/>
                <w:sz w:val="20"/>
                <w:szCs w:val="20"/>
                <w:lang w:val="en-US" w:eastAsia="zh-CN" w:bidi="ar"/>
              </w:rPr>
            </w:pP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i w:val="0"/>
                <w:iCs w:val="0"/>
                <w:color w:val="000000"/>
                <w:kern w:val="2"/>
                <w:sz w:val="20"/>
                <w:szCs w:val="20"/>
                <w:bdr w:val="none" w:color="auto" w:sz="0" w:space="0"/>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428" w:type="pc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生态效益</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指标1：</w:t>
            </w:r>
            <w:r>
              <w:rPr>
                <w:rFonts w:hint="eastAsia" w:ascii="宋体" w:hAnsi="宋体" w:eastAsia="宋体" w:cs="宋体"/>
                <w:i w:val="0"/>
                <w:iCs w:val="0"/>
                <w:color w:val="000000"/>
                <w:kern w:val="0"/>
                <w:sz w:val="20"/>
                <w:szCs w:val="20"/>
                <w:lang w:val="en-US" w:eastAsia="zh-CN" w:bidi="ar"/>
              </w:rPr>
              <w:t>助力环境保护</w:t>
            </w:r>
            <w:r>
              <w:rPr>
                <w:rFonts w:hint="eastAsia" w:ascii="宋体" w:hAnsi="宋体" w:eastAsia="宋体" w:cs="宋体"/>
                <w:i w:val="0"/>
                <w:iCs w:val="0"/>
                <w:color w:val="000000"/>
                <w:kern w:val="2"/>
                <w:sz w:val="20"/>
                <w:szCs w:val="20"/>
                <w:lang w:val="en-US" w:eastAsia="zh-CN" w:bidi="ar"/>
              </w:rPr>
              <w:t> </w:t>
            </w:r>
          </w:p>
        </w:tc>
        <w:tc>
          <w:tcPr>
            <w:tcW w:w="30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助力</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color w:val="000000"/>
                <w:kern w:val="0"/>
                <w:sz w:val="18"/>
                <w:szCs w:val="18"/>
                <w:u w:val="none"/>
                <w:lang w:val="en-US" w:eastAsia="zh-CN" w:bidi="ar"/>
              </w:rPr>
              <w:t>达成预期指标</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428" w:type="pc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可持续影</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响指标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指标1：</w:t>
            </w:r>
            <w:r>
              <w:rPr>
                <w:rFonts w:hint="eastAsia" w:ascii="宋体" w:hAnsi="宋体" w:eastAsia="宋体" w:cs="宋体"/>
                <w:i w:val="0"/>
                <w:iCs w:val="0"/>
                <w:color w:val="000000"/>
                <w:kern w:val="0"/>
                <w:sz w:val="20"/>
                <w:szCs w:val="20"/>
                <w:lang w:val="en-US" w:eastAsia="zh-CN" w:bidi="ar"/>
              </w:rPr>
              <w:t>对青年发展长远影响</w:t>
            </w:r>
          </w:p>
        </w:tc>
        <w:tc>
          <w:tcPr>
            <w:tcW w:w="30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5</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影响深远</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color w:val="000000"/>
                <w:kern w:val="0"/>
                <w:sz w:val="18"/>
                <w:szCs w:val="18"/>
                <w:u w:val="none"/>
                <w:lang w:val="en-US" w:eastAsia="zh-CN" w:bidi="ar"/>
              </w:rPr>
              <w:t>达成预期指标</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5</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eastAsia" w:eastAsiaTheme="minorEastAsia"/>
                <w:lang w:eastAsia="zh-CN"/>
              </w:rPr>
            </w:pPr>
            <w:r>
              <w:rPr>
                <w:rFonts w:hint="eastAsia"/>
                <w:lang w:eastAsia="zh-CN"/>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59" w:hRule="atLeast"/>
        </w:trPr>
        <w:tc>
          <w:tcPr>
            <w:tcW w:w="242" w:type="pct"/>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1"/>
                <w:szCs w:val="21"/>
              </w:rPr>
            </w:pPr>
          </w:p>
        </w:tc>
        <w:tc>
          <w:tcPr>
            <w:tcW w:w="302" w:type="pc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满意度指标</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(10分)</w:t>
            </w:r>
          </w:p>
        </w:tc>
        <w:tc>
          <w:tcPr>
            <w:tcW w:w="428" w:type="pct"/>
            <w:tcBorders>
              <w:top w:val="nil"/>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服务对象</w:t>
            </w:r>
          </w:p>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满意度指标</w:t>
            </w:r>
          </w:p>
        </w:tc>
        <w:tc>
          <w:tcPr>
            <w:tcW w:w="1476"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指标1：</w:t>
            </w:r>
            <w:r>
              <w:rPr>
                <w:rFonts w:hint="eastAsia" w:ascii="宋体" w:hAnsi="宋体" w:eastAsia="宋体" w:cs="宋体"/>
                <w:i w:val="0"/>
                <w:iCs w:val="0"/>
                <w:color w:val="000000"/>
                <w:kern w:val="0"/>
                <w:sz w:val="20"/>
                <w:szCs w:val="20"/>
                <w:lang w:val="en-US" w:eastAsia="zh-CN" w:bidi="ar"/>
              </w:rPr>
              <w:t>群众满意度</w:t>
            </w:r>
          </w:p>
        </w:tc>
        <w:tc>
          <w:tcPr>
            <w:tcW w:w="302"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leftChars="0" w:right="0" w:rightChars="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0"/>
                <w:szCs w:val="20"/>
                <w:lang w:val="en-US" w:eastAsia="zh-CN" w:bidi="ar"/>
              </w:rPr>
              <w:t>≥90%</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eastAsiaTheme="minorEastAsia"/>
                <w:lang w:val="en-US" w:eastAsia="zh-CN"/>
              </w:rPr>
            </w:pPr>
            <w:r>
              <w:rPr>
                <w:rFonts w:hint="eastAsia"/>
                <w:lang w:val="en-US" w:eastAsia="zh-CN"/>
              </w:rPr>
              <w:t>95%</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10</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i w:val="0"/>
                <w:iCs w:val="0"/>
                <w:color w:val="000000"/>
                <w:kern w:val="0"/>
                <w:sz w:val="20"/>
                <w:szCs w:val="20"/>
                <w:bdr w:val="none" w:color="auto" w:sz="0" w:space="0"/>
                <w:lang w:val="en-US" w:eastAsia="zh-CN" w:bidi="ar"/>
              </w:rPr>
              <w:t>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59" w:hRule="atLeast"/>
        </w:trPr>
        <w:tc>
          <w:tcPr>
            <w:tcW w:w="2450" w:type="pct"/>
            <w:gridSpan w:val="5"/>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b/>
                <w:bCs/>
                <w:i w:val="0"/>
                <w:iCs w:val="0"/>
                <w:color w:val="000000"/>
                <w:kern w:val="0"/>
                <w:sz w:val="20"/>
                <w:szCs w:val="20"/>
                <w:bdr w:val="none" w:color="auto" w:sz="0" w:space="0"/>
                <w:lang w:val="en-US" w:eastAsia="zh-CN" w:bidi="ar"/>
              </w:rPr>
              <w:t>总分</w:t>
            </w:r>
          </w:p>
        </w:tc>
        <w:tc>
          <w:tcPr>
            <w:tcW w:w="30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ascii="宋体" w:hAnsi="宋体" w:eastAsia="宋体" w:cs="宋体"/>
                <w:b/>
                <w:bCs/>
                <w:i w:val="0"/>
                <w:iCs w:val="0"/>
                <w:color w:val="000000"/>
                <w:kern w:val="0"/>
                <w:sz w:val="20"/>
                <w:szCs w:val="20"/>
                <w:bdr w:val="none" w:color="auto" w:sz="0" w:space="0"/>
                <w:lang w:val="en-US" w:eastAsia="zh-CN" w:bidi="ar"/>
              </w:rPr>
              <w:t>100</w:t>
            </w:r>
          </w:p>
        </w:tc>
        <w:tc>
          <w:tcPr>
            <w:tcW w:w="48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left"/>
            </w:pPr>
            <w:r>
              <w:rPr>
                <w:rFonts w:hint="eastAsia" w:ascii="宋体" w:hAnsi="宋体" w:eastAsia="宋体" w:cs="宋体"/>
                <w:b/>
                <w:bCs/>
                <w:i w:val="0"/>
                <w:iCs w:val="0"/>
                <w:color w:val="000000"/>
                <w:kern w:val="2"/>
                <w:sz w:val="20"/>
                <w:szCs w:val="20"/>
                <w:bdr w:val="none" w:color="auto" w:sz="0" w:space="0"/>
                <w:lang w:val="en-US" w:eastAsia="zh-CN" w:bidi="ar"/>
              </w:rPr>
              <w:t> </w:t>
            </w:r>
          </w:p>
        </w:tc>
        <w:tc>
          <w:tcPr>
            <w:tcW w:w="51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r>
              <w:rPr>
                <w:rFonts w:hint="eastAsia"/>
                <w:lang w:val="en-US" w:eastAsia="zh-CN"/>
              </w:rPr>
              <w:t> </w:t>
            </w:r>
          </w:p>
        </w:tc>
        <w:tc>
          <w:tcPr>
            <w:tcW w:w="305" w:type="pct"/>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rPr>
                <w:rFonts w:hint="default"/>
                <w:lang w:val="en-US" w:eastAsia="zh-CN"/>
              </w:rPr>
            </w:pPr>
            <w:r>
              <w:rPr>
                <w:rFonts w:hint="eastAsia" w:ascii="宋体" w:hAnsi="宋体" w:eastAsia="宋体" w:cs="宋体"/>
                <w:b/>
                <w:bCs/>
                <w:i w:val="0"/>
                <w:iCs w:val="0"/>
                <w:color w:val="000000"/>
                <w:kern w:val="0"/>
                <w:sz w:val="20"/>
                <w:szCs w:val="20"/>
                <w:lang w:val="en-US" w:eastAsia="zh-CN" w:bidi="ar"/>
              </w:rPr>
              <w:t>92.</w:t>
            </w:r>
            <w:r>
              <w:rPr>
                <w:rFonts w:hint="eastAsia" w:ascii="宋体" w:hAnsi="宋体" w:eastAsia="宋体" w:cs="宋体"/>
                <w:b/>
                <w:bCs/>
                <w:i w:val="0"/>
                <w:iCs w:val="0"/>
                <w:color w:val="000000"/>
                <w:kern w:val="0"/>
                <w:sz w:val="20"/>
                <w:szCs w:val="20"/>
                <w:lang w:val="en-US" w:eastAsia="zh-CN" w:bidi="ar"/>
              </w:rPr>
              <w:t>4</w:t>
            </w:r>
          </w:p>
        </w:tc>
        <w:tc>
          <w:tcPr>
            <w:tcW w:w="940" w:type="pct"/>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3" w:lineRule="atLeast"/>
              <w:ind w:left="0" w:right="0"/>
              <w:jc w:val="center"/>
              <w:textAlignment w:val="center"/>
            </w:pPr>
          </w:p>
        </w:tc>
      </w:tr>
    </w:tbl>
    <w:tbl>
      <w:tblPr>
        <w:tblStyle w:val="3"/>
        <w:tblW w:w="52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51" w:type="pct"/>
          <w:trHeight w:val="471" w:hRule="atLeast"/>
        </w:trPr>
        <w:tc>
          <w:tcPr>
            <w:tcW w:w="4948" w:type="pct"/>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w:t>
            </w:r>
            <w:r>
              <w:rPr>
                <w:rStyle w:val="16"/>
                <w:lang w:val="en-US" w:eastAsia="zh-CN" w:bidi="ar"/>
              </w:rPr>
              <w:t>.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51" w:type="pct"/>
          <w:trHeight w:val="398" w:hRule="atLeast"/>
        </w:trPr>
        <w:tc>
          <w:tcPr>
            <w:tcW w:w="4948" w:type="pct"/>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51" w:type="pct"/>
          <w:trHeight w:val="711" w:hRule="atLeast"/>
        </w:trPr>
        <w:tc>
          <w:tcPr>
            <w:tcW w:w="4948" w:type="pct"/>
            <w:noWrap w:val="0"/>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3.定量指标若为正向指标（即指标值为≥*），则得分计算方法应用全年实际值/年度指标值</w:t>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8"/>
                <w:szCs w:val="18"/>
                <w:u w:val="none"/>
                <w:lang w:val="en-US" w:eastAsia="zh-CN" w:bidi="ar"/>
              </w:rPr>
              <w:t>该指标分值；若定量指标为反向指标（即指标值为≤*），则得分计算方法应用年度指标值/全年实际值</w:t>
            </w:r>
            <w:r>
              <w:rPr>
                <w:rFonts w:hint="eastAsia" w:ascii="宋体" w:hAnsi="宋体" w:eastAsia="宋体" w:cs="宋体"/>
                <w:i w:val="0"/>
                <w:color w:val="000000"/>
                <w:kern w:val="0"/>
                <w:sz w:val="12"/>
                <w:szCs w:val="12"/>
                <w:u w:val="none"/>
                <w:lang w:val="en-US" w:eastAsia="zh-CN" w:bidi="ar"/>
              </w:rPr>
              <w:t>╳</w:t>
            </w:r>
            <w:r>
              <w:rPr>
                <w:rFonts w:hint="eastAsia" w:ascii="宋体" w:hAnsi="宋体" w:eastAsia="宋体" w:cs="宋体"/>
                <w:i w:val="0"/>
                <w:color w:val="000000"/>
                <w:kern w:val="0"/>
                <w:sz w:val="18"/>
                <w:szCs w:val="18"/>
                <w:u w:val="none"/>
                <w:lang w:val="en-US" w:eastAsia="zh-CN" w:bidi="ar"/>
              </w:rPr>
              <w:t>该指标分值；定量指标得分最高不得超过该指标分值上限。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4.评价得分说明：说明全年实际值与年度指标值偏离情况（未达、持平、超额）。</w:t>
            </w:r>
          </w:p>
        </w:tc>
      </w:tr>
    </w:tbl>
    <w:p/>
    <w:p/>
    <w:p/>
    <w:p/>
    <w:p/>
    <w:p/>
    <w:p/>
    <w:p/>
    <w:p/>
    <w:p/>
    <w:p/>
    <w:p/>
    <w:p/>
    <w:p/>
    <w:p/>
    <w:p/>
    <w:p/>
    <w:p/>
    <w:p/>
    <w:p/>
    <w:p/>
    <w:p>
      <w:pPr>
        <w:keepNext w:val="0"/>
        <w:keepLines w:val="0"/>
        <w:pageBreakBefore w:val="0"/>
        <w:kinsoku/>
        <w:wordWrap/>
        <w:overflowPunct/>
        <w:topLinePunct w:val="0"/>
        <w:autoSpaceDE/>
        <w:autoSpaceDN/>
        <w:bidi w:val="0"/>
        <w:adjustRightInd/>
        <w:snapToGrid/>
        <w:spacing w:line="240" w:lineRule="auto"/>
        <w:jc w:val="center"/>
        <w:rPr>
          <w:rFonts w:ascii="Arial" w:hAnsi="Arial" w:eastAsia="宋体" w:cs="Arial"/>
          <w:b/>
          <w:bCs/>
          <w:sz w:val="36"/>
          <w:szCs w:val="36"/>
        </w:rPr>
      </w:pPr>
      <w:r>
        <w:rPr>
          <w:rFonts w:hint="eastAsia" w:ascii="宋体" w:hAnsi="宋体" w:eastAsia="宋体" w:cs="Arial"/>
          <w:b/>
          <w:bCs/>
          <w:sz w:val="36"/>
          <w:szCs w:val="36"/>
          <w:lang w:eastAsia="zh-CN"/>
        </w:rPr>
        <w:t>共青团凤台县委员会</w:t>
      </w: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keepNext w:val="0"/>
        <w:keepLines w:val="0"/>
        <w:pageBreakBefore w:val="0"/>
        <w:kinsoku/>
        <w:wordWrap/>
        <w:overflowPunct/>
        <w:topLinePunct w:val="0"/>
        <w:autoSpaceDE/>
        <w:autoSpaceDN/>
        <w:bidi w:val="0"/>
        <w:adjustRightInd/>
        <w:snapToGrid/>
        <w:spacing w:line="240" w:lineRule="auto"/>
        <w:jc w:val="center"/>
        <w:rPr>
          <w:rFonts w:ascii="仿宋_GB2312"/>
          <w:szCs w:val="30"/>
        </w:rPr>
      </w:pPr>
    </w:p>
    <w:p>
      <w:pPr>
        <w:keepNext w:val="0"/>
        <w:keepLines w:val="0"/>
        <w:pageBreakBefore w:val="0"/>
        <w:kinsoku/>
        <w:wordWrap/>
        <w:overflowPunct/>
        <w:topLinePunct w:val="0"/>
        <w:autoSpaceDE/>
        <w:autoSpaceDN/>
        <w:bidi w:val="0"/>
        <w:adjustRightInd/>
        <w:snapToGrid/>
        <w:spacing w:line="240" w:lineRule="auto"/>
        <w:ind w:firstLine="640" w:firstLineChars="200"/>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（一）</w:t>
      </w:r>
      <w:r>
        <w:rPr>
          <w:rFonts w:hint="eastAsia" w:ascii="仿宋_GB2312" w:hAnsi="仿宋_GB2312" w:eastAsia="仿宋_GB2312" w:cs="仿宋_GB2312"/>
          <w:i w:val="0"/>
          <w:iCs w:val="0"/>
          <w:caps w:val="0"/>
          <w:color w:val="auto"/>
          <w:spacing w:val="0"/>
          <w:sz w:val="32"/>
          <w:szCs w:val="32"/>
          <w:shd w:val="clear" w:fill="FFFFFF"/>
        </w:rPr>
        <w:t>支持共青团工作及党建经费</w:t>
      </w:r>
      <w:r>
        <w:rPr>
          <w:rFonts w:hint="eastAsia" w:ascii="仿宋_GB2312" w:hAnsi="仿宋_GB2312" w:eastAsia="仿宋_GB2312" w:cs="仿宋_GB2312"/>
          <w:i w:val="0"/>
          <w:iCs w:val="0"/>
          <w:caps w:val="0"/>
          <w:color w:val="auto"/>
          <w:spacing w:val="0"/>
          <w:sz w:val="32"/>
          <w:szCs w:val="32"/>
          <w:shd w:val="clear" w:fill="FFFFFF"/>
          <w:lang w:eastAsia="zh-CN"/>
        </w:rPr>
        <w:t>项目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项目概述及内容：利用重要节点，深入开展青年志愿服务活动，动员社会力量参与志愿服务，服务县中心工作，凝聚青年力量。坚持党建带团建，当好党联系青年的桥梁，进一步推动共青团向深入改革，指导乡镇和学校完成共青团改革工作，</w:t>
      </w:r>
      <w:r>
        <w:rPr>
          <w:rFonts w:hint="eastAsia" w:ascii="仿宋_GB2312" w:hAnsi="仿宋_GB2312" w:eastAsia="仿宋_GB2312" w:cs="仿宋_GB2312"/>
          <w:i w:val="0"/>
          <w:iCs w:val="0"/>
          <w:caps w:val="0"/>
          <w:color w:val="auto"/>
          <w:spacing w:val="0"/>
          <w:sz w:val="32"/>
          <w:szCs w:val="32"/>
          <w:shd w:val="clear" w:fill="FFFFFF"/>
          <w:lang w:eastAsia="zh-CN"/>
        </w:rPr>
        <w:t>配齐配强基层团干部，加强基层团的活动阵地建设</w:t>
      </w:r>
      <w:r>
        <w:rPr>
          <w:rFonts w:hint="eastAsia" w:ascii="仿宋_GB2312" w:hAnsi="仿宋_GB2312" w:eastAsia="仿宋_GB2312" w:cs="仿宋_GB2312"/>
          <w:i w:val="0"/>
          <w:iCs w:val="0"/>
          <w:caps w:val="0"/>
          <w:color w:val="auto"/>
          <w:spacing w:val="0"/>
          <w:sz w:val="32"/>
          <w:szCs w:val="32"/>
          <w:shd w:val="clear" w:fill="FFFFFF"/>
          <w:lang w:eastAsia="zh-CN"/>
        </w:rPr>
        <w:t>，激发基层团组织活动。加大未成年人保护力度，动员社会力量，构建未成年人保护体系，关心关爱困难儿童。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立项依据：《中国共产主义青年团章程》《中国共产主义青年团基层团组织工作条例》有关规定。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实施主体：共青团凤台县委员会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起止时间。2022年1月至2022年12月。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年度预算安排。一般公共预算安排40.00万元。</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黑体" w:hAnsi="黑体" w:eastAsia="黑体"/>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项目绩效目标：根据《中国共产主义青年团章程》《中国共产主义青年团基层团组织工作条例》等规章的规定，实施以青少年工作为主体的各项任务，保护未成年人合法权益，促进青年就业创业，调查研究青少年思想动态，加强团的组织建设，关爱留守儿童、困难青少年。持续推进共青团改革，统筹“凝聚青年、服务大局、当好桥梁、从严治团”的四维工作格局，以改革创新为动力，努力提高团的建设科学化水平。</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黑体" w:hAnsi="黑体" w:eastAsia="黑体"/>
          <w:sz w:val="32"/>
          <w:szCs w:val="32"/>
        </w:rPr>
      </w:pPr>
      <w:r>
        <w:rPr>
          <w:rFonts w:hint="eastAsia" w:ascii="黑体" w:hAnsi="黑体" w:eastAsia="黑体"/>
          <w:sz w:val="32"/>
          <w:szCs w:val="32"/>
        </w:rPr>
        <w:t>二、绩效评价工作开展情况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（一）绩效评价目的、对象和范围。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加强预算绩效管理，强化支出责任，建立科学、合理的财政支出绩效评价管理体系，提高财政资金使用效益。范围为财政预算单位。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（二）绩效评价原则、评价指标体系（附表说明）、评价方法、评价标准等。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绩效评价原则：科学公正。绩效评价应当运用科学合理的方法，按照规范的程序，对项目绩效进行客观、公正的反映。 统筹兼顾。单位自评应由项目单位自主实施，即“谁支出、谁自评”。部门评价和财政评价应在单位自评的基础上开展，必要时可委托第三方机构实施。  激励约束。绩效评价结果应与预算安排、政策调整、改进管理实质性挂钩，体现奖优罚劣和激励相容导向，有效要安排、低效要压减、无效要问责。  公开透明。绩效评价结果应依法依规公开，并自觉接受社会监督。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绩效评价标准：绩效评价标准通常包括:计划标准，计划标准是指以预先制定的目标、计划、预算、定额等数据作为评价的标准。行业标准，行业标准是指参照国家公布的行业指标数据制定的评标准。历史标准，历史标准是指参照同类指标的历史数据制定的评价标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绩效评价方法：绩效评价方法主要采用成本效益分析法、比较法、因素分析法、最低成本法、公众评判法等。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（三）绩效评价工作过程。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一是准备创段，成立项目评价领导小组，制定工作计划。二是评价工作执行阶段，</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按照评价方案收集相关数据，开展问卷调查和调研，开展资金使用情况调查。三是评价报告撰写，根据前期调研，查看资料撰写评价报告。</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三、综合评价情况及评价结论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根据专项绩效评定指标对各项目量化评价，</w:t>
      </w:r>
      <w:r>
        <w:rPr>
          <w:rFonts w:hint="eastAsia" w:ascii="仿宋_GB2312" w:hAnsi="仿宋_GB2312" w:eastAsia="仿宋_GB2312" w:cs="仿宋_GB2312"/>
          <w:i w:val="0"/>
          <w:iCs w:val="0"/>
          <w:caps w:val="0"/>
          <w:color w:val="auto"/>
          <w:spacing w:val="0"/>
          <w:sz w:val="32"/>
          <w:szCs w:val="32"/>
          <w:shd w:val="clear" w:fill="FFFFFF"/>
        </w:rPr>
        <w:t>共青团工作及党建经费</w:t>
      </w:r>
      <w:r>
        <w:rPr>
          <w:rFonts w:hint="eastAsia" w:ascii="仿宋_GB2312" w:hAnsi="仿宋_GB2312" w:eastAsia="仿宋_GB2312" w:cs="仿宋_GB2312"/>
          <w:i w:val="0"/>
          <w:iCs w:val="0"/>
          <w:caps w:val="0"/>
          <w:color w:val="auto"/>
          <w:spacing w:val="0"/>
          <w:sz w:val="32"/>
          <w:szCs w:val="32"/>
          <w:shd w:val="clear" w:fill="FFFFFF"/>
          <w:lang w:eastAsia="zh-CN"/>
        </w:rPr>
        <w:t>项目</w:t>
      </w:r>
      <w:r>
        <w:rPr>
          <w:rFonts w:hint="eastAsia" w:ascii="仿宋_GB2312" w:hAnsi="仿宋_GB2312" w:eastAsia="仿宋_GB2312" w:cs="仿宋_GB2312"/>
          <w:i w:val="0"/>
          <w:iCs w:val="0"/>
          <w:caps w:val="0"/>
          <w:color w:val="auto"/>
          <w:spacing w:val="0"/>
          <w:sz w:val="32"/>
          <w:szCs w:val="32"/>
          <w:shd w:val="clear" w:fill="FFFFFF"/>
          <w:lang w:val="en-US" w:eastAsia="zh-CN"/>
        </w:rPr>
        <w:t>绩效评指标得分92.4分。</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四、绩效评价指标分析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（一）项目决策情况。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团县委项目决策在科学的理论和方法指导下，进行细致深入调查和论证，作出科学决策。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（二）项目过程情况。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项目从年初开始，贯穿全年开展共青团工作。年末全面完成年初制定目标任务。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（三）项目产出情况。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共青团专项工作开展，使广大青少年权益受到保护，提升青少年幸福感。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（四）项目效益情况。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通过项目开展，</w:t>
      </w:r>
      <w:r>
        <w:rPr>
          <w:rFonts w:hint="eastAsia" w:ascii="仿宋_GB2312" w:hAnsi="仿宋_GB2312" w:eastAsia="仿宋_GB2312" w:cs="仿宋_GB2312"/>
          <w:i w:val="0"/>
          <w:iCs w:val="0"/>
          <w:caps w:val="0"/>
          <w:color w:val="auto"/>
          <w:spacing w:val="0"/>
          <w:sz w:val="32"/>
          <w:szCs w:val="32"/>
          <w:shd w:val="clear" w:fill="FFFFFF"/>
          <w:lang w:val="en-US" w:eastAsia="zh-CN"/>
        </w:rPr>
        <w:t>提升全社会青少年权益，保障青少年工作健康持续发展。</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五、主要经验及做法、存在的问题及原因分析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存在问题：第一，绩效评价在目标设定上过于简单，对于绩效考核来讲，目标就是方向，如果在绩效考核目标设定上出现问题、或者是设计不合理势必要影响到绩效考核的全局。第二，绩效评价在指标设定上存在偏离的现象。绩效考核的指标设定要从单位实际出发，按照科学、合理、公正的标准进行设定方案。在当前绩效考核指标设定上，德能勤绩这种传统的固化思维模式依旧存在，不能紧紧围绕工作重点、偏离实际的现象依旧凸显。第三，对项目支出绩效评价的内容上还有待于进一步完善。缺乏科学、完善的项目支出绩效评价会为机关、事业单位的绩效评价工作带来很大的弊端。</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六、有关建议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第一，绩效评价中首先要确定科学完善的评价原则。评价原则是公正、规范、合理进行绩效评价的准则，是整个绩效评价顺利进行的有效保证。在绩效评价过程中一定要树立科学完善的考核原则，本着公平公正的态度，真正实现绩效评价在推动激发人力资源潜力中的作用。确定科学完善的绩效评价原则，要制定明确的标准、选择合理的方法，尽最大限度让绩效评价结果与被考核人员在薪金、待遇、晋升、职业发展等方面实现高度匹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第二，绩效评价方法上要注意适当性、可操作性。当绩效评价的原则和体系建立之后，接下来的环节就是采用评价方法进行操作。在评价方法上不要盲目照搬照抄国外所谓的最先进的绩效评价方法，要从本单位特点和实际出发来确定究竟是采用什么样的绩效评价方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第三，要加强对绩效评价实施主体的培训，最大限度少人为因素，保证评价的公正性。绩效评价的过程是否公正、评价结果是否公平，都与绩效评价实施主体的素质有着必然的联系;要想保证评价的有效性、实现评价有效执行，关键在于提高绩效评价实施主体的素质。要采取切实措施，加强对绩效评价主体的培训力度，端正其思想，坚定其原则、硬化其素质。通过采取培训的方式有效减少主观人为因素、提高掌握绩效评价的实效性，避免一些失误现象。</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七、其他需要说明的问题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仿宋_GB2312" w:hAnsi="仿宋_GB2312" w:eastAsia="仿宋_GB2312" w:cs="仿宋_GB2312"/>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240" w:lineRule="auto"/>
        <w:rPr>
          <w:rFonts w:hint="eastAsia" w:ascii="黑体" w:hAnsi="黑体" w:eastAsia="黑体"/>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420" w:firstLineChars="200"/>
        <w:rPr>
          <w:rFonts w:hint="eastAsia" w:ascii="黑体" w:hAns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ODlmZjUxNzA0YzI0ZDI0N2NjZTk2NDMyMGYyM2YifQ=="/>
  </w:docVars>
  <w:rsids>
    <w:rsidRoot w:val="00000000"/>
    <w:rsid w:val="1BE7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TML Acronym"/>
    <w:basedOn w:val="4"/>
    <w:uiPriority w:val="0"/>
    <w:rPr>
      <w:bdr w:val="none" w:color="auto" w:sz="0" w:space="0"/>
    </w:rPr>
  </w:style>
  <w:style w:type="character" w:styleId="9">
    <w:name w:val="Hyperlink"/>
    <w:basedOn w:val="4"/>
    <w:uiPriority w:val="0"/>
    <w:rPr>
      <w:color w:val="333333"/>
      <w:u w:val="none"/>
    </w:rPr>
  </w:style>
  <w:style w:type="character" w:styleId="10">
    <w:name w:val="HTML Code"/>
    <w:basedOn w:val="4"/>
    <w:uiPriority w:val="0"/>
    <w:rPr>
      <w:rFonts w:hint="default" w:ascii="monospace" w:hAnsi="monospace" w:eastAsia="monospace" w:cs="monospace"/>
      <w:sz w:val="21"/>
      <w:szCs w:val="21"/>
    </w:rPr>
  </w:style>
  <w:style w:type="character" w:styleId="11">
    <w:name w:val="HTML Keyboard"/>
    <w:basedOn w:val="4"/>
    <w:uiPriority w:val="0"/>
    <w:rPr>
      <w:rFonts w:hint="default" w:ascii="monospace" w:hAnsi="monospace" w:eastAsia="monospace" w:cs="monospace"/>
      <w:sz w:val="21"/>
      <w:szCs w:val="21"/>
    </w:rPr>
  </w:style>
  <w:style w:type="character" w:styleId="12">
    <w:name w:val="HTML Sample"/>
    <w:basedOn w:val="4"/>
    <w:uiPriority w:val="0"/>
    <w:rPr>
      <w:rFonts w:ascii="monospace" w:hAnsi="monospace" w:eastAsia="monospace" w:cs="monospace"/>
      <w:sz w:val="21"/>
      <w:szCs w:val="21"/>
    </w:rPr>
  </w:style>
  <w:style w:type="character" w:customStyle="1" w:styleId="13">
    <w:name w:val="tmpztreemove_arrow"/>
    <w:basedOn w:val="4"/>
    <w:uiPriority w:val="0"/>
    <w:rPr>
      <w:bdr w:val="none" w:color="auto" w:sz="0" w:space="0"/>
    </w:rPr>
  </w:style>
  <w:style w:type="character" w:customStyle="1" w:styleId="14">
    <w:name w:val="button"/>
    <w:basedOn w:val="4"/>
    <w:uiPriority w:val="0"/>
    <w:rPr>
      <w:bdr w:val="none" w:color="auto" w:sz="0" w:space="0"/>
    </w:rPr>
  </w:style>
  <w:style w:type="character" w:customStyle="1" w:styleId="15">
    <w:name w:val="button1"/>
    <w:basedOn w:val="4"/>
    <w:uiPriority w:val="0"/>
  </w:style>
  <w:style w:type="character" w:customStyle="1" w:styleId="16">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2023-11-30T04:01:43Z</dcterms:created>
  <dc:creator>Administrator</dc:creator>
  <cp:lastModifiedBy>z</cp:lastModifiedBy>
  <dcterms:modified xsi:type="dcterms:W3CDTF">2023-11-30T04:59:56Z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E2A9F8756B5F49E08605F70B1A5122CB_12</vt:lpwstr>
  </property>
</Properties>
</file>