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trike/>
          <w:dstrike w:val="0"/>
          <w:color w:val="000000"/>
          <w:sz w:val="44"/>
          <w:szCs w:val="44"/>
          <w:u w:val="single"/>
          <w:lang w:val="en-US" w:eastAsia="zh-CN"/>
        </w:rPr>
        <w:t>淮南市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u w:val="none"/>
          <w:lang w:val="en-US" w:eastAsia="zh-CN"/>
        </w:rPr>
        <w:t>凤台县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农村黑臭水体治理</w:t>
      </w:r>
    </w:p>
    <w:p w14:paraId="616CF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三年行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动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方案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Times New Roman" w:hAnsi="Times New Roman" w:eastAsia="微软雅黑" w:cs="微软雅黑"/>
          <w:color w:val="000000"/>
          <w:sz w:val="44"/>
          <w:szCs w:val="44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2026年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5BA2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640" w:hanging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征求意见稿）</w:t>
      </w:r>
    </w:p>
    <w:p w14:paraId="7C0C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640" w:hanging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515A7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为深入贯彻习近平生态文明思想，推动农村人居环境持续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善，结合实施“千村引领、万村升级”工程，制定如下行动方案。</w:t>
      </w:r>
    </w:p>
    <w:p w14:paraId="6966F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实施综合治理</w:t>
      </w:r>
    </w:p>
    <w:p w14:paraId="7D62E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加强对黑臭水体特征和成因的分析研究，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坚持查污溯源、一水一策、综合施策、标本兼治，通过内源与外源同治、岸线与水体兼顾、治理与修复结合，全面消除现有</w:t>
      </w:r>
      <w:r>
        <w:rPr>
          <w:rFonts w:hint="eastAsia" w:ascii="Times New Roman" w:hAnsi="Times New Roman" w:eastAsia="仿宋_GB2312" w:cs="仿宋_GB2312"/>
          <w:strike/>
          <w:dstrike w:val="0"/>
          <w:color w:val="000000"/>
          <w:sz w:val="32"/>
          <w:szCs w:val="32"/>
          <w:u w:val="none"/>
          <w:lang w:val="en-US" w:eastAsia="zh-CN"/>
        </w:rPr>
        <w:t>187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42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个农村黑臭水体，消除外源污染，提升自净能力，改善水体水质。</w:t>
      </w:r>
    </w:p>
    <w:p w14:paraId="16E40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治理农村生活污水。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因地制宜采取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资源化利用、生态优先处理、纳入城镇污水管网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" w:eastAsia="zh-CN"/>
        </w:rPr>
        <w:t>厂、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集中或分散处理方式治理，优先选择资源化利用和生态化处理模式治理。全面排查农村黑臭水体周边的污水处理设施，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巩固乡镇政府驻地生活污水处理设施提质增效建设成果，查找乡镇政府驻地生活污水处理设施存在的问题和短板，建立运维情况及问题整改台账，分类推进整治，持续提升运行维护管理水平。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着力解决设施闲置、空转及管网不配套、运行不正常、出水水质不达标等突出问题，杜绝未经处理或处理不达标的污水排入水体。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u w:val="none"/>
          <w:lang w:val="en-US"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u w:val="none"/>
          <w:lang w:val="en-US" w:eastAsia="zh-CN"/>
        </w:rPr>
        <w:t xml:space="preserve"> 各县区人民政府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各乡镇人民政府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u w:val="none"/>
          <w:lang w:val="en-US" w:eastAsia="zh-CN"/>
        </w:rPr>
        <w:t>、园区管委会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  <w:u w:val="none"/>
        </w:rPr>
        <w:t>，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以下均需各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u w:val="none"/>
          <w:lang w:val="en-US" w:eastAsia="zh-CN"/>
        </w:rPr>
        <w:t>县区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乡镇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人民政府、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u w:val="none"/>
          <w:lang w:val="en-US" w:eastAsia="zh-CN"/>
        </w:rPr>
        <w:t>园区管委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会落实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  <w:u w:val="none"/>
        </w:rPr>
        <w:t>，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不再一一列出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坚持“愿改则改、能改则改”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提高水体周边农户改厕覆盖率，加强农村改厕与生活污水治理有效衔接，因地制宜选择粪污分散处理、集中处理或纳入污水管网统一处理等方式，防止粪污进入水体。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）</w:t>
      </w:r>
    </w:p>
    <w:p w14:paraId="38C15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治理农业面源污染。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推广应用低毒低残留农药，采取生态沟渠、植物隔离带、生态缓冲带、径流集蓄池等措施，加强农田退水的拦截净化。强化畜禽养殖污染防治，推动畜禽规模养殖场完善粪污收集、贮存设施，严格落实污染防治措施。推动畜禽粪污综合利用，鼓励粪肥还田。推动建立畜禽粪污收储运体系，促进县级和区域粪污处理中心、村庄粪污收集设施有效运转，加强计划和台账管理，杜绝畜禽粪便及畜禽养殖中的沼液、沼渣、污水等直接排放。推进水产养殖池塘生态化改造，推动养殖尾水治理，促进养殖尾水达标排放、循环利用或资源化利用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）</w:t>
      </w:r>
    </w:p>
    <w:p w14:paraId="64805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三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治理工业和服务业污水。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全面排查涉水排污企业，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加大污染排放监管和治理力度，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推动符合条件的企业进入园区，督促指导不具备入园条件的企业完善污染防治设施，做好污水收集和处理。依法依规关停取缔“散乱污”企业。指导督促农产品加工及汽修、民宿、餐饮、宾馆、酒店、农家乐等服务业经营者严格落实生态环境保护措施，杜绝未经处理或处理不达标污水直排外环境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市商务局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县工业和信息化局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市文化和旅游局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县文化旅游体育局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</w:p>
    <w:p w14:paraId="4EAF1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清理内源污染和垃圾。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对淤积严重或存在翻泥、冒泡现象的黑臭水体，清理淤积底泥，规范处置利用，防止随意堆放造成二次污染。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全面清除水体周边的生活垃圾、建筑垃圾。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</w:rPr>
        <w:t>住房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</w:rPr>
        <w:t>城乡建设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u w:val="single"/>
          <w:lang w:val="en-US" w:eastAsia="zh-CN"/>
        </w:rPr>
        <w:t>县城市管理行政执法局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及时清理农作物秸秆、畜禽粪污。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定期打捞清理水体垃圾、漂浮物和浮萍、水葫芦等水生植物，避免对水体产生污染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none"/>
          <w:lang w:val="en-US" w:eastAsia="zh-CN"/>
        </w:rPr>
        <w:t>）</w:t>
      </w:r>
    </w:p>
    <w:p w14:paraId="7946F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五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修复水体生态。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对水系割裂、流动性差、季节性断流的河道型水体，实施水系连通，提升水体的流动性和通透性。以现有岸坡为基础，适当修建生态护坡、种植林木和草本植物，提升河岸抗冲刷能力。对崩岸、塌岸严重的河段，采取必要的硬质护岸措施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统筹考虑水体用途和农村实际，合理选择低成本、易维护、高效率的治理方式，优先采用资源化生态化治理措施，严防将水体“一填了之”。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对自净能力较弱的坑塘、沟渠，因地制宜改造成人工湿地、氧化塘等，种植芦苇、菖蒲等水生植物，放养鱼类、贝类，或设置曝气增氧、人工浮岛等设施设备的方式，提升水体自净能力。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</w:p>
    <w:p w14:paraId="7086D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楷体" w:cs="楷体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（六）加强动态排查治理。</w:t>
      </w:r>
      <w:r>
        <w:rPr>
          <w:rFonts w:hint="default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根据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《农村黑臭水体治理工作指南》（环办土壤〔2023〕23号）水体识别标准</w:t>
      </w:r>
      <w:r>
        <w:rPr>
          <w:rFonts w:hint="default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，各</w:t>
      </w:r>
      <w:r>
        <w:rPr>
          <w:rFonts w:hint="eastAsia" w:ascii="Times New Roman" w:hAnsi="Times New Roman" w:eastAsia="仿宋_GB2312" w:cs="仿宋_GB2312"/>
          <w:strike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县区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single"/>
          <w:lang w:val="en-US" w:eastAsia="zh-CN" w:bidi="ar-SA"/>
        </w:rPr>
        <w:t>乡镇</w:t>
      </w:r>
      <w:r>
        <w:rPr>
          <w:rFonts w:hint="default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要加大常态化排查力度，以房前屋后河、渠、塘等水体为重点，通过现场调查、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水质监测</w:t>
      </w:r>
      <w:r>
        <w:rPr>
          <w:rFonts w:hint="default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none"/>
          <w:lang w:val="en-US" w:eastAsia="zh-CN" w:bidi="ar-SA"/>
        </w:rPr>
        <w:t>等手段，将新排查出的农村黑臭水体纳入相应监管清单，明确治理责任主体和时序，实施常态化监管。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single"/>
          <w:lang w:val="en-US" w:eastAsia="zh-CN" w:bidi="ar-SA"/>
        </w:rPr>
        <w:t>(</w:t>
      </w:r>
      <w:r>
        <w:rPr>
          <w:rFonts w:hint="eastAsia" w:ascii="楷体" w:hAnsi="楷体" w:eastAsia="楷体" w:cs="楷体"/>
          <w:strike w:val="0"/>
          <w:dstrike w:val="0"/>
          <w:color w:val="000000"/>
          <w:kern w:val="2"/>
          <w:sz w:val="32"/>
          <w:szCs w:val="32"/>
          <w:u w:val="single"/>
          <w:lang w:val="en-US" w:eastAsia="zh-CN" w:bidi="ar-SA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u w:val="single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kern w:val="2"/>
          <w:sz w:val="32"/>
          <w:szCs w:val="32"/>
          <w:u w:val="single"/>
          <w:lang w:val="en-US" w:eastAsia="zh-CN" w:bidi="ar-SA"/>
        </w:rPr>
        <w:t>)</w:t>
      </w:r>
    </w:p>
    <w:p w14:paraId="6DB6D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（七）抓好典型示范。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寿县</w:t>
      </w:r>
      <w:r>
        <w:rPr>
          <w:rFonts w:hint="default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潘集区</w:t>
      </w:r>
      <w:r>
        <w:rPr>
          <w:rFonts w:hint="default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高新区积极推进省级农村黑臭水体治理试点</w:t>
      </w:r>
      <w:r>
        <w:rPr>
          <w:rFonts w:hint="default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及时总结提炼农村黑臭水体治理典型经验做法，因地制宜探索形成一批可复制、可推广的治理模式，强化典型示范带动，整体提升治理质效。</w:t>
      </w:r>
      <w:r>
        <w:rPr>
          <w:rFonts w:hint="eastAsia" w:eastAsia="仿宋_GB2312" w:cs="仿宋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strike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责任单位：寿县、潘集区人民政府，高新区管委会）</w:t>
      </w:r>
    </w:p>
    <w:p w14:paraId="12340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二、加强长效管护</w:t>
      </w:r>
    </w:p>
    <w:p w14:paraId="3CA46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坚持管用结合、长治长效，建立完善农村水体日常巡查管护制度，合理利用农村水体资源，做到“当下治”与“长久用”相结合，以常态管理和有效利用巩固治理成效，防止返黑返臭，实现长治久清。</w:t>
      </w:r>
    </w:p>
    <w:p w14:paraId="3097B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加强日常管护。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探索采取政府补贴、受益者适当付费等方式，建立健全农村小微水体管护长效机制。用好农村公益性岗位，安排专职或兼职人员定期巡查，及时清除水面漂浮物和沿岸垃圾。根据季节变化对水生植物、岸带植物和落叶等进行清理。做好三格式化粪池、生活污水处理设施日常管护，及时修复破损设施。对完成治理的较大面积农村黑臭水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一般为2000平方米及以上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每半年至少开展1次水质监测。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</w:rPr>
        <w:t>住房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</w:rPr>
        <w:t>城乡建设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u w:val="single"/>
          <w:lang w:val="en-US" w:eastAsia="zh-CN"/>
        </w:rPr>
        <w:t>县城市管理行政执法局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推进河湖“四乱”问题清理整治向农村河湖延伸，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将河道类型的农村黑臭水体作为河湖长巡河重点，发现问题及时推动整改。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</w:p>
    <w:p w14:paraId="67525614">
      <w:pPr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强化多方监管。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督促指导农村新开办涉水排放企业和其他生产经营者，采取必要措施，防止污水直排外环境。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加强废弃农膜、化肥和农药包装废弃物回收处置，构建村庄收集、乡镇转运、市县统一处置的回收处理体系。合理布设农作物秸秆收储网络，做好秸秆科学还田、离田利用工作，提升综合利用水平。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完善农村生活垃圾收运处置体系，科学布设生活垃圾收集设施，防止垃圾乱扔乱倒进入水体。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</w:rPr>
        <w:t>住房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</w:rPr>
        <w:t>城乡建设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u w:val="single"/>
          <w:lang w:val="en-US" w:eastAsia="zh-CN"/>
        </w:rPr>
        <w:t>县城市管理行政执法局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加强农村建房管理，防止骑河倚堤建房污染水体。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市水利局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县水利局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市自然资源和规划局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</w:t>
      </w:r>
      <w:r>
        <w:rPr>
          <w:rFonts w:hint="eastAsia" w:ascii="Times New Roman" w:hAnsi="Times New Roman" w:eastAsia="楷体" w:cs="楷体"/>
          <w:strike w:val="0"/>
          <w:color w:val="000000"/>
          <w:sz w:val="32"/>
          <w:szCs w:val="32"/>
          <w:u w:val="single"/>
          <w:lang w:val="en-US" w:eastAsia="zh-CN"/>
        </w:rPr>
        <w:t>自然资源和规划局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</w:p>
    <w:p w14:paraId="5A1FAFCD">
      <w:pPr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鼓励以用促治。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坚持宜农则农、宜渔则渔，引导支持以承包经营等形式合理利用农村闲置水体，根据水体状况，因地制宜栽植水生经济作物，放养鱼、虾、蚌、螺等，实现以用促治，推动农村水体资源转化为经济资源。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市农业农村局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县农业农村局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，配合单位：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</w:p>
    <w:p w14:paraId="28E78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发挥群众作用。</w:t>
      </w:r>
      <w:r>
        <w:rPr>
          <w:rFonts w:hint="eastAsia" w:ascii="Times New Roman" w:hAnsi="Times New Roman" w:eastAsia="仿宋_GB2312" w:cs="仿宋_GB2312"/>
          <w:strike/>
          <w:dstrike w:val="0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trike/>
          <w:dstrike w:val="0"/>
          <w:color w:val="000000"/>
          <w:sz w:val="32"/>
          <w:szCs w:val="32"/>
          <w:u w:val="none"/>
          <w:lang w:eastAsia="zh-CN"/>
        </w:rPr>
        <w:t>县区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公布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农村黑臭水体排查有关信息，通过网站、电话、微信等受理群众举报，确保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</w:rPr>
        <w:t>排查情况真实准确。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</w:rPr>
        <w:t>充分调动群众积极性和主动性，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</w:rPr>
        <w:t>广泛听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取群众对治理方案的意见，充分发挥基层组织作用，鼓励社会各界出资投劳参与治理。将完成治理的农村黑臭水体通过政府及相关部门网站等向社会公示，接受公众监督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，让群众成为水体治理的参与者、受益者、监督者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责任单位：</w:t>
      </w:r>
      <w:r>
        <w:rPr>
          <w:rFonts w:hint="eastAsia" w:ascii="Times New Roman" w:hAnsi="Times New Roman" w:eastAsia="楷体" w:cs="楷体"/>
          <w:strike/>
          <w:dstrike w:val="0"/>
          <w:color w:val="000000"/>
          <w:sz w:val="32"/>
          <w:szCs w:val="32"/>
          <w:lang w:eastAsia="zh-CN"/>
        </w:rPr>
        <w:t>市生态环境局</w:t>
      </w:r>
      <w:r>
        <w:rPr>
          <w:rFonts w:hint="eastAsia" w:ascii="Times New Roman" w:hAnsi="Times New Roman" w:eastAsia="楷体" w:cs="楷体"/>
          <w:strike w:val="0"/>
          <w:dstrike w:val="0"/>
          <w:color w:val="000000"/>
          <w:sz w:val="32"/>
          <w:szCs w:val="32"/>
          <w:u w:val="single"/>
          <w:lang w:val="en-US" w:eastAsia="zh-CN"/>
        </w:rPr>
        <w:t>县生态环境分局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eastAsia="zh-CN"/>
        </w:rPr>
        <w:t>）</w:t>
      </w:r>
    </w:p>
    <w:p w14:paraId="00B1A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三、强化组织保障</w:t>
      </w:r>
    </w:p>
    <w:p w14:paraId="73D22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FF0000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  <w:lang w:eastAsia="zh-CN"/>
        </w:rPr>
        <w:t>县区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乡镇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  <w:lang w:eastAsia="zh-CN"/>
        </w:rPr>
        <w:t>园区、市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single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有关部门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要高度重视农村黑臭水体治理工作，结合实施“千村引领、万村升级”工程，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</w:rPr>
        <w:t>建立健全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统筹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调度、县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（区、园区）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统一组织具体实施的工作机制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推动地方政府落实农村黑臭水体治理主体责任。成立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县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  <w:lang w:eastAsia="zh-CN"/>
        </w:rPr>
        <w:t>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农村黑臭水体治理工作专班，加强统筹协调调度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抓好工作落实。</w:t>
      </w:r>
    </w:p>
    <w:p w14:paraId="57F0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（二）落实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资金保障。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建立政府主导、社会参与、农民自筹的多元投入机制，增强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农村黑臭水体治理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资金的保障能力。深入研究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中央、省有关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政策要求，积极争取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上级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专项资金支持。加强资金统筹，有效整合涉农资金，强化农村黑臭水体治理与“千万工程”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乡村振兴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、和美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乡村建设等有效衔接，充分发挥聚集效应，提高资金利用率。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  <w:lang w:eastAsia="zh-CN"/>
        </w:rPr>
        <w:t>指导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</w:rPr>
        <w:t>地方政府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与政策性银行合作，搭建融资平台，用好政策性优惠贷款。充分发挥市场作用，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引导社会资本参与农村环境治理。</w:t>
      </w:r>
    </w:p>
    <w:p w14:paraId="7742B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（三）强化调度考核。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将农村黑臭水体治理作为“千万工程”的重要内容，加大日常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检查指导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，定期调度任务完成情况，对治理进展缓慢、水体返黑返臭的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采取通报批评、约谈警示等措施，推动工作落实。将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农村黑臭水体治理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纳入</w:t>
      </w:r>
      <w:r>
        <w:rPr>
          <w:rFonts w:hint="eastAsia" w:ascii="Times New Roman" w:hAnsi="Times New Roman" w:eastAsia="仿宋_GB2312" w:cs="仿宋_GB2312"/>
          <w:strike/>
          <w:dstrike w:val="0"/>
          <w:color w:val="auto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single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政府目标管理绩效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、污染防治攻坚战成效考核、乡村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振兴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战略实绩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3D42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（四）加大宣传引导。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依托“乡村大喇叭”“生态振兴之声”等群众喜闻乐见的宣传载体，开展内容丰富多彩、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形式多样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的宣传，推动群众养成良好的生活习惯和绿色生活方式。加强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生态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环保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相关政策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法律法规宣传，引导农村企业及经营者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增强生态环保意识。大力宣传农村黑臭水体治理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正面典型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、管护经验做法，强化示范引领。对群众反映强烈、返黑返臭严重的典型案例进行公开曝光，发挥警示作用，推动问题整改到位。</w:t>
      </w:r>
    </w:p>
    <w:p w14:paraId="0D825A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mMxMTdjYjYyZjE1ZmJlMjU4Y2NhMDQwN2Y2YjkifQ=="/>
  </w:docVars>
  <w:rsids>
    <w:rsidRoot w:val="00000000"/>
    <w:rsid w:val="5B8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2024-09-27T01:34:37Z</dcterms:created>
  <dc:creator>Administrator</dc:creator>
  <cp:lastModifiedBy>Administrator</cp:lastModifiedBy>
  <dcterms:modified xsi:type="dcterms:W3CDTF">2024-09-27T01:35:04Z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A779056BC9104751A2A8D9A706224D35_12</vt:lpwstr>
  </property>
</Properties>
</file>