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ED407" w14:textId="77777777" w:rsidR="003C2779" w:rsidRDefault="003C2779" w:rsidP="003C2779">
      <w:pPr>
        <w:spacing w:line="600" w:lineRule="exact"/>
        <w:rPr>
          <w:rFonts w:ascii="Times New Roman" w:eastAsia="方正小标宋简体" w:hAnsi="Times New Roman" w:hint="eastAsia"/>
          <w:sz w:val="52"/>
          <w:szCs w:val="52"/>
        </w:rPr>
      </w:pPr>
    </w:p>
    <w:p w14:paraId="3568EA88" w14:textId="77777777" w:rsidR="003C2779" w:rsidRDefault="003C2779" w:rsidP="003C2779">
      <w:pPr>
        <w:spacing w:line="600" w:lineRule="exact"/>
        <w:rPr>
          <w:rFonts w:ascii="Times New Roman" w:eastAsia="方正小标宋简体" w:hAnsi="Times New Roman"/>
          <w:sz w:val="52"/>
          <w:szCs w:val="52"/>
        </w:rPr>
      </w:pPr>
    </w:p>
    <w:p w14:paraId="14FA4305" w14:textId="77777777" w:rsidR="003C2779" w:rsidRDefault="003C2779" w:rsidP="003C2779">
      <w:pPr>
        <w:spacing w:line="600" w:lineRule="exact"/>
        <w:rPr>
          <w:rFonts w:ascii="Times New Roman" w:eastAsia="方正小标宋简体" w:hAnsi="Times New Roman"/>
          <w:sz w:val="52"/>
          <w:szCs w:val="52"/>
        </w:rPr>
      </w:pPr>
    </w:p>
    <w:p w14:paraId="5FE9C199" w14:textId="77777777" w:rsidR="003C2779" w:rsidRDefault="003C2779" w:rsidP="003C2779">
      <w:pPr>
        <w:spacing w:line="600" w:lineRule="exact"/>
        <w:rPr>
          <w:rFonts w:ascii="Times New Roman" w:eastAsia="方正小标宋简体" w:hAnsi="Times New Roman"/>
          <w:sz w:val="52"/>
          <w:szCs w:val="52"/>
        </w:rPr>
      </w:pPr>
    </w:p>
    <w:p w14:paraId="25B4FFEC" w14:textId="77777777" w:rsidR="003C2779" w:rsidRDefault="003C2779" w:rsidP="003C2779">
      <w:pPr>
        <w:spacing w:line="600" w:lineRule="exact"/>
        <w:rPr>
          <w:rFonts w:ascii="Times New Roman" w:eastAsia="方正小标宋简体" w:hAnsi="Times New Roman"/>
          <w:sz w:val="52"/>
          <w:szCs w:val="52"/>
        </w:rPr>
      </w:pPr>
    </w:p>
    <w:p w14:paraId="2BCAC572" w14:textId="77777777" w:rsidR="003C2779" w:rsidRDefault="003C2779" w:rsidP="003C2779">
      <w:pPr>
        <w:spacing w:line="600" w:lineRule="exact"/>
        <w:rPr>
          <w:rFonts w:ascii="Times New Roman" w:eastAsia="方正小标宋简体" w:hAnsi="Times New Roman"/>
          <w:sz w:val="52"/>
          <w:szCs w:val="52"/>
        </w:rPr>
      </w:pPr>
    </w:p>
    <w:p w14:paraId="1D056F8C" w14:textId="77777777" w:rsidR="003C2779" w:rsidRDefault="003C2779" w:rsidP="003C2779">
      <w:pPr>
        <w:spacing w:line="480" w:lineRule="exact"/>
        <w:rPr>
          <w:rFonts w:ascii="Times New Roman" w:eastAsia="方正小标宋简体" w:hAnsi="Times New Roman"/>
          <w:sz w:val="52"/>
          <w:szCs w:val="52"/>
        </w:rPr>
      </w:pPr>
    </w:p>
    <w:p w14:paraId="74950C1F" w14:textId="6B5219A8" w:rsidR="003C2779" w:rsidRDefault="003C2779" w:rsidP="003C2779">
      <w:pPr>
        <w:spacing w:line="480" w:lineRule="exact"/>
        <w:rPr>
          <w:rFonts w:ascii="Times New Roman" w:eastAsia="楷体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凤</w:t>
      </w:r>
      <w:proofErr w:type="gramEnd"/>
      <w:r>
        <w:rPr>
          <w:rFonts w:ascii="Times New Roman" w:eastAsia="仿宋_GB2312" w:hAnsi="Times New Roman"/>
          <w:sz w:val="32"/>
          <w:szCs w:val="32"/>
        </w:rPr>
        <w:t>开管〔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sz w:val="32"/>
          <w:szCs w:val="32"/>
        </w:rPr>
        <w:t>签发人</w:t>
      </w:r>
      <w:r>
        <w:rPr>
          <w:rFonts w:ascii="Times New Roman" w:eastAsia="仿宋_GB2312" w:hAnsi="Times New Roman"/>
          <w:sz w:val="32"/>
          <w:szCs w:val="32"/>
        </w:rPr>
        <w:t>:</w:t>
      </w:r>
      <w:r>
        <w:rPr>
          <w:rFonts w:ascii="Times New Roman" w:eastAsia="楷体_GB2312" w:hAnsi="Times New Roman"/>
          <w:sz w:val="32"/>
          <w:szCs w:val="32"/>
        </w:rPr>
        <w:t>陈海滨</w:t>
      </w:r>
    </w:p>
    <w:p w14:paraId="14FEFF4B" w14:textId="77777777" w:rsidR="003C2779" w:rsidRDefault="003C2779" w:rsidP="003C2779">
      <w:pPr>
        <w:spacing w:line="3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1594A7CE" w14:textId="77777777" w:rsidR="003C2779" w:rsidRPr="00281431" w:rsidRDefault="003C2779" w:rsidP="003C2779">
      <w:pPr>
        <w:spacing w:line="3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43019EE3" w14:textId="77777777" w:rsidR="00231587" w:rsidRDefault="00000000" w:rsidP="003C2779">
      <w:pPr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凤台经济开发区环境污染整治实施方案</w:t>
      </w:r>
    </w:p>
    <w:p w14:paraId="303939F7" w14:textId="77777777" w:rsidR="00231587" w:rsidRDefault="00231587" w:rsidP="003C2779">
      <w:pPr>
        <w:spacing w:line="40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E7187DB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为全面提升开发区环境污染管理水平，持续改善区域环境质量，</w:t>
      </w:r>
      <w:r>
        <w:rPr>
          <w:rFonts w:ascii="Times New Roman" w:eastAsia="仿宋_GB2312" w:hAnsi="Times New Roman" w:cs="Times New Roman"/>
          <w:sz w:val="32"/>
          <w:szCs w:val="32"/>
        </w:rPr>
        <w:t>切实做好我区环境污染整治各项工作，经管委会同意，现制定以下实施方案。</w:t>
      </w:r>
    </w:p>
    <w:p w14:paraId="0475AF35" w14:textId="77777777" w:rsidR="00231587" w:rsidRPr="003C2779" w:rsidRDefault="00000000" w:rsidP="003C2779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C2779">
        <w:rPr>
          <w:rFonts w:ascii="黑体" w:eastAsia="黑体" w:hAnsi="黑体" w:cs="Times New Roman"/>
          <w:sz w:val="32"/>
          <w:szCs w:val="32"/>
        </w:rPr>
        <w:t>一、指导思想</w:t>
      </w:r>
    </w:p>
    <w:p w14:paraId="31CF4525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坚持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保护优先、预防为主、防治结合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、公众参与、损害担责”的原则，</w:t>
      </w:r>
      <w:r>
        <w:rPr>
          <w:rFonts w:ascii="Times New Roman" w:eastAsia="仿宋_GB2312" w:hAnsi="Times New Roman" w:cs="Times New Roman"/>
          <w:sz w:val="32"/>
          <w:szCs w:val="32"/>
        </w:rPr>
        <w:t>严格落实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生态</w:t>
      </w:r>
      <w:r>
        <w:rPr>
          <w:rFonts w:ascii="Times New Roman" w:eastAsia="仿宋_GB2312" w:hAnsi="Times New Roman" w:cs="Times New Roman"/>
          <w:sz w:val="32"/>
          <w:szCs w:val="32"/>
        </w:rPr>
        <w:t>环境保护责任制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建立健全环保工作长效机制，大力开展环境污染治理行动，着力解决环境污染突出问题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为持续改善生态环境，保护人民健康，提升经济发展质量，实现可持续发展提供环境支撑。</w:t>
      </w:r>
    </w:p>
    <w:p w14:paraId="779C5B74" w14:textId="77777777" w:rsidR="00231587" w:rsidRPr="003C2779" w:rsidRDefault="00000000" w:rsidP="003C2779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C2779">
        <w:rPr>
          <w:rFonts w:ascii="黑体" w:eastAsia="黑体" w:hAnsi="黑体" w:cs="Times New Roman"/>
          <w:sz w:val="32"/>
          <w:szCs w:val="32"/>
        </w:rPr>
        <w:t>二、工作目标</w:t>
      </w:r>
    </w:p>
    <w:p w14:paraId="446D6820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加强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对已</w:t>
      </w:r>
      <w:r>
        <w:rPr>
          <w:rFonts w:ascii="Times New Roman" w:eastAsia="仿宋_GB2312" w:hAnsi="Times New Roman" w:cs="Times New Roman"/>
          <w:sz w:val="32"/>
          <w:szCs w:val="32"/>
        </w:rPr>
        <w:t>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>
        <w:rPr>
          <w:rFonts w:ascii="Times New Roman" w:eastAsia="仿宋_GB2312" w:hAnsi="Times New Roman" w:cs="Times New Roman"/>
          <w:sz w:val="32"/>
          <w:szCs w:val="32"/>
        </w:rPr>
        <w:t>污水集中处理设施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有效运转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VOCS</w:t>
      </w:r>
      <w:r>
        <w:rPr>
          <w:rFonts w:ascii="Times New Roman" w:eastAsia="仿宋_GB2312" w:hAnsi="Times New Roman" w:cs="Times New Roman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日常运行</w:t>
      </w:r>
      <w:r>
        <w:rPr>
          <w:rFonts w:ascii="Times New Roman" w:eastAsia="仿宋_GB2312" w:hAnsi="Times New Roman" w:cs="Times New Roman"/>
          <w:sz w:val="32"/>
          <w:szCs w:val="32"/>
        </w:rPr>
        <w:t>监督管理，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有效</w:t>
      </w:r>
      <w:r>
        <w:rPr>
          <w:rFonts w:ascii="Times New Roman" w:eastAsia="仿宋_GB2312" w:hAnsi="Times New Roman" w:cs="Times New Roman"/>
          <w:sz w:val="32"/>
          <w:szCs w:val="32"/>
        </w:rPr>
        <w:t>改善环境质量为目标，不断提高环境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监</w:t>
      </w:r>
      <w:r>
        <w:rPr>
          <w:rFonts w:ascii="Times New Roman" w:eastAsia="仿宋_GB2312" w:hAnsi="Times New Roman" w:cs="Times New Roman"/>
          <w:sz w:val="32"/>
          <w:szCs w:val="32"/>
        </w:rPr>
        <w:t>管能力，通过实施环境污染防治管控措施，严格控制污染物排放总量，实现重污染天气逐年减少，空气环境质量持续明显改善。</w:t>
      </w:r>
    </w:p>
    <w:p w14:paraId="34407E8C" w14:textId="77777777" w:rsidR="00231587" w:rsidRPr="003C2779" w:rsidRDefault="00000000" w:rsidP="003C2779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C2779">
        <w:rPr>
          <w:rFonts w:ascii="黑体" w:eastAsia="黑体" w:hAnsi="黑体" w:cs="Times New Roman"/>
          <w:sz w:val="32"/>
          <w:szCs w:val="32"/>
        </w:rPr>
        <w:lastRenderedPageBreak/>
        <w:t>三、重点任务及职责</w:t>
      </w:r>
    </w:p>
    <w:p w14:paraId="2943A26B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坚持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科学规划、防治并举、突出重点、综合治理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的原则，以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小散乱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企业整治、大气</w:t>
      </w:r>
      <w:r>
        <w:rPr>
          <w:rFonts w:ascii="Times New Roman" w:eastAsia="仿宋_GB2312" w:hAnsi="Times New Roman" w:cs="Times New Roman"/>
          <w:sz w:val="32"/>
          <w:szCs w:val="32"/>
        </w:rPr>
        <w:t>污染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治理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工业污水达标排放、固体废物收集处置</w:t>
      </w:r>
      <w:r>
        <w:rPr>
          <w:rFonts w:ascii="Times New Roman" w:eastAsia="仿宋_GB2312" w:hAnsi="Times New Roman" w:cs="Times New Roman"/>
          <w:sz w:val="32"/>
          <w:szCs w:val="32"/>
        </w:rPr>
        <w:t>为重点，集中整治环境污染突出问题，确保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开发区</w:t>
      </w:r>
      <w:r>
        <w:rPr>
          <w:rFonts w:ascii="Times New Roman" w:eastAsia="仿宋_GB2312" w:hAnsi="Times New Roman" w:cs="Times New Roman"/>
          <w:sz w:val="32"/>
          <w:szCs w:val="32"/>
        </w:rPr>
        <w:t>环境污染防治工作取得实效。</w:t>
      </w:r>
    </w:p>
    <w:p w14:paraId="22BAA961" w14:textId="6C00AF23" w:rsidR="00231587" w:rsidRPr="003C2779" w:rsidRDefault="003C2779" w:rsidP="003C2779">
      <w:pPr>
        <w:spacing w:line="520" w:lineRule="exact"/>
        <w:ind w:firstLineChars="200" w:firstLine="643"/>
        <w:rPr>
          <w:rFonts w:ascii="楷体_GB2312" w:eastAsia="楷体_GB2312" w:hAnsi="Times New Roman" w:cs="Times New Roman" w:hint="eastAsia"/>
          <w:b/>
          <w:bCs/>
          <w:sz w:val="32"/>
          <w:szCs w:val="32"/>
        </w:rPr>
      </w:pPr>
      <w:r w:rsidRPr="003C27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</w:t>
      </w:r>
      <w:r w:rsidR="00000000" w:rsidRPr="003C27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一</w:t>
      </w:r>
      <w:r w:rsidRPr="003C27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）</w:t>
      </w:r>
      <w:r w:rsidR="00000000" w:rsidRPr="003C27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环境保护工作职责</w:t>
      </w:r>
    </w:p>
    <w:p w14:paraId="6E00C527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严格落实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开发区环境保护工作职责，对</w:t>
      </w:r>
      <w:r>
        <w:rPr>
          <w:rFonts w:ascii="Times New Roman" w:eastAsia="仿宋_GB2312" w:hAnsi="Times New Roman" w:cs="Times New Roman"/>
          <w:sz w:val="32"/>
          <w:szCs w:val="32"/>
        </w:rPr>
        <w:t>违法排污企业，按照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先停后治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原则，立即停产治理，治理后仍不能达标的，予以取缔。制定实施辖区环保工作相关规划及管理制度，建立完善应急工作预案，综合协调大气、水、噪声、固体废物等污染防治工作，解决重点区域环境污染和生态破坏问题。落实网格化环境监管责任，配合开展环保执法监管，查处环境违法行为，组织整改重大环境问题，配合相关单位依法关闭或取缔严重环境违法企事业单位。做好环保宣传教育和舆论引导，营造浓厚社会氛围。负责环保资料整理、上报等日常工作，做好其它临时性、突发性环保工作。</w:t>
      </w:r>
    </w:p>
    <w:p w14:paraId="2E985DFC" w14:textId="011DA006" w:rsidR="00231587" w:rsidRPr="003C2779" w:rsidRDefault="003C2779" w:rsidP="003C2779">
      <w:pPr>
        <w:spacing w:line="52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 w:rsidR="00000000" w:rsidRPr="003C27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二</w:t>
      </w: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小散乱</w:t>
      </w:r>
      <w:proofErr w:type="gramStart"/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污</w:t>
      </w:r>
      <w:proofErr w:type="gramEnd"/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企业整治</w:t>
      </w:r>
    </w:p>
    <w:p w14:paraId="265A46EB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</w:t>
      </w:r>
      <w:r>
        <w:rPr>
          <w:rFonts w:ascii="Times New Roman" w:eastAsia="仿宋_GB2312" w:hAnsi="Times New Roman" w:cs="Times New Roman"/>
          <w:sz w:val="32"/>
          <w:szCs w:val="32"/>
        </w:rPr>
        <w:t>通过悬挂条幅、发放宣传单等方式加大对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小散乱污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企业排查工作的宣传力度，同时畅通环保举报渠道，充分发动群众广泛参与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。二是在全区范围</w:t>
      </w:r>
      <w:r>
        <w:rPr>
          <w:rFonts w:ascii="Times New Roman" w:eastAsia="仿宋_GB2312" w:hAnsi="Times New Roman" w:cs="Times New Roman"/>
          <w:sz w:val="32"/>
          <w:szCs w:val="32"/>
        </w:rPr>
        <w:t>内进行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全面</w:t>
      </w:r>
      <w:r>
        <w:rPr>
          <w:rFonts w:ascii="Times New Roman" w:eastAsia="仿宋_GB2312" w:hAnsi="Times New Roman" w:cs="Times New Roman"/>
          <w:sz w:val="32"/>
          <w:szCs w:val="32"/>
        </w:rPr>
        <w:t>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排查，逐个登记，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特别是园中园企业，将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做为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重点排查对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，确</w:t>
      </w:r>
      <w:r>
        <w:rPr>
          <w:rFonts w:ascii="Times New Roman" w:eastAsia="仿宋_GB2312" w:hAnsi="Times New Roman" w:cs="Times New Roman"/>
          <w:sz w:val="32"/>
          <w:szCs w:val="32"/>
        </w:rPr>
        <w:t>保辖区全覆盖，不留死角。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三是针对排查出的“小散乱污”企业制定整治方案，组织多部门联动，按照方案时间节点依法依规对其做好“两断三清”整治工作。</w:t>
      </w:r>
    </w:p>
    <w:p w14:paraId="705F6BF3" w14:textId="130CB542" w:rsidR="00231587" w:rsidRPr="003C2779" w:rsidRDefault="003C2779" w:rsidP="003C2779">
      <w:pPr>
        <w:spacing w:line="52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三</w:t>
      </w: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 w:rsidR="00000000" w:rsidRPr="003C27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大气污染防治工作</w:t>
      </w:r>
    </w:p>
    <w:p w14:paraId="17BD4D87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一是强化工业企业污染治理。通过加大对园区“两高”重点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企业的监督检查力度，确保企业各类污染治理设施高效、稳定运行，污染物排放持续、稳定达标。</w:t>
      </w:r>
    </w:p>
    <w:p w14:paraId="5453FE72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二是积极开展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vocs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污染防治工作。推动老企业的污染治理工作，督促重点企业的挥发性有机物完成综合治理任务，确保污染物排放排气筒与厂界双达标；新建项目从源头上把关，严格落实环评、验收等工作，杜绝新污染的产生；加强重点行业清洁生产原料替代，实施清洁生产技术改造。</w:t>
      </w:r>
    </w:p>
    <w:p w14:paraId="3555436A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三是进一步规范建筑扬尘治理。加强建筑工地的拆迁现场、道路、物料堆场扬尘综合监管，全面落实封闭围挡、道路硬化、物料堆放全覆盖、进出车辆冲洗、工程立面围护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等控尘抑尘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措施。</w:t>
      </w:r>
    </w:p>
    <w:p w14:paraId="230817D8" w14:textId="31A825AA" w:rsidR="00231587" w:rsidRPr="003C2779" w:rsidRDefault="003C2779" w:rsidP="003C2779">
      <w:pPr>
        <w:spacing w:line="52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四</w:t>
      </w: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 w:rsidR="00000000" w:rsidRPr="003C27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工业污水达标排放监督管理工作</w:t>
      </w:r>
    </w:p>
    <w:p w14:paraId="0887873F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</w:t>
      </w:r>
      <w:r>
        <w:rPr>
          <w:rFonts w:ascii="Times New Roman" w:eastAsia="仿宋_GB2312" w:hAnsi="Times New Roman" w:cs="Times New Roman"/>
          <w:sz w:val="32"/>
          <w:szCs w:val="32"/>
        </w:rPr>
        <w:t>开展环保宣传教育活动，提高企业环保意识，鼓励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企业提升污水处理和排放管理的技术水平，确保</w:t>
      </w:r>
      <w:r>
        <w:rPr>
          <w:rFonts w:ascii="Times New Roman" w:eastAsia="仿宋_GB2312" w:hAnsi="Times New Roman" w:cs="Times New Roman"/>
          <w:sz w:val="32"/>
          <w:szCs w:val="32"/>
        </w:rPr>
        <w:t>污水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达标</w:t>
      </w:r>
      <w:r>
        <w:rPr>
          <w:rFonts w:ascii="Times New Roman" w:eastAsia="仿宋_GB2312" w:hAnsi="Times New Roman" w:cs="Times New Roman"/>
          <w:sz w:val="32"/>
          <w:szCs w:val="32"/>
        </w:rPr>
        <w:t>排放。</w:t>
      </w:r>
    </w:p>
    <w:p w14:paraId="525C4431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二是加强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涉工业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污水</w:t>
      </w:r>
      <w:r>
        <w:rPr>
          <w:rFonts w:ascii="Times New Roman" w:eastAsia="仿宋_GB2312" w:hAnsi="Times New Roman" w:cs="Times New Roman"/>
          <w:sz w:val="32"/>
          <w:szCs w:val="32"/>
        </w:rPr>
        <w:t>企业的监管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力度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开展不定期巡查，</w:t>
      </w:r>
      <w:r>
        <w:rPr>
          <w:rFonts w:ascii="Times New Roman" w:eastAsia="仿宋_GB2312" w:hAnsi="Times New Roman" w:cs="Times New Roman"/>
          <w:sz w:val="32"/>
          <w:szCs w:val="32"/>
        </w:rPr>
        <w:t>确保其排放的污水符合环保标准。</w:t>
      </w:r>
    </w:p>
    <w:p w14:paraId="38B0F081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三是加快推进园区污水管网全覆盖建设，确保企业排污管网应纳尽纳，避免园区周边水系污染事件发生。</w:t>
      </w:r>
    </w:p>
    <w:p w14:paraId="7707637F" w14:textId="77777777" w:rsidR="00231587" w:rsidRPr="003C2779" w:rsidRDefault="00000000" w:rsidP="003C2779">
      <w:pPr>
        <w:spacing w:line="52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3C27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（五）固体废物收集处置</w:t>
      </w:r>
    </w:p>
    <w:p w14:paraId="7180E8C8" w14:textId="77777777" w:rsidR="00231587" w:rsidRDefault="00000000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</w:t>
      </w:r>
      <w:r>
        <w:rPr>
          <w:rFonts w:ascii="Times New Roman" w:eastAsia="仿宋_GB2312" w:hAnsi="Times New Roman" w:cs="Times New Roman"/>
          <w:sz w:val="32"/>
          <w:szCs w:val="32"/>
        </w:rPr>
        <w:t>加强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宣传力度，提高企业员工对生产过程中产生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的危废进行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有效分类和收集储存意识，促进企业固体废物收集处置工作有效开展。二是提高对企业固体废物暂存设施建设的监督和管理工作，督促企业与有资质的第三方签订回收协议，确保固体废物处理过程符合相关法规和环保标准。</w:t>
      </w:r>
    </w:p>
    <w:p w14:paraId="796F455A" w14:textId="77777777" w:rsidR="00231587" w:rsidRPr="003C2779" w:rsidRDefault="00000000" w:rsidP="003C2779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C2779">
        <w:rPr>
          <w:rFonts w:ascii="黑体" w:eastAsia="黑体" w:hAnsi="黑体" w:cs="Times New Roman"/>
          <w:sz w:val="32"/>
          <w:szCs w:val="32"/>
        </w:rPr>
        <w:t>四、保障措施</w:t>
      </w:r>
    </w:p>
    <w:p w14:paraId="3CC481E9" w14:textId="5FB001AE" w:rsidR="00231587" w:rsidRDefault="003C2779" w:rsidP="003C2779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一</w:t>
      </w: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加强组织领导。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各</w:t>
      </w:r>
      <w:r w:rsidR="00000000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要充分认识环境污染整治的重要性，坚持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“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谁主管、谁负责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”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和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“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属地管理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”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原则，实行主要领导</w:t>
      </w:r>
      <w:r w:rsidR="00000000">
        <w:rPr>
          <w:rFonts w:ascii="Times New Roman" w:eastAsia="仿宋_GB2312" w:hAnsi="Times New Roman" w:cs="Times New Roman"/>
          <w:sz w:val="32"/>
          <w:szCs w:val="32"/>
        </w:rPr>
        <w:lastRenderedPageBreak/>
        <w:t>亲自抓、负总责，主要负责人是环保第一责任人，进一步明确职责分工，完善工作措施，保证任务落实。区环保所要牵头做好全区环境污染整治工作，积极与县环保、住建等部门沟通衔接，加强协调配合，形成工作合力。</w:t>
      </w:r>
    </w:p>
    <w:p w14:paraId="59B896FE" w14:textId="137C21CC" w:rsidR="00231587" w:rsidRDefault="003C2779" w:rsidP="003C2779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二</w:t>
      </w: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强化督查监管。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建立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“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政府主导、环保监管、群众参与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”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的工作机制，全面落实各项污染整治督查监管措施。管委会成立督导组定期或不定期进行督查，各相关</w:t>
      </w:r>
      <w:r w:rsidR="00000000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要主动开展工作，动员各方力量做好日常监管，认真抓好环境污染整治工作落实。</w:t>
      </w:r>
    </w:p>
    <w:p w14:paraId="198575D4" w14:textId="79505F1B" w:rsidR="00231587" w:rsidRDefault="003C2779" w:rsidP="003C2779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三</w:t>
      </w: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广泛宣传教育。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积极开展形式多样、针对性强的宣传活动，充分利用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“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世界环境日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”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、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“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地球日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”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等重要宣传平台，广泛开展环境宣传教育活动，大力普及环境保护知识，倡导绿色文明的生活习惯、消费观念和环境价值观念，全面提升全民环保意识，不断增强公众参与度。</w:t>
      </w:r>
    </w:p>
    <w:p w14:paraId="3005FA8B" w14:textId="6CA955D6" w:rsidR="00231587" w:rsidRDefault="003C2779" w:rsidP="003C2779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（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四</w:t>
      </w:r>
      <w:r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）</w:t>
      </w:r>
      <w:r w:rsidR="00000000" w:rsidRPr="003C2779">
        <w:rPr>
          <w:rFonts w:ascii="楷体_GB2312" w:eastAsia="楷体_GB2312" w:hAnsi="Times New Roman" w:cs="Times New Roman"/>
          <w:b/>
          <w:bCs/>
          <w:sz w:val="32"/>
          <w:szCs w:val="32"/>
        </w:rPr>
        <w:t>严格考核问责。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严格落实环保目标责任制和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“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党政同责、一岗双责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”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工作机制，对行动迟缓、工作不力，未完成年度环保工作任务的有关</w:t>
      </w:r>
      <w:r w:rsidR="00000000">
        <w:rPr>
          <w:rFonts w:ascii="Times New Roman" w:eastAsia="仿宋_GB2312" w:hAnsi="Times New Roman" w:cs="Times New Roman" w:hint="eastAsia"/>
          <w:sz w:val="32"/>
          <w:szCs w:val="32"/>
        </w:rPr>
        <w:t>部门和包保负责人，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年终考核予以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“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一票否</w:t>
      </w:r>
      <w:r w:rsidR="00000000">
        <w:rPr>
          <w:rFonts w:ascii="Times New Roman" w:eastAsia="仿宋_GB2312" w:hAnsi="Times New Roman" w:cs="Times New Roman" w:hint="eastAsia"/>
          <w:sz w:val="32"/>
          <w:szCs w:val="32"/>
        </w:rPr>
        <w:t>优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”</w:t>
      </w:r>
      <w:r w:rsidR="00000000">
        <w:rPr>
          <w:rFonts w:ascii="Times New Roman" w:eastAsia="仿宋_GB2312" w:hAnsi="Times New Roman" w:cs="Times New Roman"/>
          <w:sz w:val="32"/>
          <w:szCs w:val="32"/>
        </w:rPr>
        <w:t>。对出现重大问题整改不力或未按要求整改，产生负面影响的，要依据相关法规由纪检监察部门进行问责。</w:t>
      </w:r>
    </w:p>
    <w:p w14:paraId="706966A2" w14:textId="77777777" w:rsidR="00231587" w:rsidRDefault="00231587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6934147" w14:textId="77777777" w:rsidR="00231587" w:rsidRDefault="00231587" w:rsidP="003C277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D8B2F68" w14:textId="341154CA" w:rsidR="003C2779" w:rsidRDefault="003C2779" w:rsidP="003C277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安徽凤台经济开发区管理委员会</w:t>
      </w:r>
    </w:p>
    <w:p w14:paraId="5339C936" w14:textId="37511631" w:rsidR="003C2779" w:rsidRPr="008B16A1" w:rsidRDefault="003C2779" w:rsidP="003C2779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 xml:space="preserve">  2024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3A600C4B" w14:textId="77777777" w:rsidR="003C2779" w:rsidRDefault="003C2779" w:rsidP="003C2779">
      <w:pPr>
        <w:pStyle w:val="a8"/>
        <w:spacing w:after="0" w:line="120" w:lineRule="exact"/>
        <w:ind w:firstLine="0"/>
        <w:jc w:val="both"/>
        <w:rPr>
          <w:rFonts w:hint="eastAsia"/>
        </w:rPr>
      </w:pPr>
    </w:p>
    <w:p w14:paraId="210B3D4F" w14:textId="77777777" w:rsidR="003C2779" w:rsidRPr="00E7772F" w:rsidRDefault="003C2779" w:rsidP="003C2779">
      <w:pPr>
        <w:spacing w:line="120" w:lineRule="exact"/>
        <w:rPr>
          <w:rFonts w:hint="eastAsia"/>
        </w:rPr>
      </w:pPr>
    </w:p>
    <w:p w14:paraId="473BC54F" w14:textId="77777777" w:rsidR="003C2779" w:rsidRDefault="003C2779" w:rsidP="003C2779">
      <w:pPr>
        <w:spacing w:line="120" w:lineRule="exact"/>
        <w:rPr>
          <w:rFonts w:ascii="Times New Roman" w:eastAsia="仿宋_GB2312" w:hAnsi="Times New Roman"/>
          <w:sz w:val="32"/>
          <w:szCs w:val="32"/>
        </w:rPr>
      </w:pPr>
    </w:p>
    <w:p w14:paraId="5B0D37B9" w14:textId="77777777" w:rsidR="003C2779" w:rsidRDefault="003C2779" w:rsidP="003C2779">
      <w:pPr>
        <w:pStyle w:val="a8"/>
        <w:spacing w:after="0" w:line="120" w:lineRule="exact"/>
        <w:ind w:firstLine="0"/>
        <w:jc w:val="both"/>
        <w:rPr>
          <w:rFonts w:hint="eastAsia"/>
        </w:rPr>
      </w:pPr>
    </w:p>
    <w:p w14:paraId="251F8DC0" w14:textId="77777777" w:rsidR="003C2779" w:rsidRPr="00E7772F" w:rsidRDefault="003C2779" w:rsidP="003C2779">
      <w:pPr>
        <w:spacing w:line="120" w:lineRule="exact"/>
        <w:rPr>
          <w:rFonts w:hint="eastAsia"/>
        </w:rPr>
      </w:pPr>
    </w:p>
    <w:p w14:paraId="468DB48C" w14:textId="77777777" w:rsidR="003C2779" w:rsidRDefault="003C2779" w:rsidP="003C2779">
      <w:pPr>
        <w:spacing w:line="120" w:lineRule="exact"/>
        <w:rPr>
          <w:rFonts w:ascii="Times New Roman" w:eastAsia="仿宋_GB2312" w:hAnsi="Times New Roman"/>
          <w:sz w:val="32"/>
          <w:szCs w:val="32"/>
        </w:rPr>
      </w:pPr>
    </w:p>
    <w:p w14:paraId="455448BC" w14:textId="77777777" w:rsidR="003C2779" w:rsidRDefault="003C2779" w:rsidP="003C2779">
      <w:pPr>
        <w:spacing w:line="120" w:lineRule="exact"/>
        <w:rPr>
          <w:rFonts w:ascii="Times New Roman" w:eastAsia="仿宋_GB2312" w:hAnsi="Times New Roman"/>
          <w:sz w:val="32"/>
          <w:szCs w:val="32"/>
        </w:rPr>
      </w:pPr>
    </w:p>
    <w:p w14:paraId="4D772106" w14:textId="77777777" w:rsidR="003C2779" w:rsidRDefault="003C2779" w:rsidP="003C2779">
      <w:pPr>
        <w:spacing w:line="100" w:lineRule="exact"/>
        <w:rPr>
          <w:rFonts w:ascii="Times New Roman" w:eastAsia="仿宋_GB2312" w:hAnsi="Times New Roman"/>
          <w:sz w:val="32"/>
          <w:szCs w:val="32"/>
        </w:rPr>
      </w:pPr>
    </w:p>
    <w:p w14:paraId="6E3ABD04" w14:textId="77777777" w:rsidR="003C2779" w:rsidRDefault="003C2779" w:rsidP="003C2779">
      <w:pPr>
        <w:spacing w:line="100" w:lineRule="exact"/>
        <w:rPr>
          <w:rFonts w:ascii="Times New Roman" w:eastAsia="仿宋_GB2312" w:hAnsi="Times New Roman"/>
          <w:sz w:val="32"/>
          <w:szCs w:val="32"/>
        </w:rPr>
      </w:pPr>
    </w:p>
    <w:p w14:paraId="5E723A7D" w14:textId="77777777" w:rsidR="003C2779" w:rsidRDefault="003C2779" w:rsidP="003C2779">
      <w:pPr>
        <w:spacing w:line="100" w:lineRule="exact"/>
        <w:rPr>
          <w:rFonts w:ascii="Times New Roman" w:eastAsia="仿宋_GB2312" w:hAnsi="Times New Roman"/>
          <w:sz w:val="32"/>
          <w:szCs w:val="32"/>
        </w:rPr>
      </w:pPr>
    </w:p>
    <w:p w14:paraId="5F3AA6F3" w14:textId="77777777" w:rsidR="003C2779" w:rsidRDefault="003C2779" w:rsidP="003C2779">
      <w:pPr>
        <w:spacing w:line="100" w:lineRule="exact"/>
        <w:rPr>
          <w:rFonts w:ascii="Times New Roman" w:eastAsia="仿宋_GB2312" w:hAnsi="Times New Roman"/>
          <w:sz w:val="32"/>
          <w:szCs w:val="32"/>
        </w:rPr>
      </w:pPr>
    </w:p>
    <w:p w14:paraId="68239470" w14:textId="5FAA8D59" w:rsidR="003C2779" w:rsidRDefault="003C2779" w:rsidP="003C2779">
      <w:pPr>
        <w:pBdr>
          <w:top w:val="single" w:sz="4" w:space="1" w:color="auto"/>
          <w:bottom w:val="single" w:sz="4" w:space="1" w:color="auto"/>
        </w:pBdr>
        <w:spacing w:line="48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安徽凤台经济开发区办公室</w:t>
      </w:r>
      <w:r>
        <w:rPr>
          <w:rFonts w:ascii="Times New Roman" w:eastAsia="仿宋_GB2312" w:hAnsi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日印发</w:t>
      </w:r>
    </w:p>
    <w:p w14:paraId="2B9E893C" w14:textId="26EE7526" w:rsidR="00231587" w:rsidRPr="003C2779" w:rsidRDefault="003C2779" w:rsidP="003C2779">
      <w:pPr>
        <w:spacing w:line="480" w:lineRule="exact"/>
        <w:jc w:val="right"/>
        <w:rPr>
          <w:rFonts w:ascii="Times New Roman" w:hAnsi="Times New Roman" w:hint="eastAsia"/>
          <w:sz w:val="30"/>
          <w:szCs w:val="30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/>
          <w:sz w:val="32"/>
          <w:szCs w:val="32"/>
        </w:rPr>
        <w:t>共印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份</w:t>
      </w:r>
    </w:p>
    <w:sectPr w:rsidR="00231587" w:rsidRPr="003C2779">
      <w:pgSz w:w="11906" w:h="16838"/>
      <w:pgMar w:top="1474" w:right="1519" w:bottom="1474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9E97B" w14:textId="77777777" w:rsidR="00CE1161" w:rsidRDefault="00CE1161" w:rsidP="003C2779">
      <w:r>
        <w:separator/>
      </w:r>
    </w:p>
  </w:endnote>
  <w:endnote w:type="continuationSeparator" w:id="0">
    <w:p w14:paraId="1AED47E4" w14:textId="77777777" w:rsidR="00CE1161" w:rsidRDefault="00CE1161" w:rsidP="003C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BCA1F" w14:textId="77777777" w:rsidR="00CE1161" w:rsidRDefault="00CE1161" w:rsidP="003C2779">
      <w:r>
        <w:separator/>
      </w:r>
    </w:p>
  </w:footnote>
  <w:footnote w:type="continuationSeparator" w:id="0">
    <w:p w14:paraId="3E3E49E8" w14:textId="77777777" w:rsidR="00CE1161" w:rsidRDefault="00CE1161" w:rsidP="003C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yODMzMzA5YzAxMThjMDAzYzNmNGU4M2RlOTc5Y2EifQ=="/>
  </w:docVars>
  <w:rsids>
    <w:rsidRoot w:val="65E54984"/>
    <w:rsid w:val="00231587"/>
    <w:rsid w:val="003C2779"/>
    <w:rsid w:val="00C41F84"/>
    <w:rsid w:val="00CE1161"/>
    <w:rsid w:val="127E3DE4"/>
    <w:rsid w:val="446478B9"/>
    <w:rsid w:val="65E5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A5AC"/>
  <w15:docId w15:val="{3B5C4C66-4931-4E58-A3B6-20E4055A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3C27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C27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C2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C27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basedOn w:val="a9"/>
    <w:next w:val="a"/>
    <w:qFormat/>
    <w:rsid w:val="003C2779"/>
    <w:pPr>
      <w:widowControl/>
      <w:adjustRightInd w:val="0"/>
      <w:snapToGrid w:val="0"/>
      <w:spacing w:after="200"/>
      <w:ind w:leftChars="0" w:left="0" w:firstLine="420"/>
      <w:jc w:val="left"/>
    </w:pPr>
    <w:rPr>
      <w:rFonts w:ascii="Tahoma" w:eastAsia="微软雅黑" w:hAnsi="Tahoma" w:cs="Times New Roman"/>
      <w:kern w:val="0"/>
    </w:rPr>
  </w:style>
  <w:style w:type="paragraph" w:styleId="a9">
    <w:name w:val="Body Text Indent"/>
    <w:basedOn w:val="a"/>
    <w:link w:val="aa"/>
    <w:rsid w:val="003C2779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rsid w:val="003C277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芹</dc:creator>
  <cp:lastModifiedBy>�¸�</cp:lastModifiedBy>
  <cp:revision>2</cp:revision>
  <cp:lastPrinted>2024-02-06T02:18:00Z</cp:lastPrinted>
  <dcterms:created xsi:type="dcterms:W3CDTF">2024-02-01T01:12:00Z</dcterms:created>
  <dcterms:modified xsi:type="dcterms:W3CDTF">2024-02-06T03:17:00Z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E1589C2F3D2B4C87A0407CDECFD7E9EA_13</vt:lpwstr>
  </property>
</Properties>
</file>