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关于促进民营经济发展壮大的落实措施</w:t>
      </w:r>
    </w:p>
    <w:p>
      <w:pPr>
        <w:bidi w:val="0"/>
        <w:rPr>
          <w:rFonts w:hint="eastAsia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>
      <w:pPr>
        <w:bidi w:val="0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民营经济是推动高质量发展的重要基础。为全面贯彻落实党的二十大精神，根据《中共中央、国务院关于促进民营经济发展壮大的意见》和《中共安徽省委、安徽省人民政府〈关于促进民营经济高质量发展的若干措施〉的通知》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eastAsia="zh-CN"/>
        </w:rPr>
        <w:t>、《中共淮南市委办公室 淮南市人民政府办公室印发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val="en-US" w:eastAsia="zh-CN"/>
        </w:rPr>
        <w:t>&lt;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eastAsia="zh-CN"/>
        </w:rPr>
        <w:t>关于促进民营经济发展壮大的落实措施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val="en-US" w:eastAsia="zh-CN"/>
        </w:rPr>
        <w:t>&gt;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eastAsia="zh-CN"/>
        </w:rPr>
        <w:t>的通知》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val="en-US" w:eastAsia="zh-CN"/>
        </w:rPr>
        <w:t>文件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精神，结合我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实际，提出如下措施。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一、完善常态化的恳谈服务机制。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每季度召开民营企业家恳谈会，由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委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val="en-US" w:eastAsia="zh-CN"/>
        </w:rPr>
        <w:t>县政府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主要领导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或相关领域分管领导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主持召开，</w:t>
      </w:r>
      <w:r>
        <w:rPr>
          <w:rFonts w:hint="eastAsia" w:ascii="宋体" w:hAnsi="宋体" w:eastAsia="仿宋_GB2312" w:cs="仿宋_GB2312"/>
          <w:strike/>
          <w:dstrike w:val="0"/>
          <w:color w:val="000000"/>
          <w:sz w:val="32"/>
          <w:szCs w:val="32"/>
        </w:rPr>
        <w:t>相关市领导出席，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每次邀请</w:t>
      </w:r>
      <w:r>
        <w:rPr>
          <w:rFonts w:ascii="宋体" w:hAnsi="宋体" w:cs="仿宋_GB2312"/>
          <w:color w:val="000000"/>
          <w:sz w:val="32"/>
          <w:szCs w:val="32"/>
        </w:rPr>
        <w:t>10</w:t>
      </w:r>
      <w:r>
        <w:rPr>
          <w:rFonts w:hint="eastAsia" w:ascii="宋体" w:hAnsi="宋体" w:cs="仿宋_GB2312"/>
          <w:strike/>
          <w:color w:val="000000"/>
          <w:sz w:val="32"/>
          <w:szCs w:val="32"/>
          <w:lang w:val="en"/>
        </w:rPr>
        <w:t>～</w:t>
      </w:r>
      <w:r>
        <w:rPr>
          <w:rFonts w:ascii="宋体" w:hAnsi="宋体" w:cs="仿宋_GB2312"/>
          <w:strike/>
          <w:color w:val="000000"/>
          <w:sz w:val="32"/>
          <w:szCs w:val="32"/>
        </w:rPr>
        <w:t>20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名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val="en-US" w:eastAsia="zh-CN"/>
        </w:rPr>
        <w:t>以上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民营企业家参加，听取企业意见，常态化解决企业诉求。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继续开展好企业家大讲堂、企业家周末下午茶、“政重企事”圆桌会等政企交流活动，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落实好领导干部包保企业和项目制度，及时解决民营企业发展中的问题和难题，全面构建亲清政商关系。（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民营办牵头，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委统战部、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委督查考核办、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营商办、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工商联按职责分工负责）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二、建立常态化要素保障机制。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定期召开民营企业生产要素保障会商会，保障民营企业用地用水用电用气需求。完善政企联动、提前介入机制，对具备通水通气（汽）管网条件的企业，受理申请后</w:t>
      </w:r>
      <w:r>
        <w:rPr>
          <w:rFonts w:ascii="宋体" w:hAnsi="宋体" w:eastAsia="仿宋_GB2312" w:cs="仿宋_GB2312"/>
          <w:color w:val="000000"/>
          <w:sz w:val="32"/>
          <w:szCs w:val="32"/>
        </w:rPr>
        <w:t>3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个工作日内实现通水通气（汽）。建立健全供水、供气（汽）领域报装满意度评价机制，在报装业务管理系统设置评价功能，不断提升报装服务用户满意度。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自然资源和规划局牵头</w:t>
      </w:r>
      <w:r>
        <w:rPr>
          <w:rFonts w:hint="eastAsia" w:ascii="宋体" w:hAnsi="宋体" w:eastAsia="楷体_GB2312" w:cs="楷体_GB2312"/>
          <w:color w:val="000000"/>
          <w:sz w:val="32"/>
          <w:szCs w:val="32"/>
          <w:lang w:val="en"/>
        </w:rPr>
        <w:t>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发改委、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民营办、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住房和城乡建设局、国网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淮南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凤台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供电公司按职责分工负责）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统筹全</w:t>
      </w:r>
      <w:r>
        <w:rPr>
          <w:rFonts w:hint="eastAsia" w:ascii="仿宋" w:hAnsi="仿宋" w:eastAsia="仿宋" w:cs="楷体_GB2312"/>
          <w:strike/>
          <w:color w:val="000000"/>
          <w:sz w:val="32"/>
          <w:szCs w:val="32"/>
        </w:rPr>
        <w:t>市</w:t>
      </w:r>
      <w:r>
        <w:rPr>
          <w:rFonts w:hint="eastAsia" w:ascii="仿宋" w:hAnsi="仿宋" w:eastAsia="仿宋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新增建设用地、存量建设用地支持民间投资项目合理用地需求，不断提高民间项目投资比重。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自然资源和规划局牵头）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三、建立政策直达快享机制。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聘请优秀民营企业家担任民营经济领导小组经济发展顾问，参与研究重要经济工作。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民营办牵头）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在制定和评估涉企政策、规划、标准时，邀请民营企业企业家、商协会代表共同参与。建立涉企优惠政策目录清单并及时向社会公布，开展政策快递服务。全面建立公共政策兑现“免申即享”“即申即享”和政策资金“一键送达”长效机制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数据资源管理局牵头</w:t>
      </w:r>
      <w:r>
        <w:rPr>
          <w:rFonts w:hint="eastAsia" w:ascii="宋体" w:hAnsi="宋体" w:eastAsia="楷体_GB2312" w:cs="楷体_GB2312"/>
          <w:color w:val="000000"/>
          <w:sz w:val="32"/>
          <w:szCs w:val="32"/>
          <w:lang w:val="en"/>
        </w:rPr>
        <w:t>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司法局、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财政局、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税务局、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发改委、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经信局、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工商联按职责分工负责）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四、建立金融服务民营企业效果评估制度。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完善金融支持制造业考核办法，将金融机构实现民营企业年度服务目标、首贷客户培育拓展、信用贷款规模、产业链供应链金融服务、接续融资服务纳入评估内容。探索“信贷</w:t>
      </w:r>
      <w:r>
        <w:rPr>
          <w:rFonts w:ascii="宋体" w:hAnsi="宋体" w:eastAsia="仿宋_GB2312" w:cs="仿宋_GB2312"/>
          <w:color w:val="000000"/>
          <w:sz w:val="32"/>
          <w:szCs w:val="32"/>
        </w:rPr>
        <w:t>+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担保</w:t>
      </w:r>
      <w:r>
        <w:rPr>
          <w:rFonts w:ascii="宋体" w:hAnsi="宋体" w:eastAsia="仿宋_GB2312" w:cs="仿宋_GB2312"/>
          <w:color w:val="000000"/>
          <w:sz w:val="32"/>
          <w:szCs w:val="32"/>
        </w:rPr>
        <w:t>+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保险”融资新模式、新业态，进一步提高企业授信额度，降低担保费率和贷款利率，对专精特新企业“见保即贷”。建立优质民营企业名录和“白名单”推送机制，不断解决金融服务民营企业的堵点、难点问题。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市地方金融监督管理局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  <w:lang w:val="en-US" w:eastAsia="zh-CN"/>
        </w:rPr>
        <w:t>财政局（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金融办</w:t>
      </w:r>
      <w:bookmarkStart w:id="0" w:name="_GoBack"/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  <w:lang w:val="en-US" w:eastAsia="zh-CN"/>
        </w:rPr>
        <w:t>）</w:t>
      </w:r>
      <w:bookmarkEnd w:id="0"/>
      <w:r>
        <w:rPr>
          <w:rFonts w:hint="eastAsia" w:ascii="宋体" w:hAnsi="宋体" w:eastAsia="楷体_GB2312" w:cs="楷体_GB2312"/>
          <w:color w:val="000000"/>
          <w:sz w:val="32"/>
          <w:szCs w:val="32"/>
        </w:rPr>
        <w:t>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中国人民银行淮南市分行、市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发改委、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经信局按职责分工负责）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五、保障民营企业人才和用工需求。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鼓励民营企业聘用高校教师和科研人员担任“科技副总”，对年度绩效评估为良好等次以上的“科技副总”，按照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淮南市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《关于进一步推动重点产业高质量发展的若干人才措施》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在县级补助基础上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规定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给予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一定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补助。支持企业在沪苏浙等先发地区建设人才飞地平台并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享受</w:t>
      </w:r>
      <w:r>
        <w:rPr>
          <w:rFonts w:hint="eastAsia" w:ascii="宋体" w:hAnsi="宋体" w:eastAsia="仿宋_GB2312" w:cs="仿宋_GB2312"/>
          <w:strike w:val="0"/>
          <w:color w:val="000000"/>
          <w:sz w:val="32"/>
          <w:szCs w:val="32"/>
          <w:u w:val="single"/>
        </w:rPr>
        <w:t>申请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我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相关人才政策。定期组织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开展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企业参加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高层次人才淮南行、博士淮南行、名校学子淮南行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  <w:lang w:eastAsia="zh-CN"/>
        </w:rPr>
        <w:t>、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等活动，搭建以赛引才、以会引才特色平台。全面开展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“千企进校园、万岗进万家”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等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活动，大力推进校企合作、产教融合，建立重点企业岗位需求、技能培训、人力资源保障“三个清单”，鼓励企业“以才招才、以工招工”，全方位保障全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重点产业链企业周期性、紧缺性、急需性用工需求。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委组织部牵头，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科技局、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民营办、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教育</w:t>
      </w:r>
      <w:r>
        <w:rPr>
          <w:rFonts w:hint="eastAsia" w:ascii="宋体" w:hAnsi="宋体" w:eastAsia="楷体_GB2312" w:cs="楷体_GB2312"/>
          <w:strike/>
          <w:dstrike w:val="0"/>
          <w:color w:val="000000"/>
          <w:sz w:val="32"/>
          <w:szCs w:val="32"/>
        </w:rPr>
        <w:t>体育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人社局、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税务局按职责分工负责）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" w:cs="楷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六、建立典型案例归集和通报制度。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定期对服务民营经济行之有效的经验做法进行总结固化，狠抓跟踪问效；对破坏民营经济发展环境的典型案例进行通报，狠抓问题整改。任何部门不得以备案、注册、年检、认定、认证、指定、要求设立分公司等形式设定或变相设定准入障碍；不得将政务服务事项转为中介服务事项。</w:t>
      </w:r>
      <w:r>
        <w:rPr>
          <w:rFonts w:hint="eastAsia" w:ascii="宋体" w:hAnsi="宋体" w:eastAsia="楷体" w:cs="楷体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" w:cs="楷体"/>
          <w:color w:val="000000"/>
          <w:sz w:val="32"/>
          <w:szCs w:val="32"/>
        </w:rPr>
        <w:t>民营办牵头，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市场监督管理局、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数据资源管理局、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住房和城乡建设局、</w:t>
      </w:r>
      <w:r>
        <w:rPr>
          <w:rFonts w:hint="eastAsia" w:ascii="宋体" w:hAnsi="宋体" w:eastAsia="楷体_GB2312" w:cs="楷体_GB2312"/>
          <w:strike/>
          <w:dstrike w:val="0"/>
          <w:color w:val="000000"/>
          <w:sz w:val="32"/>
          <w:szCs w:val="32"/>
        </w:rPr>
        <w:t>市公共资源交易监督管理局、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" w:cs="楷体"/>
          <w:color w:val="000000"/>
          <w:sz w:val="32"/>
          <w:szCs w:val="32"/>
        </w:rPr>
        <w:t>营商办按职责分工负责）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七、健全企业信用评价修复机制。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实施企业信用风险分类监管，将承诺和履约信息纳入信用记录。推动政府部门对守信主体实施行政许可容缺办理、财政资金优先支持、资源交易信用加分、日常监管减少频次、鼓励金融机构增加贷款信用额度等措施，提升信用良好企业获得感。健全失信行为纠正后的信用修复机制，实施企业公共信用报告代替多部门无违法违规证明，提升企业信用修复效能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发改委牵头，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税务局、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数据资源管理局、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财政局、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中国人民银行淮南市分行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八、依法保护民营企业产权和企业家权益。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坚持依法能动履职，深入推进涉案企业合规改革。进一步规范涉产权强制性措施，避免超权限、超范围、超数额、超时限查封扣押冻结财产。对不宜查封扣押冻结的经营性涉案财物，在保证侦查活动正常进行的同时，可以允许有关当事人继续合理使用，并采取必要的保值保管措施，最大限度减少侦查办案对正常办公和合法生产经营的影响。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中级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人民法院牵头，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市场监督管理局、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司法局、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公安局、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人民检察院按职责分工负责）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九、规范整合行政执法检查。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建立行政执法检查备案制，整合各类执法事项，实行综合检查，按季度核查通报各部门行政执法检查情况。全面落实民营企业首次轻微违法行为容错机制，实施企业守信免查。畅通涉企违规收费投诉举报渠道，建立规范的问题线索部门共享和转办机制，公开曝光违规收费典型案例。依法加强涉企具体行政行为的司法审查力度，鼓励和支持人民法院依法公正高效办理涉企行政诉讼案件，持续提升行政审判执行质效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司法局牵头，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中级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人民法院、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公安局、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营商办、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发改委、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经信局、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市场监督管理局按职责分工负责）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十、支持民营企业创新转型发展。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持续加大对民营经济发展的财政支持力度，推进传统产业智能化改造、推动新兴产业数字化转型，打造数字化车间、智能工厂，建设一批绿色供给标杆项目，助力重点行业及区域节能减排。支持民营企业“首台套”、“首批次、“首版次”的推广应用，支持专精特新企业、民营企业龙头企业、“链主”企业加大研发投入、建设研发平台、引进高端人才，提升产业链供应链配套协作能力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经信局牵头，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财政局按职责分工负责）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十一、提升民营企业市场拓展能力。</w:t>
      </w:r>
      <w:r>
        <w:rPr>
          <w:rFonts w:hint="eastAsia" w:ascii="宋体" w:hAnsi="宋体" w:eastAsia="仿宋_GB2312"/>
          <w:color w:val="000000"/>
          <w:sz w:val="32"/>
          <w:szCs w:val="32"/>
        </w:rPr>
        <w:t>常态化开展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工业产销对接，组织产业链供需对接会。</w:t>
      </w:r>
      <w:r>
        <w:rPr>
          <w:rFonts w:hint="eastAsia" w:ascii="宋体" w:hAnsi="宋体" w:eastAsia="仿宋_GB2312"/>
          <w:color w:val="000000"/>
          <w:sz w:val="32"/>
          <w:szCs w:val="32"/>
        </w:rPr>
        <w:t>鼓励民营企业参加中国国际进口博览会、中国进出口商品交易会、中国国际服务贸易交易会等国内外展会（展示）活动，持续参与“徽动全球”万企百团出海专项行动。鼓励企业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参与“精品安徽、皖美智造”央视宣传系列活动，对参与活动的企业按照</w:t>
      </w:r>
      <w:r>
        <w:rPr>
          <w:rFonts w:hint="eastAsia" w:ascii="宋体" w:hAnsi="宋体" w:eastAsia="仿宋_GB2312" w:cs="仿宋_GB2312"/>
          <w:strike w:val="0"/>
          <w:color w:val="000000"/>
          <w:sz w:val="32"/>
          <w:szCs w:val="32"/>
        </w:rPr>
        <w:t>《</w:t>
      </w:r>
      <w:r>
        <w:rPr>
          <w:rFonts w:hint="eastAsia" w:ascii="宋体" w:hAnsi="宋体" w:eastAsia="仿宋_GB2312" w:cs="仿宋_GB2312"/>
          <w:strike/>
          <w:dstrike w:val="0"/>
          <w:color w:val="000000"/>
          <w:sz w:val="32"/>
          <w:szCs w:val="32"/>
        </w:rPr>
        <w:t>淮南市</w:t>
      </w:r>
      <w:r>
        <w:rPr>
          <w:rFonts w:hint="eastAsia" w:ascii="宋体" w:hAnsi="宋体" w:eastAsia="仿宋_GB2312" w:cs="仿宋_GB2312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凤台县</w:t>
      </w:r>
      <w:r>
        <w:rPr>
          <w:rFonts w:hint="eastAsia" w:ascii="宋体" w:hAnsi="宋体" w:eastAsia="仿宋_GB2312" w:cs="仿宋_GB2312"/>
          <w:strike w:val="0"/>
          <w:color w:val="000000"/>
          <w:sz w:val="32"/>
          <w:szCs w:val="32"/>
        </w:rPr>
        <w:t>实施规上工业企业、高新技术企业、战略性新兴产业企业、专精特新企业发展三年倍增行动方案》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规定给予补助。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经信局牵头，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市商务局、市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发改委、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财政局、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工商联按职责分工负责）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十二、营造尊重民营经济和民营企业家的舆论环境。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发挥优秀企业家示范带动作用，加大优秀典型选树力度，定期推送《小微企业成长记》，及时总结推广富有</w:t>
      </w:r>
      <w:r>
        <w:rPr>
          <w:rFonts w:hint="eastAsia" w:ascii="宋体" w:hAnsi="宋体" w:eastAsia="仿宋_GB2312" w:cs="仿宋_GB2312"/>
          <w:strike/>
          <w:color w:val="000000"/>
          <w:sz w:val="32"/>
          <w:szCs w:val="32"/>
        </w:rPr>
        <w:t>淮南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>凤台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特色、顺应时代潮流的企业家成长经验。稳妥做好推荐优秀民营经济人士作为各级人大代表候选人、政协委员人选工作，发挥工商联在民营经济人士有序政治参与中的主渠道作用。加强民营经济发展情况考核，纳入</w:t>
      </w:r>
      <w:r>
        <w:rPr>
          <w:rFonts w:hint="eastAsia" w:ascii="仿宋_GB2312" w:hAnsi="仿宋_GB2312" w:eastAsia="仿宋_GB2312" w:cs="仿宋_GB2312"/>
          <w:strike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委年度综合考核和</w:t>
      </w:r>
      <w:r>
        <w:rPr>
          <w:rFonts w:hint="eastAsia" w:ascii="仿宋_GB2312" w:hAnsi="仿宋_GB2312" w:eastAsia="仿宋_GB2312" w:cs="仿宋_GB2312"/>
          <w:strike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政府目标管理绩效考核。定期开展民营经济相关政策实施效果第三方评价，及时总结推广好经验好做法。每年评选民营企业综合实力</w:t>
      </w:r>
      <w:r>
        <w:rPr>
          <w:rFonts w:ascii="宋体" w:hAnsi="宋体" w:eastAsia="仿宋_GB2312" w:cs="仿宋_GB2312"/>
          <w:color w:val="000000"/>
          <w:sz w:val="32"/>
          <w:szCs w:val="32"/>
        </w:rPr>
        <w:t>20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强、民营企业税收贡献</w:t>
      </w:r>
      <w:r>
        <w:rPr>
          <w:rFonts w:ascii="宋体" w:hAnsi="宋体" w:eastAsia="仿宋_GB2312" w:cs="仿宋_GB2312"/>
          <w:color w:val="000000"/>
          <w:sz w:val="32"/>
          <w:szCs w:val="32"/>
        </w:rPr>
        <w:t>20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强、“专精特新”企业</w:t>
      </w:r>
      <w:r>
        <w:rPr>
          <w:rFonts w:ascii="宋体" w:hAnsi="宋体" w:eastAsia="仿宋_GB2312" w:cs="仿宋_GB2312"/>
          <w:color w:val="000000"/>
          <w:sz w:val="32"/>
          <w:szCs w:val="32"/>
        </w:rPr>
        <w:t>10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强、民营企业优秀人才十大突出贡献奖、个体工商户十佳等，由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委、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政府通报表扬。（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委统战部牵头，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委宣传部、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经信局、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民营办、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统计局、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委督查考核办、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人社局、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工商联、</w:t>
      </w:r>
      <w:r>
        <w:rPr>
          <w:rFonts w:hint="eastAsia" w:ascii="宋体" w:hAnsi="宋体" w:eastAsia="楷体_GB2312" w:cs="楷体_GB2312"/>
          <w:strike/>
          <w:color w:val="000000"/>
          <w:sz w:val="32"/>
          <w:szCs w:val="32"/>
        </w:rPr>
        <w:t>市</w:t>
      </w:r>
      <w:r>
        <w:rPr>
          <w:rFonts w:hint="eastAsia" w:ascii="宋体" w:hAnsi="宋体" w:eastAsia="楷体_GB2312" w:cs="楷体_GB2312"/>
          <w:color w:val="000000"/>
          <w:sz w:val="32"/>
          <w:szCs w:val="32"/>
          <w:u w:val="single"/>
        </w:rPr>
        <w:t>县</w:t>
      </w:r>
      <w:r>
        <w:rPr>
          <w:rFonts w:hint="eastAsia" w:ascii="宋体" w:hAnsi="宋体" w:eastAsia="楷体_GB2312" w:cs="楷体_GB2312"/>
          <w:color w:val="000000"/>
          <w:sz w:val="32"/>
          <w:szCs w:val="32"/>
        </w:rPr>
        <w:t>税务局按职责分工负责）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154" w:right="1587" w:bottom="1928" w:left="1587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GI4Yzk1NzExMzYxNmE4OWE1MjQ2MzUwOWNjYTUifQ=="/>
  </w:docVars>
  <w:rsids>
    <w:rsidRoot w:val="44D92F12"/>
    <w:rsid w:val="03E740FA"/>
    <w:rsid w:val="0ABC044B"/>
    <w:rsid w:val="10313E55"/>
    <w:rsid w:val="17913903"/>
    <w:rsid w:val="314F5391"/>
    <w:rsid w:val="36522E09"/>
    <w:rsid w:val="44D92F12"/>
    <w:rsid w:val="482E1968"/>
    <w:rsid w:val="4BF076A6"/>
    <w:rsid w:val="4E00688A"/>
    <w:rsid w:val="51B977CF"/>
    <w:rsid w:val="521C02F9"/>
    <w:rsid w:val="670D1E38"/>
    <w:rsid w:val="69A021B3"/>
    <w:rsid w:val="6B5D7291"/>
    <w:rsid w:val="6F63000B"/>
    <w:rsid w:val="73FB5886"/>
    <w:rsid w:val="745C1EFA"/>
    <w:rsid w:val="7CA3770C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2024-01-22T04:37:00Z</dcterms:created>
  <dc:creator>Administrator</dc:creator>
  <cp:lastModifiedBy>Administrator</cp:lastModifiedBy>
  <cp:lastPrinted>2024-01-22T04:52:00Z</cp:lastPrinted>
  <dcterms:modified xsi:type="dcterms:W3CDTF">2024-01-23T07:23:58Z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CE3649E796CA4CBDA5FF3CA2CE12BB2B_11</vt:lpwstr>
  </property>
</Properties>
</file>