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凤台县创建省级健康县区实施方案</w:t>
      </w:r>
    </w:p>
    <w:p>
      <w:pPr>
        <w:spacing w:line="600" w:lineRule="exact"/>
        <w:jc w:val="center"/>
        <w:rPr>
          <w:rFonts w:ascii="方正小标宋简体" w:eastAsia="方正小标宋简体"/>
          <w:sz w:val="44"/>
          <w:szCs w:val="44"/>
        </w:rPr>
      </w:pPr>
    </w:p>
    <w:p>
      <w:pPr>
        <w:tabs>
          <w:tab w:val="left" w:pos="5400"/>
        </w:tabs>
        <w:spacing w:line="500" w:lineRule="exact"/>
        <w:ind w:firstLine="640" w:firstLineChars="200"/>
        <w:rPr>
          <w:rFonts w:eastAsia="仿宋_GB2312" w:cs="宋体"/>
          <w:kern w:val="0"/>
          <w:sz w:val="32"/>
          <w:szCs w:val="32"/>
        </w:rPr>
      </w:pPr>
      <w:bookmarkStart w:id="0" w:name="docTitle"/>
      <w:r>
        <w:rPr>
          <w:rFonts w:eastAsia="仿宋_GB2312"/>
          <w:kern w:val="0"/>
          <w:sz w:val="32"/>
          <w:szCs w:val="32"/>
        </w:rPr>
        <w:t>为</w:t>
      </w:r>
      <w:r>
        <w:rPr>
          <w:rFonts w:hint="eastAsia" w:eastAsia="仿宋_GB2312"/>
          <w:kern w:val="0"/>
          <w:sz w:val="32"/>
          <w:szCs w:val="32"/>
        </w:rPr>
        <w:t>认真贯彻</w:t>
      </w:r>
      <w:r>
        <w:rPr>
          <w:rFonts w:eastAsia="仿宋_GB2312"/>
          <w:kern w:val="0"/>
          <w:sz w:val="32"/>
          <w:szCs w:val="32"/>
        </w:rPr>
        <w:t>落实《“健康安徽2030”规划纲要》《关于进一步加强和改进卫生与健康工作的意见》《关于加强安徽省</w:t>
      </w:r>
      <w:r>
        <w:rPr>
          <w:rFonts w:hint="eastAsia" w:eastAsia="仿宋_GB2312"/>
          <w:kern w:val="0"/>
          <w:sz w:val="32"/>
          <w:szCs w:val="32"/>
        </w:rPr>
        <w:t>健康促进</w:t>
      </w:r>
      <w:r>
        <w:rPr>
          <w:rFonts w:eastAsia="仿宋_GB2312"/>
          <w:kern w:val="0"/>
          <w:sz w:val="32"/>
          <w:szCs w:val="32"/>
        </w:rPr>
        <w:t>与教育的实施意见》</w:t>
      </w:r>
      <w:r>
        <w:rPr>
          <w:rFonts w:hint="eastAsia" w:eastAsia="仿宋_GB2312" w:cs="仿宋"/>
          <w:kern w:val="0"/>
          <w:sz w:val="32"/>
          <w:szCs w:val="32"/>
        </w:rPr>
        <w:t>，大力推进“健康凤台”建设，切实提高全县居民健康水平，</w:t>
      </w:r>
      <w:r>
        <w:rPr>
          <w:rFonts w:hint="eastAsia" w:eastAsia="仿宋_GB2312" w:cs="仿宋"/>
          <w:sz w:val="32"/>
          <w:szCs w:val="32"/>
        </w:rPr>
        <w:t>结合我县实际，</w:t>
      </w:r>
      <w:r>
        <w:rPr>
          <w:rFonts w:hint="eastAsia" w:eastAsia="仿宋_GB2312" w:cs="宋体"/>
          <w:kern w:val="0"/>
          <w:sz w:val="32"/>
          <w:szCs w:val="32"/>
        </w:rPr>
        <w:t>制定本工作方案。</w:t>
      </w:r>
    </w:p>
    <w:bookmarkEnd w:id="0"/>
    <w:p>
      <w:pPr>
        <w:widowControl/>
        <w:shd w:val="clear" w:color="auto" w:fill="FFFFFF"/>
        <w:tabs>
          <w:tab w:val="left" w:pos="5400"/>
        </w:tabs>
        <w:spacing w:line="500" w:lineRule="exact"/>
        <w:ind w:firstLine="643" w:firstLineChars="200"/>
        <w:jc w:val="left"/>
        <w:rPr>
          <w:rFonts w:eastAsia="仿宋_GB2312" w:cs="宋体"/>
          <w:b/>
          <w:bCs/>
          <w:kern w:val="0"/>
          <w:sz w:val="32"/>
          <w:szCs w:val="32"/>
        </w:rPr>
      </w:pPr>
      <w:r>
        <w:rPr>
          <w:rFonts w:hint="eastAsia" w:eastAsia="仿宋_GB2312" w:cs="宋体"/>
          <w:b/>
          <w:bCs/>
          <w:kern w:val="0"/>
          <w:sz w:val="32"/>
          <w:szCs w:val="32"/>
        </w:rPr>
        <w:t>一、指导思想</w:t>
      </w:r>
    </w:p>
    <w:p>
      <w:pPr>
        <w:widowControl/>
        <w:adjustRightInd w:val="0"/>
        <w:snapToGrid w:val="0"/>
        <w:spacing w:line="500" w:lineRule="exact"/>
        <w:ind w:firstLine="640" w:firstLineChars="200"/>
        <w:rPr>
          <w:rFonts w:eastAsia="仿宋_GB2312" w:cs="宋体"/>
          <w:kern w:val="0"/>
          <w:sz w:val="32"/>
          <w:szCs w:val="32"/>
        </w:rPr>
      </w:pPr>
      <w:r>
        <w:rPr>
          <w:rFonts w:hint="eastAsia" w:eastAsia="仿宋_GB2312"/>
          <w:sz w:val="32"/>
          <w:szCs w:val="32"/>
        </w:rPr>
        <w:t>以《2023年安徽省健康县区</w:t>
      </w:r>
      <w:r>
        <w:rPr>
          <w:rFonts w:hint="eastAsia" w:eastAsia="仿宋_GB2312" w:cs="宋体"/>
          <w:sz w:val="32"/>
          <w:szCs w:val="32"/>
        </w:rPr>
        <w:t>区建设工作方案</w:t>
      </w:r>
      <w:r>
        <w:rPr>
          <w:rFonts w:hint="eastAsia" w:eastAsia="仿宋_GB2312"/>
          <w:sz w:val="32"/>
          <w:szCs w:val="32"/>
        </w:rPr>
        <w:t>》为依据，</w:t>
      </w:r>
      <w:r>
        <w:rPr>
          <w:rFonts w:eastAsia="仿宋_GB2312"/>
          <w:kern w:val="0"/>
          <w:sz w:val="32"/>
          <w:szCs w:val="32"/>
        </w:rPr>
        <w:t>在县区层面推动落实“将健康融入所有政策”方针，倡导健康优先、健康教育先行理念，建立</w:t>
      </w:r>
      <w:r>
        <w:rPr>
          <w:rFonts w:hint="eastAsia" w:eastAsia="仿宋_GB2312"/>
          <w:kern w:val="0"/>
          <w:sz w:val="32"/>
          <w:szCs w:val="32"/>
        </w:rPr>
        <w:t>并</w:t>
      </w:r>
      <w:r>
        <w:rPr>
          <w:rFonts w:eastAsia="仿宋_GB2312"/>
          <w:kern w:val="0"/>
          <w:sz w:val="32"/>
          <w:szCs w:val="32"/>
        </w:rPr>
        <w:t>宣传</w:t>
      </w:r>
      <w:r>
        <w:rPr>
          <w:rFonts w:hint="eastAsia" w:eastAsia="仿宋_GB2312"/>
          <w:kern w:val="0"/>
          <w:sz w:val="32"/>
          <w:szCs w:val="32"/>
        </w:rPr>
        <w:t>推广健康</w:t>
      </w:r>
      <w:r>
        <w:rPr>
          <w:rFonts w:eastAsia="仿宋_GB2312"/>
          <w:kern w:val="0"/>
          <w:sz w:val="32"/>
          <w:szCs w:val="32"/>
        </w:rPr>
        <w:t>县区工作模式和长效机制，建设健康支持性环境，</w:t>
      </w:r>
      <w:r>
        <w:rPr>
          <w:rFonts w:hint="eastAsia" w:eastAsia="仿宋_GB2312"/>
          <w:kern w:val="0"/>
          <w:sz w:val="32"/>
          <w:szCs w:val="32"/>
        </w:rPr>
        <w:t>构建健康社会</w:t>
      </w:r>
      <w:r>
        <w:rPr>
          <w:rFonts w:eastAsia="仿宋_GB2312"/>
          <w:kern w:val="0"/>
          <w:sz w:val="32"/>
          <w:szCs w:val="32"/>
        </w:rPr>
        <w:t>，</w:t>
      </w:r>
      <w:r>
        <w:rPr>
          <w:rFonts w:hint="eastAsia" w:eastAsia="仿宋_GB2312" w:cs="仿宋"/>
          <w:sz w:val="32"/>
          <w:szCs w:val="32"/>
        </w:rPr>
        <w:t>广泛开展</w:t>
      </w:r>
      <w:r>
        <w:rPr>
          <w:rFonts w:hint="eastAsia" w:eastAsia="仿宋_GB2312" w:cs="宋体"/>
          <w:kern w:val="0"/>
          <w:sz w:val="32"/>
          <w:szCs w:val="32"/>
        </w:rPr>
        <w:t>以“健康传播、健康生活、健康管理、健康发展”为主要内容的全民健康促进行动，</w:t>
      </w:r>
      <w:r>
        <w:rPr>
          <w:rFonts w:hint="eastAsia" w:eastAsia="仿宋_GB2312" w:cs="仿宋"/>
          <w:sz w:val="32"/>
          <w:szCs w:val="32"/>
        </w:rPr>
        <w:t>普及全民健康知识,</w:t>
      </w:r>
      <w:r>
        <w:rPr>
          <w:rFonts w:hint="eastAsia" w:eastAsia="仿宋_GB2312" w:cs="宋体"/>
          <w:kern w:val="0"/>
          <w:sz w:val="32"/>
          <w:szCs w:val="32"/>
        </w:rPr>
        <w:t>传播健康理念</w:t>
      </w:r>
      <w:r>
        <w:rPr>
          <w:rFonts w:hint="eastAsia" w:eastAsia="仿宋_GB2312"/>
          <w:sz w:val="32"/>
          <w:szCs w:val="32"/>
        </w:rPr>
        <w:t>，引导居民养成良好的生活习惯和生活方式，</w:t>
      </w:r>
      <w:r>
        <w:rPr>
          <w:rFonts w:hint="eastAsia" w:eastAsia="仿宋_GB2312" w:cs="宋体"/>
          <w:kern w:val="0"/>
          <w:sz w:val="32"/>
          <w:szCs w:val="32"/>
        </w:rPr>
        <w:t>提高群众自我保健意识和自我保健能力，不断满足人民群众日益增长的健康需求，</w:t>
      </w:r>
      <w:r>
        <w:rPr>
          <w:rFonts w:eastAsia="仿宋_GB2312"/>
          <w:kern w:val="0"/>
          <w:sz w:val="32"/>
          <w:szCs w:val="32"/>
        </w:rPr>
        <w:t>提高居民健康素养和健康水平。</w:t>
      </w:r>
    </w:p>
    <w:p>
      <w:pPr>
        <w:widowControl/>
        <w:shd w:val="clear" w:color="auto" w:fill="FFFFFF"/>
        <w:tabs>
          <w:tab w:val="left" w:pos="5400"/>
        </w:tabs>
        <w:spacing w:line="500" w:lineRule="exact"/>
        <w:ind w:firstLine="643" w:firstLineChars="200"/>
        <w:jc w:val="left"/>
        <w:rPr>
          <w:rFonts w:eastAsia="仿宋_GB2312" w:cs="宋体"/>
          <w:b/>
          <w:bCs/>
          <w:kern w:val="0"/>
          <w:sz w:val="32"/>
          <w:szCs w:val="32"/>
        </w:rPr>
      </w:pPr>
      <w:r>
        <w:rPr>
          <w:rFonts w:hint="eastAsia" w:eastAsia="仿宋_GB2312" w:cs="宋体"/>
          <w:b/>
          <w:bCs/>
          <w:kern w:val="0"/>
          <w:sz w:val="32"/>
          <w:szCs w:val="32"/>
        </w:rPr>
        <w:t>二、基本原则</w:t>
      </w:r>
    </w:p>
    <w:p>
      <w:pPr>
        <w:widowControl/>
        <w:shd w:val="clear" w:color="auto" w:fill="FFFFFF"/>
        <w:tabs>
          <w:tab w:val="left" w:pos="5400"/>
        </w:tabs>
        <w:spacing w:line="500" w:lineRule="exact"/>
        <w:ind w:firstLine="640" w:firstLineChars="200"/>
        <w:jc w:val="left"/>
        <w:rPr>
          <w:rFonts w:eastAsia="仿宋_GB2312" w:cs="宋体"/>
          <w:kern w:val="0"/>
          <w:sz w:val="32"/>
          <w:szCs w:val="32"/>
        </w:rPr>
      </w:pPr>
      <w:r>
        <w:rPr>
          <w:rFonts w:hint="eastAsia" w:eastAsia="仿宋_GB2312" w:cs="宋体"/>
          <w:kern w:val="0"/>
          <w:sz w:val="32"/>
          <w:szCs w:val="32"/>
        </w:rPr>
        <w:t>（一）建立政府牵头，卫生健康行政部门规划管理，多部门积极参与的健康促进工作机制，制定有利于居民健康的公共政策。</w:t>
      </w:r>
    </w:p>
    <w:p>
      <w:pPr>
        <w:widowControl/>
        <w:shd w:val="clear" w:color="auto" w:fill="FFFFFF"/>
        <w:tabs>
          <w:tab w:val="left" w:pos="5400"/>
        </w:tabs>
        <w:spacing w:line="500" w:lineRule="exact"/>
        <w:ind w:firstLine="640" w:firstLineChars="200"/>
        <w:jc w:val="left"/>
        <w:rPr>
          <w:rFonts w:eastAsia="仿宋_GB2312" w:cs="宋体"/>
          <w:kern w:val="0"/>
          <w:sz w:val="32"/>
          <w:szCs w:val="32"/>
        </w:rPr>
      </w:pPr>
      <w:r>
        <w:rPr>
          <w:rFonts w:hint="eastAsia" w:eastAsia="仿宋_GB2312" w:cs="宋体"/>
          <w:kern w:val="0"/>
          <w:sz w:val="32"/>
          <w:szCs w:val="32"/>
        </w:rPr>
        <w:t>（二）建设促进健康的支持性环境，发挥健康促进社区（村）、健康家庭、健康促进医院、学校、机关（事业单位）和企业的示范和辐射作用。</w:t>
      </w:r>
    </w:p>
    <w:p>
      <w:pPr>
        <w:widowControl/>
        <w:shd w:val="clear" w:color="auto" w:fill="FFFFFF"/>
        <w:tabs>
          <w:tab w:val="left" w:pos="5400"/>
        </w:tabs>
        <w:spacing w:line="500" w:lineRule="exact"/>
        <w:ind w:firstLine="640" w:firstLineChars="200"/>
        <w:jc w:val="left"/>
        <w:rPr>
          <w:rFonts w:eastAsia="仿宋_GB2312" w:cs="宋体"/>
          <w:kern w:val="0"/>
          <w:sz w:val="32"/>
          <w:szCs w:val="32"/>
        </w:rPr>
      </w:pPr>
      <w:r>
        <w:rPr>
          <w:rFonts w:hint="eastAsia" w:eastAsia="仿宋_GB2312" w:cs="宋体"/>
          <w:kern w:val="0"/>
          <w:sz w:val="32"/>
          <w:szCs w:val="32"/>
        </w:rPr>
        <w:t>（三）总结适合我县实际的、可推广的健康促进综合干预模式，探索促进区域健康促进工作发展的长效机制。</w:t>
      </w:r>
    </w:p>
    <w:p>
      <w:pPr>
        <w:widowControl/>
        <w:shd w:val="clear" w:color="auto" w:fill="FFFFFF"/>
        <w:tabs>
          <w:tab w:val="left" w:pos="5400"/>
        </w:tabs>
        <w:spacing w:line="500" w:lineRule="exact"/>
        <w:ind w:firstLine="643" w:firstLineChars="200"/>
        <w:jc w:val="left"/>
        <w:rPr>
          <w:rFonts w:eastAsia="仿宋_GB2312" w:cs="宋体"/>
          <w:b/>
          <w:bCs/>
          <w:kern w:val="0"/>
          <w:sz w:val="32"/>
          <w:szCs w:val="32"/>
        </w:rPr>
      </w:pPr>
      <w:r>
        <w:rPr>
          <w:rFonts w:hint="eastAsia" w:eastAsia="仿宋_GB2312" w:cs="宋体"/>
          <w:b/>
          <w:bCs/>
          <w:kern w:val="0"/>
          <w:sz w:val="32"/>
          <w:szCs w:val="32"/>
        </w:rPr>
        <w:t>三、工作目标</w:t>
      </w:r>
    </w:p>
    <w:p>
      <w:pPr>
        <w:widowControl/>
        <w:shd w:val="clear" w:color="auto" w:fill="FFFFFF"/>
        <w:tabs>
          <w:tab w:val="left" w:pos="5400"/>
        </w:tabs>
        <w:spacing w:line="500" w:lineRule="exact"/>
        <w:ind w:firstLine="640" w:firstLineChars="200"/>
        <w:jc w:val="left"/>
        <w:rPr>
          <w:rFonts w:eastAsia="仿宋_GB2312" w:cs="宋体"/>
          <w:kern w:val="0"/>
          <w:sz w:val="32"/>
          <w:szCs w:val="32"/>
        </w:rPr>
      </w:pPr>
      <w:r>
        <w:rPr>
          <w:rFonts w:hint="eastAsia" w:eastAsia="仿宋_GB2312" w:cs="宋体"/>
          <w:kern w:val="0"/>
          <w:sz w:val="32"/>
          <w:szCs w:val="32"/>
        </w:rPr>
        <w:t>两年为一个周期，2023年11月开展创建工作，2025年申报考核评审。在一个创建周期内达到以下目标：</w:t>
      </w:r>
    </w:p>
    <w:p>
      <w:pPr>
        <w:snapToGrid w:val="0"/>
        <w:spacing w:line="500" w:lineRule="exact"/>
        <w:ind w:firstLine="640" w:firstLineChars="200"/>
        <w:rPr>
          <w:rFonts w:eastAsia="仿宋_GB2312"/>
          <w:kern w:val="0"/>
          <w:sz w:val="32"/>
          <w:szCs w:val="32"/>
        </w:rPr>
      </w:pPr>
      <w:r>
        <w:rPr>
          <w:rFonts w:eastAsia="仿宋_GB2312"/>
          <w:kern w:val="0"/>
          <w:sz w:val="32"/>
          <w:szCs w:val="32"/>
        </w:rPr>
        <w:t>1.建立</w:t>
      </w:r>
      <w:r>
        <w:rPr>
          <w:rFonts w:hint="eastAsia" w:eastAsia="仿宋_GB2312"/>
          <w:kern w:val="0"/>
          <w:sz w:val="32"/>
          <w:szCs w:val="32"/>
        </w:rPr>
        <w:t>将</w:t>
      </w:r>
      <w:r>
        <w:rPr>
          <w:rFonts w:eastAsia="仿宋_GB2312"/>
          <w:kern w:val="0"/>
          <w:sz w:val="32"/>
          <w:szCs w:val="32"/>
        </w:rPr>
        <w:t>健康融入所有政策的工作机制</w:t>
      </w:r>
      <w:r>
        <w:rPr>
          <w:rFonts w:hint="eastAsia" w:eastAsia="仿宋_GB2312"/>
          <w:kern w:val="0"/>
          <w:sz w:val="32"/>
          <w:szCs w:val="32"/>
        </w:rPr>
        <w:t>，探索建立健康影响评估制度，</w:t>
      </w:r>
      <w:r>
        <w:rPr>
          <w:rFonts w:eastAsia="仿宋_GB2312"/>
          <w:kern w:val="0"/>
          <w:sz w:val="32"/>
          <w:szCs w:val="32"/>
        </w:rPr>
        <w:t>联合开展多部门健康行动。</w:t>
      </w:r>
    </w:p>
    <w:p>
      <w:pPr>
        <w:snapToGrid w:val="0"/>
        <w:spacing w:line="50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健康乡镇覆盖率不低于30%，健康乡镇内</w:t>
      </w:r>
      <w:r>
        <w:rPr>
          <w:rFonts w:eastAsia="仿宋_GB2312"/>
          <w:kern w:val="0"/>
          <w:sz w:val="32"/>
          <w:szCs w:val="32"/>
        </w:rPr>
        <w:t>健康社区、健康村覆盖率不低于</w:t>
      </w:r>
      <w:r>
        <w:rPr>
          <w:rFonts w:hint="eastAsia" w:eastAsia="仿宋_GB2312"/>
          <w:kern w:val="0"/>
          <w:sz w:val="32"/>
          <w:szCs w:val="32"/>
        </w:rPr>
        <w:t>30</w:t>
      </w:r>
      <w:r>
        <w:rPr>
          <w:rFonts w:eastAsia="仿宋_GB2312"/>
          <w:kern w:val="0"/>
          <w:sz w:val="32"/>
          <w:szCs w:val="32"/>
        </w:rPr>
        <w:t>%</w:t>
      </w:r>
      <w:r>
        <w:rPr>
          <w:rFonts w:hint="eastAsia" w:eastAsia="仿宋_GB2312"/>
          <w:kern w:val="0"/>
          <w:sz w:val="32"/>
          <w:szCs w:val="32"/>
        </w:rPr>
        <w:t>；</w:t>
      </w:r>
      <w:r>
        <w:rPr>
          <w:rFonts w:eastAsia="仿宋_GB2312"/>
          <w:kern w:val="0"/>
          <w:sz w:val="32"/>
          <w:szCs w:val="32"/>
        </w:rPr>
        <w:t>二级及以上医院健康促进医院</w:t>
      </w:r>
      <w:r>
        <w:rPr>
          <w:rFonts w:hint="eastAsia" w:eastAsia="仿宋_GB2312"/>
          <w:kern w:val="0"/>
          <w:sz w:val="32"/>
          <w:szCs w:val="32"/>
        </w:rPr>
        <w:t>不低于</w:t>
      </w:r>
      <w:r>
        <w:rPr>
          <w:rFonts w:eastAsia="仿宋_GB2312"/>
          <w:kern w:val="0"/>
          <w:sz w:val="32"/>
          <w:szCs w:val="32"/>
        </w:rPr>
        <w:t>50%</w:t>
      </w:r>
      <w:r>
        <w:rPr>
          <w:rFonts w:hint="eastAsia" w:eastAsia="仿宋_GB2312"/>
          <w:kern w:val="0"/>
          <w:sz w:val="32"/>
          <w:szCs w:val="32"/>
        </w:rPr>
        <w:t>；</w:t>
      </w:r>
      <w:r>
        <w:rPr>
          <w:rFonts w:eastAsia="仿宋_GB2312"/>
          <w:kern w:val="0"/>
          <w:sz w:val="32"/>
          <w:szCs w:val="32"/>
        </w:rPr>
        <w:t>健康</w:t>
      </w:r>
      <w:r>
        <w:rPr>
          <w:rFonts w:hint="eastAsia" w:eastAsia="仿宋_GB2312"/>
          <w:kern w:val="0"/>
          <w:sz w:val="32"/>
          <w:szCs w:val="32"/>
        </w:rPr>
        <w:t>企业</w:t>
      </w:r>
      <w:r>
        <w:rPr>
          <w:rFonts w:eastAsia="仿宋_GB2312"/>
          <w:kern w:val="0"/>
          <w:sz w:val="32"/>
          <w:szCs w:val="32"/>
        </w:rPr>
        <w:t>数量不低于</w:t>
      </w:r>
      <w:r>
        <w:rPr>
          <w:rFonts w:hint="eastAsia" w:eastAsia="仿宋_GB2312"/>
          <w:kern w:val="0"/>
          <w:sz w:val="32"/>
          <w:szCs w:val="32"/>
        </w:rPr>
        <w:t>3家且</w:t>
      </w:r>
      <w:r>
        <w:rPr>
          <w:rFonts w:eastAsia="仿宋_GB2312"/>
          <w:kern w:val="0"/>
          <w:sz w:val="32"/>
          <w:szCs w:val="32"/>
        </w:rPr>
        <w:t>每年新增</w:t>
      </w:r>
      <w:r>
        <w:rPr>
          <w:rFonts w:hint="eastAsia" w:eastAsia="仿宋_GB2312"/>
          <w:kern w:val="0"/>
          <w:sz w:val="32"/>
          <w:szCs w:val="32"/>
        </w:rPr>
        <w:t>1家及</w:t>
      </w:r>
      <w:r>
        <w:rPr>
          <w:rFonts w:eastAsia="仿宋_GB2312"/>
          <w:kern w:val="0"/>
          <w:sz w:val="32"/>
          <w:szCs w:val="32"/>
        </w:rPr>
        <w:t>以上</w:t>
      </w:r>
      <w:r>
        <w:rPr>
          <w:rFonts w:hint="eastAsia" w:eastAsia="仿宋_GB2312"/>
          <w:kern w:val="0"/>
          <w:sz w:val="32"/>
          <w:szCs w:val="32"/>
        </w:rPr>
        <w:t>；县域内健康社区、村、机关（含事业单位）、学校、家庭覆盖率逐年提升。</w:t>
      </w:r>
    </w:p>
    <w:p>
      <w:pPr>
        <w:snapToGrid w:val="0"/>
        <w:spacing w:line="500" w:lineRule="exact"/>
        <w:ind w:firstLine="640" w:firstLineChars="200"/>
        <w:rPr>
          <w:rFonts w:eastAsia="仿宋_GB2312"/>
          <w:kern w:val="0"/>
          <w:sz w:val="32"/>
          <w:szCs w:val="32"/>
        </w:rPr>
      </w:pPr>
      <w:r>
        <w:rPr>
          <w:rFonts w:eastAsia="仿宋_GB2312"/>
          <w:kern w:val="0"/>
          <w:sz w:val="32"/>
          <w:szCs w:val="32"/>
        </w:rPr>
        <w:t>3.居民健康素养在</w:t>
      </w:r>
      <w:r>
        <w:rPr>
          <w:rFonts w:hint="eastAsia" w:eastAsia="仿宋_GB2312"/>
          <w:kern w:val="0"/>
          <w:sz w:val="32"/>
          <w:szCs w:val="32"/>
        </w:rPr>
        <w:t>基线调查</w:t>
      </w:r>
      <w:r>
        <w:rPr>
          <w:rFonts w:eastAsia="仿宋_GB2312"/>
          <w:kern w:val="0"/>
          <w:sz w:val="32"/>
          <w:szCs w:val="32"/>
        </w:rPr>
        <w:t>基础上</w:t>
      </w:r>
      <w:r>
        <w:rPr>
          <w:rFonts w:hint="eastAsia" w:eastAsia="仿宋_GB2312"/>
          <w:kern w:val="0"/>
          <w:sz w:val="32"/>
          <w:szCs w:val="32"/>
        </w:rPr>
        <w:t>有所提高</w:t>
      </w:r>
      <w:r>
        <w:rPr>
          <w:rFonts w:eastAsia="仿宋_GB2312"/>
          <w:kern w:val="0"/>
          <w:sz w:val="32"/>
          <w:szCs w:val="32"/>
        </w:rPr>
        <w:t>，或高于当年全省平均水平。</w:t>
      </w:r>
    </w:p>
    <w:p>
      <w:pPr>
        <w:widowControl/>
        <w:adjustRightInd w:val="0"/>
        <w:snapToGrid w:val="0"/>
        <w:spacing w:line="500" w:lineRule="exact"/>
        <w:ind w:firstLine="640" w:firstLineChars="200"/>
        <w:rPr>
          <w:rFonts w:eastAsia="仿宋_GB2312"/>
          <w:kern w:val="0"/>
          <w:sz w:val="32"/>
          <w:szCs w:val="32"/>
        </w:rPr>
      </w:pPr>
      <w:r>
        <w:rPr>
          <w:rFonts w:eastAsia="仿宋_GB2312"/>
          <w:kern w:val="0"/>
          <w:sz w:val="32"/>
          <w:szCs w:val="32"/>
        </w:rPr>
        <w:t>4.</w:t>
      </w:r>
      <w:r>
        <w:rPr>
          <w:rFonts w:hint="eastAsia" w:eastAsia="仿宋_GB2312"/>
          <w:kern w:val="0"/>
          <w:sz w:val="32"/>
          <w:szCs w:val="32"/>
        </w:rPr>
        <w:t>百分之百</w:t>
      </w:r>
      <w:r>
        <w:rPr>
          <w:rFonts w:eastAsia="仿宋_GB2312"/>
          <w:kern w:val="0"/>
          <w:sz w:val="32"/>
          <w:szCs w:val="32"/>
        </w:rPr>
        <w:t>建成</w:t>
      </w:r>
      <w:r>
        <w:rPr>
          <w:rFonts w:hint="eastAsia" w:eastAsia="仿宋_GB2312"/>
          <w:kern w:val="0"/>
          <w:sz w:val="32"/>
          <w:szCs w:val="32"/>
        </w:rPr>
        <w:t>无烟党政机关、无烟学校、无烟医院，推动辖区室内公共场所、室内工作场所和公共交通工具全面禁烟。禁止向未成年人销售烟酒。</w:t>
      </w:r>
    </w:p>
    <w:p>
      <w:pPr>
        <w:widowControl/>
        <w:adjustRightInd w:val="0"/>
        <w:snapToGrid w:val="0"/>
        <w:spacing w:line="500" w:lineRule="exact"/>
        <w:ind w:firstLine="640" w:firstLineChars="200"/>
        <w:rPr>
          <w:rFonts w:eastAsia="仿宋_GB2312"/>
          <w:kern w:val="0"/>
          <w:sz w:val="32"/>
          <w:szCs w:val="32"/>
        </w:rPr>
      </w:pPr>
      <w:r>
        <w:rPr>
          <w:rFonts w:hint="eastAsia" w:eastAsia="仿宋_GB2312"/>
          <w:kern w:val="0"/>
          <w:sz w:val="32"/>
          <w:szCs w:val="32"/>
        </w:rPr>
        <w:t>5.建立县域健康科普专家库，定期组织专家深入社区、单位、学校等场所开展健康讲座和健康咨询。鼓励医务人员利用各类媒体规范开展健康科普。</w:t>
      </w:r>
    </w:p>
    <w:p>
      <w:pPr>
        <w:widowControl/>
        <w:shd w:val="clear" w:color="auto" w:fill="FFFFFF"/>
        <w:tabs>
          <w:tab w:val="left" w:pos="5400"/>
        </w:tabs>
        <w:spacing w:line="500" w:lineRule="exact"/>
        <w:ind w:firstLine="643" w:firstLineChars="200"/>
        <w:jc w:val="left"/>
        <w:rPr>
          <w:rFonts w:eastAsia="仿宋_GB2312" w:cs="宋体"/>
          <w:b/>
          <w:bCs/>
          <w:kern w:val="0"/>
          <w:sz w:val="32"/>
          <w:szCs w:val="32"/>
        </w:rPr>
      </w:pPr>
      <w:r>
        <w:rPr>
          <w:rFonts w:hint="eastAsia" w:eastAsia="仿宋_GB2312" w:cs="宋体"/>
          <w:b/>
          <w:bCs/>
          <w:kern w:val="0"/>
          <w:sz w:val="32"/>
          <w:szCs w:val="32"/>
        </w:rPr>
        <w:t>四、时间安排</w:t>
      </w:r>
    </w:p>
    <w:p>
      <w:pPr>
        <w:widowControl/>
        <w:shd w:val="clear" w:color="auto" w:fill="FFFFFF"/>
        <w:tabs>
          <w:tab w:val="left" w:pos="5400"/>
        </w:tabs>
        <w:spacing w:line="500" w:lineRule="exact"/>
        <w:ind w:firstLine="640" w:firstLineChars="200"/>
        <w:jc w:val="left"/>
        <w:rPr>
          <w:rFonts w:eastAsia="仿宋_GB2312" w:cs="宋体"/>
          <w:kern w:val="0"/>
          <w:sz w:val="32"/>
          <w:szCs w:val="32"/>
        </w:rPr>
      </w:pPr>
      <w:r>
        <w:rPr>
          <w:rFonts w:hint="eastAsia" w:eastAsia="仿宋_GB2312" w:cs="宋体"/>
          <w:kern w:val="0"/>
          <w:sz w:val="32"/>
          <w:szCs w:val="32"/>
        </w:rPr>
        <w:t>根据</w:t>
      </w:r>
      <w:r>
        <w:rPr>
          <w:rFonts w:hint="eastAsia" w:eastAsia="仿宋_GB2312"/>
          <w:sz w:val="32"/>
          <w:szCs w:val="32"/>
        </w:rPr>
        <w:t>《安徽省健康县区</w:t>
      </w:r>
      <w:r>
        <w:rPr>
          <w:rFonts w:hint="eastAsia" w:eastAsia="仿宋_GB2312" w:cs="宋体"/>
          <w:sz w:val="32"/>
          <w:szCs w:val="32"/>
        </w:rPr>
        <w:t>（区）创建工作方案</w:t>
      </w:r>
      <w:r>
        <w:rPr>
          <w:rFonts w:hint="eastAsia" w:eastAsia="仿宋_GB2312"/>
          <w:sz w:val="32"/>
          <w:szCs w:val="32"/>
        </w:rPr>
        <w:t>》</w:t>
      </w:r>
      <w:r>
        <w:rPr>
          <w:rFonts w:hint="eastAsia" w:eastAsia="仿宋_GB2312" w:cs="宋体"/>
          <w:kern w:val="0"/>
          <w:sz w:val="32"/>
          <w:szCs w:val="32"/>
        </w:rPr>
        <w:t>统一时间安排，我县健康县区创建工作分三个阶段实施：</w:t>
      </w:r>
    </w:p>
    <w:p>
      <w:pPr>
        <w:widowControl/>
        <w:adjustRightInd w:val="0"/>
        <w:snapToGrid w:val="0"/>
        <w:spacing w:line="500" w:lineRule="exact"/>
        <w:ind w:firstLine="643" w:firstLineChars="200"/>
        <w:jc w:val="left"/>
        <w:rPr>
          <w:rFonts w:eastAsia="仿宋_GB2312" w:cs="宋体"/>
          <w:kern w:val="0"/>
          <w:sz w:val="32"/>
          <w:szCs w:val="32"/>
        </w:rPr>
      </w:pPr>
      <w:r>
        <w:rPr>
          <w:rFonts w:hint="eastAsia" w:eastAsia="仿宋_GB2312" w:cs="楷体_GB2312"/>
          <w:b/>
          <w:bCs/>
          <w:kern w:val="0"/>
          <w:sz w:val="32"/>
          <w:szCs w:val="32"/>
        </w:rPr>
        <w:t>第一阶段：</w:t>
      </w:r>
      <w:r>
        <w:rPr>
          <w:rFonts w:hint="eastAsia" w:eastAsia="仿宋_GB2312" w:cs="宋体"/>
          <w:kern w:val="0"/>
          <w:sz w:val="32"/>
          <w:szCs w:val="32"/>
        </w:rPr>
        <w:t>2</w:t>
      </w:r>
      <w:r>
        <w:rPr>
          <w:rFonts w:eastAsia="仿宋_GB2312" w:cs="宋体"/>
          <w:kern w:val="0"/>
          <w:sz w:val="32"/>
          <w:szCs w:val="32"/>
        </w:rPr>
        <w:t>0</w:t>
      </w:r>
      <w:r>
        <w:rPr>
          <w:rFonts w:hint="eastAsia" w:eastAsia="仿宋_GB2312" w:cs="宋体"/>
          <w:kern w:val="0"/>
          <w:sz w:val="32"/>
          <w:szCs w:val="32"/>
        </w:rPr>
        <w:t>23年3月</w:t>
      </w:r>
      <w:r>
        <w:rPr>
          <w:rFonts w:eastAsia="仿宋_GB2312" w:cs="宋体"/>
          <w:kern w:val="0"/>
          <w:sz w:val="32"/>
          <w:szCs w:val="32"/>
        </w:rPr>
        <w:t>-20</w:t>
      </w:r>
      <w:r>
        <w:rPr>
          <w:rFonts w:hint="eastAsia" w:eastAsia="仿宋_GB2312" w:cs="宋体"/>
          <w:kern w:val="0"/>
          <w:sz w:val="32"/>
          <w:szCs w:val="32"/>
        </w:rPr>
        <w:t>23年11月。申报和启动阶段。完成项目申报和备案；建立健康县区（区）工作机制，广泛社会动员；制订《凤台县创建省级健康县区实施方案》，明确责任部门，开展需求评估，全面启动建设工作。</w:t>
      </w:r>
    </w:p>
    <w:p>
      <w:pPr>
        <w:widowControl/>
        <w:adjustRightInd w:val="0"/>
        <w:snapToGrid w:val="0"/>
        <w:spacing w:line="500" w:lineRule="exact"/>
        <w:ind w:firstLine="643" w:firstLineChars="200"/>
        <w:jc w:val="left"/>
        <w:rPr>
          <w:rFonts w:eastAsia="仿宋_GB2312" w:cs="宋体"/>
          <w:kern w:val="0"/>
          <w:sz w:val="32"/>
          <w:szCs w:val="32"/>
        </w:rPr>
      </w:pPr>
      <w:r>
        <w:rPr>
          <w:rFonts w:hint="eastAsia" w:eastAsia="仿宋_GB2312" w:cs="楷体_GB2312"/>
          <w:b/>
          <w:bCs/>
          <w:kern w:val="0"/>
          <w:sz w:val="32"/>
          <w:szCs w:val="32"/>
        </w:rPr>
        <w:t>第二阶段：</w:t>
      </w:r>
      <w:r>
        <w:rPr>
          <w:rFonts w:eastAsia="仿宋_GB2312" w:cs="宋体"/>
          <w:kern w:val="0"/>
          <w:sz w:val="32"/>
          <w:szCs w:val="32"/>
        </w:rPr>
        <w:t>20</w:t>
      </w:r>
      <w:r>
        <w:rPr>
          <w:rFonts w:hint="eastAsia" w:eastAsia="仿宋_GB2312" w:cs="宋体"/>
          <w:kern w:val="0"/>
          <w:sz w:val="32"/>
          <w:szCs w:val="32"/>
        </w:rPr>
        <w:t>23年</w:t>
      </w:r>
      <w:r>
        <w:rPr>
          <w:rFonts w:eastAsia="仿宋_GB2312" w:cs="宋体"/>
          <w:kern w:val="0"/>
          <w:sz w:val="32"/>
          <w:szCs w:val="32"/>
        </w:rPr>
        <w:t>1</w:t>
      </w:r>
      <w:r>
        <w:rPr>
          <w:rFonts w:hint="eastAsia" w:eastAsia="仿宋_GB2312" w:cs="宋体"/>
          <w:kern w:val="0"/>
          <w:sz w:val="32"/>
          <w:szCs w:val="32"/>
        </w:rPr>
        <w:t>2月</w:t>
      </w:r>
      <w:r>
        <w:rPr>
          <w:rFonts w:eastAsia="仿宋_GB2312" w:cs="宋体"/>
          <w:kern w:val="0"/>
          <w:sz w:val="32"/>
          <w:szCs w:val="32"/>
        </w:rPr>
        <w:t>-20</w:t>
      </w:r>
      <w:r>
        <w:rPr>
          <w:rFonts w:hint="eastAsia" w:eastAsia="仿宋_GB2312" w:cs="宋体"/>
          <w:kern w:val="0"/>
          <w:sz w:val="32"/>
          <w:szCs w:val="32"/>
        </w:rPr>
        <w:t>25年5月。全面建设阶段。制订多部门促进健康的公共政策，创建支持性环境，建设健康促进场所，针对重点领域、重点问题和重点人群开展多部门联合的健康行动，开展有针对性的综合干预，加强监督指导。</w:t>
      </w:r>
    </w:p>
    <w:p>
      <w:pPr>
        <w:widowControl/>
        <w:shd w:val="clear" w:color="auto" w:fill="FFFFFF"/>
        <w:tabs>
          <w:tab w:val="left" w:pos="5400"/>
        </w:tabs>
        <w:spacing w:line="500" w:lineRule="exact"/>
        <w:ind w:firstLine="643" w:firstLineChars="200"/>
        <w:jc w:val="left"/>
        <w:rPr>
          <w:rFonts w:eastAsia="仿宋_GB2312" w:cs="宋体"/>
          <w:kern w:val="0"/>
          <w:sz w:val="32"/>
          <w:szCs w:val="32"/>
        </w:rPr>
      </w:pPr>
      <w:r>
        <w:rPr>
          <w:rFonts w:hint="eastAsia" w:eastAsia="仿宋_GB2312" w:cs="楷体_GB2312"/>
          <w:b/>
          <w:bCs/>
          <w:kern w:val="0"/>
          <w:sz w:val="32"/>
          <w:szCs w:val="32"/>
        </w:rPr>
        <w:t>第三阶段：</w:t>
      </w:r>
      <w:r>
        <w:rPr>
          <w:rFonts w:eastAsia="仿宋_GB2312" w:cs="宋体"/>
          <w:kern w:val="0"/>
          <w:sz w:val="32"/>
          <w:szCs w:val="32"/>
        </w:rPr>
        <w:t>20</w:t>
      </w:r>
      <w:r>
        <w:rPr>
          <w:rFonts w:hint="eastAsia" w:eastAsia="仿宋_GB2312" w:cs="宋体"/>
          <w:kern w:val="0"/>
          <w:sz w:val="32"/>
          <w:szCs w:val="32"/>
        </w:rPr>
        <w:t>25年6月</w:t>
      </w:r>
      <w:r>
        <w:rPr>
          <w:rFonts w:eastAsia="仿宋_GB2312" w:cs="宋体"/>
          <w:kern w:val="0"/>
          <w:sz w:val="32"/>
          <w:szCs w:val="32"/>
        </w:rPr>
        <w:t>-20</w:t>
      </w:r>
      <w:r>
        <w:rPr>
          <w:rFonts w:hint="eastAsia" w:eastAsia="仿宋_GB2312" w:cs="宋体"/>
          <w:kern w:val="0"/>
          <w:sz w:val="32"/>
          <w:szCs w:val="32"/>
        </w:rPr>
        <w:t>25年12月。总结评估阶段。开展项目评估，总结并推广有效经验。</w:t>
      </w:r>
    </w:p>
    <w:p>
      <w:pPr>
        <w:widowControl/>
        <w:shd w:val="clear" w:color="auto" w:fill="FFFFFF"/>
        <w:tabs>
          <w:tab w:val="left" w:pos="5400"/>
        </w:tabs>
        <w:spacing w:line="500" w:lineRule="exact"/>
        <w:ind w:firstLine="643" w:firstLineChars="200"/>
        <w:jc w:val="left"/>
        <w:rPr>
          <w:rFonts w:eastAsia="仿宋_GB2312" w:cs="宋体"/>
          <w:b/>
          <w:bCs/>
          <w:kern w:val="0"/>
          <w:sz w:val="32"/>
          <w:szCs w:val="32"/>
        </w:rPr>
      </w:pPr>
      <w:r>
        <w:rPr>
          <w:rFonts w:hint="eastAsia" w:eastAsia="仿宋_GB2312" w:cs="宋体"/>
          <w:b/>
          <w:bCs/>
          <w:kern w:val="0"/>
          <w:sz w:val="32"/>
          <w:szCs w:val="32"/>
        </w:rPr>
        <w:t>五、重点工作内容</w:t>
      </w:r>
    </w:p>
    <w:p>
      <w:pPr>
        <w:snapToGrid w:val="0"/>
        <w:spacing w:line="500" w:lineRule="exact"/>
        <w:ind w:firstLine="635" w:firstLineChars="200"/>
        <w:rPr>
          <w:rFonts w:eastAsia="仿宋_GB2312"/>
          <w:b/>
          <w:spacing w:val="-2"/>
          <w:sz w:val="32"/>
          <w:szCs w:val="32"/>
        </w:rPr>
      </w:pPr>
      <w:r>
        <w:rPr>
          <w:rFonts w:hint="eastAsia" w:eastAsia="仿宋_GB2312"/>
          <w:b/>
          <w:spacing w:val="-2"/>
          <w:sz w:val="32"/>
          <w:szCs w:val="32"/>
        </w:rPr>
        <w:t>（一）完善健康政策</w:t>
      </w:r>
    </w:p>
    <w:p>
      <w:pPr>
        <w:snapToGrid w:val="0"/>
        <w:spacing w:line="500" w:lineRule="exact"/>
        <w:ind w:firstLine="640" w:firstLineChars="200"/>
        <w:rPr>
          <w:rFonts w:eastAsia="仿宋_GB2312"/>
          <w:kern w:val="0"/>
          <w:sz w:val="32"/>
          <w:szCs w:val="32"/>
        </w:rPr>
      </w:pPr>
      <w:r>
        <w:rPr>
          <w:rFonts w:hint="eastAsia" w:eastAsia="仿宋_GB2312"/>
          <w:kern w:val="0"/>
          <w:sz w:val="32"/>
          <w:szCs w:val="32"/>
        </w:rPr>
        <w:t>树立“大卫生、大健康”理念，统筹落实健康中国、乡村振兴、积极应对人口老龄化等战略，将健康县区建设纳入县区发展规划。认真分析辖区人群健康状况及其影响因素，明确主要健康问题和干预策略，制定健康县区建设规划和实施方案，针对当地突出的健康问题，开展跨部门健康行动。非卫生健康部门根据健康县区建设任务分工，结合自身职责和特点，各自出台落实文件。探索建立健康影响评估制度，出台相关文件，明确部门职责、评估范围和机制及日常办事机构和办事流程，建立专家委员会。对政府及其部门拟定的政策和重大工程项目开展健康影响评估，避免决策对人群健康造成不利影响。针对当地需要优先应对的健康问题，开展慢性病防控、传染病防控、健康生活方式、妇幼健康、健康老龄、环境与健康等重点健康问题的跨部门行动。在多部门协作、资源统筹、社会动员、健康管理、健康产业等方面取得创新。</w:t>
      </w:r>
    </w:p>
    <w:p>
      <w:pPr>
        <w:snapToGrid w:val="0"/>
        <w:spacing w:line="500" w:lineRule="exact"/>
        <w:ind w:firstLine="635" w:firstLineChars="200"/>
        <w:rPr>
          <w:rFonts w:eastAsia="仿宋_GB2312"/>
          <w:b/>
          <w:spacing w:val="-2"/>
          <w:sz w:val="32"/>
          <w:szCs w:val="32"/>
        </w:rPr>
      </w:pPr>
      <w:r>
        <w:rPr>
          <w:rFonts w:hint="eastAsia" w:eastAsia="仿宋_GB2312"/>
          <w:b/>
          <w:spacing w:val="-2"/>
          <w:sz w:val="32"/>
          <w:szCs w:val="32"/>
        </w:rPr>
        <w:t>（二）建设健康环境</w:t>
      </w:r>
    </w:p>
    <w:p>
      <w:pPr>
        <w:snapToGrid w:val="0"/>
        <w:spacing w:line="500" w:lineRule="exact"/>
        <w:ind w:firstLine="640" w:firstLineChars="200"/>
        <w:rPr>
          <w:rFonts w:eastAsia="仿宋_GB2312"/>
          <w:kern w:val="0"/>
          <w:sz w:val="32"/>
          <w:szCs w:val="32"/>
        </w:rPr>
      </w:pPr>
      <w:r>
        <w:rPr>
          <w:rFonts w:hint="eastAsia" w:eastAsia="仿宋_GB2312"/>
          <w:kern w:val="0"/>
          <w:sz w:val="32"/>
          <w:szCs w:val="32"/>
        </w:rPr>
        <w:t>城乡布局合理，市政</w:t>
      </w:r>
      <w:r>
        <w:rPr>
          <w:rFonts w:eastAsia="仿宋_GB2312"/>
          <w:kern w:val="0"/>
          <w:sz w:val="32"/>
          <w:szCs w:val="32"/>
        </w:rPr>
        <w:t>环卫设施</w:t>
      </w:r>
      <w:r>
        <w:rPr>
          <w:rFonts w:hint="eastAsia" w:eastAsia="仿宋_GB2312"/>
          <w:kern w:val="0"/>
          <w:sz w:val="32"/>
          <w:szCs w:val="32"/>
        </w:rPr>
        <w:t>完善，无障碍</w:t>
      </w:r>
      <w:r>
        <w:rPr>
          <w:rFonts w:eastAsia="仿宋_GB2312"/>
          <w:kern w:val="0"/>
          <w:sz w:val="32"/>
          <w:szCs w:val="32"/>
        </w:rPr>
        <w:t>设施健全，人居环境</w:t>
      </w:r>
      <w:r>
        <w:rPr>
          <w:rFonts w:hint="eastAsia" w:eastAsia="仿宋_GB2312"/>
          <w:kern w:val="0"/>
          <w:sz w:val="32"/>
          <w:szCs w:val="32"/>
        </w:rPr>
        <w:t>得到</w:t>
      </w:r>
      <w:r>
        <w:rPr>
          <w:rFonts w:eastAsia="仿宋_GB2312"/>
          <w:kern w:val="0"/>
          <w:sz w:val="32"/>
          <w:szCs w:val="32"/>
        </w:rPr>
        <w:t>改善。</w:t>
      </w:r>
      <w:r>
        <w:rPr>
          <w:rFonts w:hint="eastAsia" w:eastAsia="仿宋_GB2312"/>
          <w:kern w:val="0"/>
          <w:sz w:val="32"/>
          <w:szCs w:val="32"/>
        </w:rPr>
        <w:t>持续改善辖区大气、水、土壤和声环境质量，杜绝重特大环境污染事件。全面推进工业、能源、建筑、交通等领域绿色低碳转型。饮用水水源地达到国家供水安全要求。水环境质量和水功能区水质达标，河流、湖泊、沟渠、塘等水体无“黑臭”现象。保障</w:t>
      </w:r>
      <w:r>
        <w:rPr>
          <w:rFonts w:eastAsia="仿宋_GB2312"/>
          <w:kern w:val="0"/>
          <w:sz w:val="32"/>
          <w:szCs w:val="32"/>
        </w:rPr>
        <w:t>饮水安全</w:t>
      </w:r>
      <w:r>
        <w:rPr>
          <w:rFonts w:hint="eastAsia" w:eastAsia="仿宋_GB2312"/>
          <w:kern w:val="0"/>
          <w:sz w:val="32"/>
          <w:szCs w:val="32"/>
        </w:rPr>
        <w:t>，农村实现自来水普及。逐步实现污水管网全覆盖，推进生活垃圾源头减量、分类及污染</w:t>
      </w:r>
      <w:r>
        <w:rPr>
          <w:rFonts w:eastAsia="仿宋_GB2312"/>
          <w:kern w:val="0"/>
          <w:sz w:val="32"/>
          <w:szCs w:val="32"/>
        </w:rPr>
        <w:t>治理</w:t>
      </w:r>
      <w:r>
        <w:rPr>
          <w:rFonts w:hint="eastAsia" w:eastAsia="仿宋_GB2312"/>
          <w:kern w:val="0"/>
          <w:sz w:val="32"/>
          <w:szCs w:val="32"/>
        </w:rPr>
        <w:t>。实现医疗废物收集处理全覆盖。城镇公共厕所建设和管理达到国家和地方相关标准，农村居民普遍使用卫生厕所。病媒生物孳生地得到有效治理，鼠、蚊、蝇、蟑螂的密度达到国家病媒生物密度控制要求。居民文明饲养禽畜宠物。无贩卖、制售、食用野生动物现象。辖区食品生产经营单位推行油烟净化装置、明厨亮灶及食品</w:t>
      </w:r>
      <w:r>
        <w:rPr>
          <w:rFonts w:eastAsia="仿宋_GB2312"/>
          <w:kern w:val="0"/>
          <w:sz w:val="32"/>
          <w:szCs w:val="32"/>
        </w:rPr>
        <w:t>安全管理</w:t>
      </w:r>
      <w:r>
        <w:rPr>
          <w:rFonts w:hint="eastAsia" w:eastAsia="仿宋_GB2312"/>
          <w:kern w:val="0"/>
          <w:sz w:val="32"/>
          <w:szCs w:val="32"/>
        </w:rPr>
        <w:t>。推进农业绿色发展，实施农药化肥减量施用和有机肥替代化肥，开展废弃农膜回收利用。规模化养殖场建有畜禽粪污治理设施并正常运行，农作物秸秆实现资源化利用。加强活禽经营市场管理。</w:t>
      </w:r>
    </w:p>
    <w:p>
      <w:pPr>
        <w:snapToGrid w:val="0"/>
        <w:spacing w:line="500" w:lineRule="exact"/>
        <w:ind w:firstLine="635" w:firstLineChars="200"/>
        <w:rPr>
          <w:rFonts w:eastAsia="仿宋_GB2312"/>
          <w:b/>
          <w:spacing w:val="-2"/>
          <w:sz w:val="32"/>
          <w:szCs w:val="32"/>
        </w:rPr>
      </w:pPr>
      <w:r>
        <w:rPr>
          <w:rFonts w:hint="eastAsia" w:eastAsia="仿宋_GB2312"/>
          <w:b/>
          <w:spacing w:val="-2"/>
          <w:sz w:val="32"/>
          <w:szCs w:val="32"/>
        </w:rPr>
        <w:t>（三）构建健康</w:t>
      </w:r>
      <w:r>
        <w:rPr>
          <w:rFonts w:eastAsia="仿宋_GB2312"/>
          <w:b/>
          <w:spacing w:val="-2"/>
          <w:sz w:val="32"/>
          <w:szCs w:val="32"/>
        </w:rPr>
        <w:t>社会</w:t>
      </w:r>
    </w:p>
    <w:p>
      <w:pPr>
        <w:snapToGrid w:val="0"/>
        <w:spacing w:line="500" w:lineRule="exact"/>
        <w:ind w:firstLine="640" w:firstLineChars="200"/>
        <w:rPr>
          <w:rFonts w:eastAsia="仿宋_GB2312"/>
          <w:kern w:val="0"/>
          <w:sz w:val="32"/>
          <w:szCs w:val="32"/>
        </w:rPr>
      </w:pPr>
      <w:r>
        <w:rPr>
          <w:rFonts w:hint="eastAsia" w:eastAsia="仿宋_GB2312"/>
          <w:kern w:val="0"/>
          <w:sz w:val="32"/>
          <w:szCs w:val="32"/>
        </w:rPr>
        <w:t>推进健康乡镇和健康社区、村、机关（含事业单位）、企业、学校、医院、家庭等健康细胞建设，健康乡镇覆盖率不低于30%，健康细胞覆盖率逐年提升，积极打造有利于人群健康的生活、工作和学习环境，不断提高全社会和个人参与健康治理的能力。基本医疗保险实现全覆盖，完善城乡居民基本医保参保政策，提高医疗保障水平。合理确定社会福利保障范围，确保老年人、残疾人、孤儿、精神障碍患者等特殊群体有尊严地生活和平等地参与社会发展。构建居家社区机构相协调、医养康养相结合的养老服务体系，保障独居、空巢、失能（含失智）、重残、计划生育特殊家庭等特殊困难老年人的养老服务需求。有条件的地方积极开展居家适老化改造。为留守儿童、孤儿、事实无人抚养儿童、困境儿童等特殊儿童群体提供照护服务和医育结合服务。加快完善婴幼儿照护服务设施。为严重精神障碍患者提供诊疗康复服务和人文关怀。强化治安防控、交通和安全管理，落实安全生产责任制，杜绝重特大安全事件。维持医疗秩序</w:t>
      </w:r>
      <w:r>
        <w:rPr>
          <w:rFonts w:eastAsia="仿宋_GB2312"/>
          <w:kern w:val="0"/>
          <w:sz w:val="32"/>
          <w:szCs w:val="32"/>
        </w:rPr>
        <w:t>安全</w:t>
      </w:r>
      <w:r>
        <w:rPr>
          <w:rFonts w:hint="eastAsia" w:eastAsia="仿宋_GB2312"/>
          <w:kern w:val="0"/>
          <w:sz w:val="32"/>
          <w:szCs w:val="32"/>
        </w:rPr>
        <w:t>和消防</w:t>
      </w:r>
      <w:r>
        <w:rPr>
          <w:rFonts w:eastAsia="仿宋_GB2312"/>
          <w:kern w:val="0"/>
          <w:sz w:val="32"/>
          <w:szCs w:val="32"/>
        </w:rPr>
        <w:t>安全</w:t>
      </w:r>
      <w:r>
        <w:rPr>
          <w:rFonts w:hint="eastAsia" w:eastAsia="仿宋_GB2312"/>
          <w:kern w:val="0"/>
          <w:sz w:val="32"/>
          <w:szCs w:val="32"/>
        </w:rPr>
        <w:t>。</w:t>
      </w:r>
    </w:p>
    <w:p>
      <w:pPr>
        <w:snapToGrid w:val="0"/>
        <w:spacing w:line="500" w:lineRule="exact"/>
        <w:ind w:firstLine="635" w:firstLineChars="200"/>
        <w:rPr>
          <w:rFonts w:eastAsia="仿宋_GB2312"/>
          <w:b/>
          <w:spacing w:val="-2"/>
          <w:sz w:val="32"/>
          <w:szCs w:val="32"/>
        </w:rPr>
      </w:pPr>
      <w:r>
        <w:rPr>
          <w:rFonts w:hint="eastAsia" w:eastAsia="仿宋_GB2312"/>
          <w:b/>
          <w:spacing w:val="-2"/>
          <w:sz w:val="32"/>
          <w:szCs w:val="32"/>
        </w:rPr>
        <w:t>（四）优化健康</w:t>
      </w:r>
      <w:r>
        <w:rPr>
          <w:rFonts w:eastAsia="仿宋_GB2312"/>
          <w:b/>
          <w:spacing w:val="-2"/>
          <w:sz w:val="32"/>
          <w:szCs w:val="32"/>
        </w:rPr>
        <w:t>服务</w:t>
      </w:r>
    </w:p>
    <w:p>
      <w:pPr>
        <w:snapToGrid w:val="0"/>
        <w:spacing w:line="500" w:lineRule="exact"/>
        <w:ind w:firstLine="640" w:firstLineChars="200"/>
        <w:rPr>
          <w:rFonts w:eastAsia="仿宋_GB2312"/>
          <w:kern w:val="0"/>
          <w:sz w:val="32"/>
          <w:szCs w:val="32"/>
        </w:rPr>
      </w:pPr>
      <w:r>
        <w:rPr>
          <w:rFonts w:hint="eastAsia" w:eastAsia="仿宋_GB2312"/>
          <w:kern w:val="0"/>
          <w:sz w:val="32"/>
          <w:szCs w:val="32"/>
        </w:rPr>
        <w:t>完善医疗卫生服务体系，县域内基本医疗卫生资源按常住人口和服务半径合理布局。建立完善全方位全周期健康服务体系。积极发展以县级医院为龙头的紧密型县域医共体，推进家庭医生服务升级，推动公立医院高质量发展。不断完善疾病预防控制体系，加强医防融合，辖区基层医疗卫生机构和医院落实公共卫生责任。建立健全突发公共卫生事件和重大疫情联防联控机制，加强传染病监测预警，提升突发事件应对能力。完善意外伤害救援救治网络建设。面向公众开展健康教育和健康科普，普及健康知识和技能，倡导健康生活方式。在卫生健康相关节日纪念日等节点，开展多部门联合健康主题活动。定期开展辖区居民健康素养水平监测。积极推进健康小屋建设。将健康教育工作纳入医疗卫生机构绩效考核，对患者</w:t>
      </w:r>
      <w:r>
        <w:rPr>
          <w:rFonts w:eastAsia="仿宋_GB2312"/>
          <w:kern w:val="0"/>
          <w:sz w:val="32"/>
          <w:szCs w:val="32"/>
        </w:rPr>
        <w:t>开展</w:t>
      </w:r>
      <w:r>
        <w:rPr>
          <w:rFonts w:hint="eastAsia" w:eastAsia="仿宋_GB2312"/>
          <w:kern w:val="0"/>
          <w:sz w:val="32"/>
          <w:szCs w:val="32"/>
        </w:rPr>
        <w:t>健康教育服务。建立县域健康科普专家库。鼓励医务人员利用各类媒体规范开展健康科普。加强县级中医院特色专科建设，乡镇卫生院和社区卫生服务中心设置中医馆、配备中医医师，鼓励家庭医生提供中医药治未病签约服务。传承发扬中医药文化。</w:t>
      </w:r>
    </w:p>
    <w:p>
      <w:pPr>
        <w:snapToGrid w:val="0"/>
        <w:spacing w:line="500" w:lineRule="exact"/>
        <w:ind w:firstLine="635" w:firstLineChars="200"/>
        <w:rPr>
          <w:rFonts w:eastAsia="仿宋_GB2312"/>
          <w:b/>
          <w:spacing w:val="-2"/>
          <w:sz w:val="32"/>
          <w:szCs w:val="32"/>
        </w:rPr>
      </w:pPr>
      <w:r>
        <w:rPr>
          <w:rFonts w:hint="eastAsia" w:eastAsia="仿宋_GB2312"/>
          <w:b/>
          <w:spacing w:val="-2"/>
          <w:sz w:val="32"/>
          <w:szCs w:val="32"/>
        </w:rPr>
        <w:t>（五）倡导健康文化</w:t>
      </w:r>
    </w:p>
    <w:p>
      <w:pPr>
        <w:snapToGrid w:val="0"/>
        <w:spacing w:line="500" w:lineRule="exact"/>
        <w:ind w:firstLine="640" w:firstLineChars="200"/>
        <w:rPr>
          <w:rFonts w:eastAsia="仿宋_GB2312"/>
          <w:kern w:val="0"/>
          <w:sz w:val="32"/>
          <w:szCs w:val="32"/>
        </w:rPr>
      </w:pPr>
      <w:r>
        <w:rPr>
          <w:rFonts w:hint="eastAsia" w:eastAsia="仿宋_GB2312"/>
          <w:kern w:val="0"/>
          <w:sz w:val="32"/>
          <w:szCs w:val="32"/>
        </w:rPr>
        <w:t>领导干部带头践行文明健康绿色环保生活方式，遵守党政机关和公共场所控烟规定。倡导“每个人是自己健康笫一责任人”理念，营造全民关注健康的社会氛围，促进公众形成文明健康绿色环保的行为和生活方式。建立健康科普信息发布制度，规范健康科普信息传播。本地或驻地媒体（电视台、广播电台、报纸等）开设健康类节目，县域新媒体主动传播健康知识与理念。鼓励辖区社区（村）、企事业单位、社会组织等开展健康科普。依法打击各类健康虚假宣传和错误信息，及时回应社会关切，合理引导舆论。辖区各类学校开设体育与健康课程，保障健康教育课时，利用多种形式实施健康教育，提高学生主动预防疾病与伤害的知识和技能，培养学生健康的行为习惯，改善近视、肥胖等不良健康状况。加大全民健身场地设施供给，推进公共体育设施免费或低收费开放，实现县、乡、村三级公共健身设施和社区15分钟健身圈全覆盖。组织群众性体育赛事和活动，营造全民健身社会氛围。推进体医融合发展，提升科学健身指导服务水平。各级党政机关建设成无烟机关，推进无烟学校、无烟医院等无烟场所建设，推动辖区室内公共场所、室内工作场所和公共交通工具全面禁烟。禁止向未成年人销售烟酒。加大控烟宣传教育力度，提高公众对烟草危害健康的认知程度。倡导文明健康绿色环保生活，鼓励节约能源，引导辖区干部群众采取步行、自行车或公共交通出行，自带购物袋、水杯等，减少使用塑料制品、过度包装产品、一次性用品。积极推广分餐制和公筷制，大力倡导“光盘行动”。避免高噪声行为干扰他人。鼓励群众积极参与无偿献血、志愿服务等社会公益活动，惩治赌博、吸毒、卖淫嫖娼等不良现象。</w:t>
      </w:r>
    </w:p>
    <w:p>
      <w:pPr>
        <w:snapToGrid w:val="0"/>
        <w:spacing w:line="500" w:lineRule="exact"/>
        <w:ind w:firstLine="635" w:firstLineChars="200"/>
        <w:rPr>
          <w:rFonts w:eastAsia="仿宋_GB2312"/>
          <w:b/>
          <w:spacing w:val="-2"/>
          <w:sz w:val="32"/>
          <w:szCs w:val="32"/>
        </w:rPr>
      </w:pPr>
      <w:r>
        <w:rPr>
          <w:rFonts w:hint="eastAsia" w:eastAsia="仿宋_GB2312"/>
          <w:b/>
          <w:spacing w:val="-2"/>
          <w:sz w:val="32"/>
          <w:szCs w:val="32"/>
        </w:rPr>
        <w:t>（六）加强组织管理</w:t>
      </w:r>
    </w:p>
    <w:p>
      <w:pPr>
        <w:snapToGrid w:val="0"/>
        <w:spacing w:line="500" w:lineRule="exact"/>
        <w:ind w:firstLine="640" w:firstLineChars="200"/>
        <w:rPr>
          <w:rFonts w:eastAsia="仿宋_GB2312"/>
          <w:kern w:val="0"/>
          <w:sz w:val="32"/>
          <w:szCs w:val="32"/>
        </w:rPr>
      </w:pPr>
      <w:r>
        <w:rPr>
          <w:rFonts w:hint="eastAsia" w:eastAsia="仿宋_GB2312"/>
          <w:kern w:val="0"/>
          <w:sz w:val="32"/>
          <w:szCs w:val="32"/>
        </w:rPr>
        <w:t>把人民健康放在优先发展的战略地位，坚持预防为主和共建共享，建立完善健康县区建设领导协调和工作推进机制，明确部门职责和任务，形成工作合力，全方位推进健康县区建设。完善健康县区建设工作网络，加强人员培训和业务指导，强化健康教育专业机构对辖区健康教育工作的技术指导，提高社区（村）、单位、社会组织等参与健康县区建设的积极性和能力。定期开展健康县区建设技术评估，认真分析建设过程中遇到的困难和问题，适时调整优化建设策略和措施，确保建设取得实效。鼓励引入人工智能和大数据应用技术，利用信息化手段提升健康县区建设水平。</w:t>
      </w:r>
    </w:p>
    <w:p>
      <w:pPr>
        <w:widowControl/>
        <w:shd w:val="clear" w:color="auto" w:fill="FFFFFF"/>
        <w:tabs>
          <w:tab w:val="left" w:pos="5400"/>
        </w:tabs>
        <w:spacing w:line="500" w:lineRule="exact"/>
        <w:ind w:firstLine="643" w:firstLineChars="200"/>
        <w:jc w:val="left"/>
        <w:rPr>
          <w:rFonts w:eastAsia="仿宋_GB2312" w:cs="宋体"/>
          <w:b/>
          <w:bCs/>
          <w:kern w:val="0"/>
          <w:sz w:val="32"/>
          <w:szCs w:val="32"/>
        </w:rPr>
      </w:pPr>
      <w:r>
        <w:rPr>
          <w:rFonts w:hint="eastAsia" w:eastAsia="仿宋_GB2312" w:cs="宋体"/>
          <w:b/>
          <w:bCs/>
          <w:kern w:val="0"/>
          <w:sz w:val="32"/>
          <w:szCs w:val="32"/>
        </w:rPr>
        <w:t>六、组织实施</w:t>
      </w:r>
    </w:p>
    <w:p>
      <w:pPr>
        <w:pStyle w:val="8"/>
        <w:tabs>
          <w:tab w:val="left" w:pos="5400"/>
        </w:tabs>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（一）加强组织领导。</w:t>
      </w:r>
      <w:r>
        <w:rPr>
          <w:rFonts w:hint="eastAsia" w:ascii="Times New Roman" w:hAnsi="Times New Roman" w:eastAsia="仿宋_GB2312"/>
          <w:sz w:val="32"/>
          <w:szCs w:val="32"/>
        </w:rPr>
        <w:t>县健康促进委员会办公室要充分发挥纽带、指导和协调作用，落实项目实施主体，建立工作网络，明确优先领域，组织开展各项综合干预活动，</w:t>
      </w:r>
      <w:r>
        <w:rPr>
          <w:rFonts w:hint="eastAsia" w:ascii="Times New Roman" w:hAnsi="Times New Roman" w:eastAsia="仿宋_GB2312" w:cs="宋体"/>
          <w:sz w:val="32"/>
          <w:szCs w:val="32"/>
        </w:rPr>
        <w:t>定期召开工作会议，协调解决存在的问题。</w:t>
      </w:r>
      <w:r>
        <w:rPr>
          <w:rFonts w:hint="eastAsia" w:ascii="Times New Roman" w:hAnsi="Times New Roman" w:eastAsia="仿宋_GB2312"/>
          <w:sz w:val="32"/>
          <w:szCs w:val="32"/>
        </w:rPr>
        <w:t>各乡镇负责所辖地区的建设工作，要调动社区居委会和村两委建设工作积极性，搞好责任区的综合协调和监督检查。县直各部门、各单位既要按照责任分工，认真履职尽责，做好各自职责范围内的创建工作，又要加强协调配合，建立健全部门协调联动机制，形成权责明晰、各司其职、密切配合、齐抓共管的工作格局，确保全面完成各自建设任务。</w:t>
      </w:r>
    </w:p>
    <w:p>
      <w:pPr>
        <w:pStyle w:val="8"/>
        <w:tabs>
          <w:tab w:val="left" w:pos="5400"/>
        </w:tabs>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（二）细化目标责任。</w:t>
      </w:r>
      <w:r>
        <w:rPr>
          <w:rFonts w:hint="eastAsia" w:ascii="Times New Roman" w:hAnsi="Times New Roman" w:eastAsia="仿宋_GB2312"/>
          <w:sz w:val="32"/>
          <w:szCs w:val="32"/>
        </w:rPr>
        <w:t>按照《安徽省健康县区》标准要求，按年度细化分解创建任务，明确工作标准和完成时限，把创建目标层层落实到各乡镇、有关部门，做到一级抓一级，层层有人抓，事事有人管。</w:t>
      </w:r>
      <w:r>
        <w:rPr>
          <w:rFonts w:hint="eastAsia" w:ascii="Times New Roman" w:hAnsi="Times New Roman" w:eastAsia="仿宋_GB2312" w:cs="宋体"/>
          <w:sz w:val="32"/>
          <w:szCs w:val="32"/>
        </w:rPr>
        <w:t>要加强各部门、各单位创建工作督导、指导，</w:t>
      </w:r>
      <w:r>
        <w:rPr>
          <w:rFonts w:hint="eastAsia" w:ascii="Times New Roman" w:hAnsi="Times New Roman" w:eastAsia="仿宋_GB2312"/>
          <w:sz w:val="32"/>
          <w:szCs w:val="32"/>
        </w:rPr>
        <w:t>开展阶段性的检查验收，力争达标一项，验收一项，巩固一项，发展一项。</w:t>
      </w:r>
      <w:r>
        <w:rPr>
          <w:rFonts w:hint="eastAsia" w:ascii="Times New Roman" w:hAnsi="Times New Roman" w:eastAsia="仿宋_GB2312" w:cs="宋体"/>
          <w:sz w:val="32"/>
          <w:szCs w:val="32"/>
        </w:rPr>
        <w:t>年度创建目标将列入县委、县政府对各部门、各单位的目标考核内容，强力推进目标责任的落实。</w:t>
      </w:r>
      <w:r>
        <w:rPr>
          <w:rFonts w:hint="eastAsia" w:ascii="Times New Roman" w:hAnsi="Times New Roman" w:eastAsia="仿宋_GB2312"/>
          <w:sz w:val="32"/>
          <w:szCs w:val="32"/>
        </w:rPr>
        <w:t>对完成任务好、工作成效大的单位给予表彰奖励；对工作不力，严重影响全县创建工作的责任单位进行通报批评，并严肃追究相关责任人的责任。</w:t>
      </w:r>
    </w:p>
    <w:p>
      <w:pPr>
        <w:pStyle w:val="8"/>
        <w:tabs>
          <w:tab w:val="left" w:pos="5400"/>
        </w:tabs>
        <w:spacing w:line="500" w:lineRule="exact"/>
        <w:ind w:firstLine="643" w:firstLineChars="200"/>
        <w:rPr>
          <w:rFonts w:ascii="Times New Roman" w:hAnsi="Times New Roman" w:eastAsia="仿宋_GB2312" w:cs="宋体"/>
          <w:spacing w:val="-2"/>
          <w:sz w:val="32"/>
          <w:szCs w:val="32"/>
        </w:rPr>
      </w:pPr>
      <w:r>
        <w:rPr>
          <w:rFonts w:hint="eastAsia" w:ascii="Times New Roman" w:hAnsi="Times New Roman" w:eastAsia="仿宋_GB2312"/>
          <w:b/>
          <w:sz w:val="32"/>
          <w:szCs w:val="32"/>
        </w:rPr>
        <w:t>（三）加大宣传力度。</w:t>
      </w:r>
      <w:r>
        <w:rPr>
          <w:rFonts w:hint="eastAsia" w:ascii="Times New Roman" w:hAnsi="Times New Roman" w:eastAsia="仿宋_GB2312"/>
          <w:sz w:val="32"/>
          <w:szCs w:val="32"/>
        </w:rPr>
        <w:t>在创建工作中，各新闻媒体要充分发挥作用，积极开展经常性的宣传报道，让广大人民群众充分理解创建工作的目的、意义和具体任务。全县每年要组织1-2次大型宣传活动，各主要公共场所、人口密集地带要设立户外广告宣传牌或利用户外电子屏幕开展健康教育宣传，各乡镇、村（社区）要充分发挥已有的健康教育宣传栏的主阵地作用，努力营造创建健康县区的良好氛围。</w:t>
      </w:r>
    </w:p>
    <w:p>
      <w:pPr>
        <w:tabs>
          <w:tab w:val="left" w:pos="5400"/>
        </w:tabs>
        <w:spacing w:line="500" w:lineRule="exact"/>
        <w:rPr>
          <w:rFonts w:eastAsia="仿宋_GB2312"/>
          <w:b/>
          <w:sz w:val="32"/>
          <w:szCs w:val="32"/>
        </w:rPr>
      </w:pPr>
    </w:p>
    <w:p>
      <w:pPr>
        <w:tabs>
          <w:tab w:val="left" w:pos="5400"/>
        </w:tabs>
        <w:spacing w:line="500" w:lineRule="exact"/>
        <w:ind w:firstLine="320" w:firstLineChars="100"/>
        <w:rPr>
          <w:rFonts w:eastAsia="仿宋_GB2312"/>
          <w:sz w:val="32"/>
          <w:szCs w:val="32"/>
        </w:rPr>
      </w:pPr>
      <w:r>
        <w:rPr>
          <w:rFonts w:hint="eastAsia" w:eastAsia="仿宋_GB2312"/>
          <w:sz w:val="32"/>
          <w:szCs w:val="32"/>
        </w:rPr>
        <w:t>附件</w:t>
      </w:r>
      <w:r>
        <w:rPr>
          <w:rFonts w:hint="eastAsia" w:eastAsia="仿宋_GB2312"/>
          <w:b/>
          <w:sz w:val="32"/>
          <w:szCs w:val="32"/>
        </w:rPr>
        <w:t xml:space="preserve"> </w:t>
      </w:r>
      <w:r>
        <w:rPr>
          <w:rFonts w:hint="eastAsia" w:eastAsia="仿宋_GB2312"/>
          <w:sz w:val="32"/>
          <w:szCs w:val="32"/>
        </w:rPr>
        <w:t>1.凤台县健康促进委员会名单</w:t>
      </w:r>
    </w:p>
    <w:p>
      <w:pPr>
        <w:tabs>
          <w:tab w:val="left" w:pos="5400"/>
        </w:tabs>
        <w:spacing w:line="500" w:lineRule="exact"/>
        <w:ind w:firstLine="1120" w:firstLineChars="350"/>
        <w:rPr>
          <w:rFonts w:eastAsia="仿宋_GB2312"/>
          <w:sz w:val="32"/>
          <w:szCs w:val="32"/>
        </w:rPr>
      </w:pPr>
      <w:r>
        <w:rPr>
          <w:rFonts w:hint="eastAsia" w:eastAsia="仿宋_GB2312"/>
          <w:sz w:val="32"/>
          <w:szCs w:val="32"/>
        </w:rPr>
        <w:t>2.各成员单位职责分工</w:t>
      </w:r>
    </w:p>
    <w:p>
      <w:pPr>
        <w:tabs>
          <w:tab w:val="left" w:pos="5400"/>
        </w:tabs>
        <w:spacing w:line="500" w:lineRule="exact"/>
        <w:ind w:firstLine="1120" w:firstLineChars="350"/>
        <w:rPr>
          <w:rFonts w:eastAsia="仿宋_GB2312" w:cs="宋体"/>
          <w:kern w:val="0"/>
          <w:sz w:val="32"/>
          <w:szCs w:val="32"/>
        </w:rPr>
      </w:pPr>
      <w:r>
        <w:rPr>
          <w:rFonts w:hint="eastAsia" w:eastAsia="仿宋_GB2312"/>
          <w:sz w:val="32"/>
          <w:szCs w:val="32"/>
        </w:rPr>
        <w:t>3.健康乡镇</w:t>
      </w:r>
      <w:r>
        <w:rPr>
          <w:rFonts w:hint="eastAsia" w:eastAsia="仿宋_GB2312" w:cs="宋体"/>
          <w:kern w:val="0"/>
          <w:sz w:val="32"/>
          <w:szCs w:val="32"/>
        </w:rPr>
        <w:t>/健康社区/健康村评价标准﹙试行﹚</w:t>
      </w:r>
    </w:p>
    <w:p>
      <w:pPr>
        <w:tabs>
          <w:tab w:val="left" w:pos="5400"/>
        </w:tabs>
        <w:spacing w:line="500" w:lineRule="exact"/>
        <w:ind w:firstLine="1120" w:firstLineChars="350"/>
        <w:rPr>
          <w:rFonts w:eastAsia="仿宋_GB2312" w:cs="宋体"/>
          <w:kern w:val="0"/>
          <w:sz w:val="32"/>
          <w:szCs w:val="32"/>
        </w:rPr>
      </w:pPr>
      <w:r>
        <w:rPr>
          <w:rFonts w:hint="eastAsia" w:eastAsia="仿宋_GB2312"/>
          <w:sz w:val="32"/>
          <w:szCs w:val="32"/>
        </w:rPr>
        <w:t>4.</w:t>
      </w:r>
      <w:r>
        <w:rPr>
          <w:rFonts w:hint="eastAsia" w:eastAsia="仿宋_GB2312" w:cs="宋体"/>
          <w:kern w:val="0"/>
          <w:sz w:val="32"/>
          <w:szCs w:val="32"/>
        </w:rPr>
        <w:t>健康家庭评价标准﹙试行﹚</w:t>
      </w:r>
    </w:p>
    <w:p>
      <w:pPr>
        <w:tabs>
          <w:tab w:val="left" w:pos="5400"/>
        </w:tabs>
        <w:spacing w:line="500" w:lineRule="exact"/>
        <w:ind w:firstLine="1120" w:firstLineChars="350"/>
        <w:rPr>
          <w:rFonts w:eastAsia="仿宋_GB2312" w:cs="宋体"/>
          <w:kern w:val="0"/>
          <w:sz w:val="32"/>
          <w:szCs w:val="32"/>
        </w:rPr>
      </w:pPr>
      <w:r>
        <w:rPr>
          <w:rFonts w:hint="eastAsia" w:eastAsia="仿宋_GB2312"/>
          <w:sz w:val="32"/>
          <w:szCs w:val="32"/>
        </w:rPr>
        <w:t>5.</w:t>
      </w:r>
      <w:r>
        <w:rPr>
          <w:rFonts w:hint="eastAsia" w:eastAsia="仿宋_GB2312" w:cs="宋体"/>
          <w:kern w:val="0"/>
          <w:sz w:val="32"/>
          <w:szCs w:val="32"/>
        </w:rPr>
        <w:t>健康学校评价标准﹙试行﹚</w:t>
      </w:r>
    </w:p>
    <w:p>
      <w:pPr>
        <w:tabs>
          <w:tab w:val="left" w:pos="5400"/>
        </w:tabs>
        <w:spacing w:line="500" w:lineRule="exact"/>
        <w:ind w:firstLine="1120" w:firstLineChars="350"/>
        <w:rPr>
          <w:rFonts w:eastAsia="仿宋_GB2312" w:cs="宋体"/>
          <w:kern w:val="0"/>
          <w:sz w:val="32"/>
          <w:szCs w:val="32"/>
        </w:rPr>
      </w:pPr>
      <w:r>
        <w:rPr>
          <w:rFonts w:hint="eastAsia" w:eastAsia="仿宋_GB2312"/>
          <w:sz w:val="32"/>
          <w:szCs w:val="32"/>
        </w:rPr>
        <w:t>6.</w:t>
      </w:r>
      <w:r>
        <w:rPr>
          <w:rFonts w:hint="eastAsia" w:eastAsia="仿宋_GB2312" w:cs="宋体"/>
          <w:kern w:val="0"/>
          <w:sz w:val="32"/>
          <w:szCs w:val="32"/>
        </w:rPr>
        <w:t>健康机关评价标准﹙试行﹚</w:t>
      </w:r>
    </w:p>
    <w:p>
      <w:pPr>
        <w:tabs>
          <w:tab w:val="left" w:pos="5400"/>
        </w:tabs>
        <w:spacing w:line="500" w:lineRule="exact"/>
        <w:ind w:firstLine="1120" w:firstLineChars="350"/>
        <w:rPr>
          <w:rFonts w:eastAsia="仿宋_GB2312" w:cs="宋体"/>
          <w:kern w:val="0"/>
          <w:sz w:val="32"/>
          <w:szCs w:val="32"/>
        </w:rPr>
      </w:pPr>
      <w:r>
        <w:rPr>
          <w:rFonts w:hint="eastAsia" w:eastAsia="仿宋_GB2312"/>
          <w:sz w:val="32"/>
          <w:szCs w:val="32"/>
        </w:rPr>
        <w:t>7.</w:t>
      </w:r>
      <w:r>
        <w:rPr>
          <w:rFonts w:hint="eastAsia" w:eastAsia="仿宋_GB2312" w:cs="宋体"/>
          <w:kern w:val="0"/>
          <w:sz w:val="32"/>
          <w:szCs w:val="32"/>
        </w:rPr>
        <w:t>健康企业评价标准﹙试行﹚</w:t>
      </w:r>
    </w:p>
    <w:p>
      <w:pPr>
        <w:tabs>
          <w:tab w:val="left" w:pos="5400"/>
        </w:tabs>
        <w:spacing w:line="500" w:lineRule="exact"/>
        <w:ind w:firstLine="1120" w:firstLineChars="350"/>
        <w:rPr>
          <w:rFonts w:eastAsia="仿宋_GB2312" w:cs="宋体"/>
          <w:kern w:val="0"/>
          <w:sz w:val="32"/>
          <w:szCs w:val="32"/>
        </w:rPr>
      </w:pPr>
      <w:r>
        <w:rPr>
          <w:rFonts w:hint="eastAsia" w:eastAsia="仿宋_GB2312"/>
          <w:sz w:val="32"/>
          <w:szCs w:val="32"/>
        </w:rPr>
        <w:t>8.</w:t>
      </w:r>
      <w:r>
        <w:rPr>
          <w:rFonts w:hint="eastAsia" w:eastAsia="仿宋_GB2312" w:cs="宋体"/>
          <w:kern w:val="0"/>
          <w:sz w:val="32"/>
          <w:szCs w:val="32"/>
        </w:rPr>
        <w:t>健康促进医院评价标准﹙试行﹚</w:t>
      </w:r>
    </w:p>
    <w:p>
      <w:pPr>
        <w:tabs>
          <w:tab w:val="left" w:pos="5400"/>
        </w:tabs>
        <w:spacing w:line="500" w:lineRule="exact"/>
        <w:ind w:firstLine="1120" w:firstLineChars="350"/>
        <w:rPr>
          <w:rFonts w:eastAsia="仿宋_GB2312"/>
          <w:sz w:val="32"/>
          <w:szCs w:val="32"/>
        </w:rPr>
      </w:pPr>
      <w:r>
        <w:rPr>
          <w:rFonts w:hint="eastAsia" w:eastAsia="仿宋_GB2312"/>
          <w:sz w:val="32"/>
          <w:szCs w:val="32"/>
        </w:rPr>
        <w:t>9.无烟医疗机构评估标准评分表</w:t>
      </w:r>
    </w:p>
    <w:p>
      <w:pPr>
        <w:tabs>
          <w:tab w:val="left" w:pos="5400"/>
        </w:tabs>
        <w:spacing w:line="500" w:lineRule="exact"/>
        <w:ind w:firstLine="1120" w:firstLineChars="350"/>
        <w:rPr>
          <w:rFonts w:eastAsia="仿宋_GB2312"/>
          <w:sz w:val="32"/>
          <w:szCs w:val="32"/>
        </w:rPr>
      </w:pPr>
      <w:r>
        <w:rPr>
          <w:rFonts w:hint="eastAsia" w:eastAsia="仿宋_GB2312"/>
          <w:sz w:val="32"/>
          <w:szCs w:val="32"/>
        </w:rPr>
        <w:t>10.健康县区评估细则（查阅资料）</w:t>
      </w:r>
    </w:p>
    <w:p>
      <w:pPr>
        <w:tabs>
          <w:tab w:val="left" w:pos="5400"/>
        </w:tabs>
        <w:spacing w:line="500" w:lineRule="exact"/>
        <w:ind w:firstLine="1120" w:firstLineChars="350"/>
        <w:rPr>
          <w:rFonts w:eastAsia="仿宋_GB2312"/>
          <w:sz w:val="32"/>
          <w:szCs w:val="32"/>
        </w:rPr>
      </w:pPr>
      <w:r>
        <w:rPr>
          <w:rFonts w:hint="eastAsia" w:eastAsia="仿宋_GB2312"/>
          <w:sz w:val="32"/>
          <w:szCs w:val="32"/>
        </w:rPr>
        <w:t>11.健康县区评估细则（现场抽查）</w:t>
      </w:r>
    </w:p>
    <w:p>
      <w:pPr>
        <w:tabs>
          <w:tab w:val="left" w:pos="5400"/>
        </w:tabs>
        <w:spacing w:line="500" w:lineRule="exact"/>
        <w:ind w:firstLine="1120" w:firstLineChars="350"/>
        <w:rPr>
          <w:rFonts w:eastAsia="仿宋_GB2312"/>
          <w:sz w:val="32"/>
          <w:szCs w:val="32"/>
        </w:rPr>
      </w:pPr>
      <w:r>
        <w:rPr>
          <w:rFonts w:hint="eastAsia" w:eastAsia="仿宋_GB2312"/>
          <w:sz w:val="32"/>
          <w:szCs w:val="32"/>
        </w:rPr>
        <w:t>12.健康县区现场评估指标解释</w:t>
      </w:r>
    </w:p>
    <w:p>
      <w:pPr>
        <w:spacing w:line="500" w:lineRule="exact"/>
        <w:ind w:right="25" w:rightChars="12"/>
        <w:rPr>
          <w:rFonts w:eastAsia="仿宋_GB2312"/>
        </w:rPr>
        <w:sectPr>
          <w:footerReference r:id="rId3" w:type="default"/>
          <w:footerReference r:id="rId4" w:type="even"/>
          <w:pgSz w:w="11906" w:h="16838"/>
          <w:pgMar w:top="1701" w:right="1418" w:bottom="1531" w:left="1588" w:header="851" w:footer="851" w:gutter="0"/>
          <w:cols w:space="720" w:num="1"/>
          <w:docGrid w:type="lines" w:linePitch="312" w:charSpace="0"/>
        </w:sectPr>
      </w:pPr>
    </w:p>
    <w:p>
      <w:pPr>
        <w:spacing w:line="600" w:lineRule="exact"/>
        <w:ind w:right="25" w:rightChars="12"/>
        <w:rPr>
          <w:rFonts w:eastAsia="仿宋_GB2312"/>
          <w:sz w:val="32"/>
          <w:szCs w:val="32"/>
        </w:rPr>
      </w:pPr>
      <w:r>
        <w:rPr>
          <w:rFonts w:hint="eastAsia" w:eastAsia="仿宋_GB2312"/>
          <w:sz w:val="32"/>
          <w:szCs w:val="32"/>
        </w:rPr>
        <w:t>附件1</w:t>
      </w:r>
    </w:p>
    <w:p>
      <w:pPr>
        <w:spacing w:line="600" w:lineRule="exact"/>
        <w:ind w:right="25" w:rightChars="12"/>
        <w:jc w:val="center"/>
        <w:rPr>
          <w:rFonts w:eastAsia="仿宋_GB2312"/>
          <w:sz w:val="44"/>
          <w:szCs w:val="44"/>
        </w:rPr>
      </w:pPr>
    </w:p>
    <w:p>
      <w:pPr>
        <w:spacing w:line="600" w:lineRule="exact"/>
        <w:ind w:right="25" w:rightChars="12"/>
        <w:jc w:val="center"/>
        <w:rPr>
          <w:rFonts w:eastAsia="仿宋_GB2312"/>
          <w:sz w:val="44"/>
          <w:szCs w:val="44"/>
        </w:rPr>
      </w:pPr>
      <w:r>
        <w:rPr>
          <w:rFonts w:hint="eastAsia" w:eastAsia="仿宋_GB2312"/>
          <w:sz w:val="44"/>
          <w:szCs w:val="44"/>
        </w:rPr>
        <w:t>凤台县健康县区建设委员会名单</w:t>
      </w:r>
    </w:p>
    <w:p>
      <w:pPr>
        <w:spacing w:line="600" w:lineRule="exact"/>
        <w:ind w:right="25" w:rightChars="12"/>
        <w:rPr>
          <w:rFonts w:eastAsia="仿宋_GB2312"/>
          <w:b/>
          <w:sz w:val="36"/>
          <w:szCs w:val="36"/>
        </w:rPr>
      </w:pPr>
    </w:p>
    <w:p>
      <w:pPr>
        <w:spacing w:line="580" w:lineRule="exact"/>
        <w:ind w:firstLine="645"/>
        <w:rPr>
          <w:rFonts w:eastAsia="仿宋_GB2312"/>
          <w:sz w:val="32"/>
          <w:szCs w:val="32"/>
        </w:rPr>
      </w:pPr>
      <w:r>
        <w:rPr>
          <w:rFonts w:hint="eastAsia" w:eastAsia="仿宋_GB2312"/>
          <w:b/>
          <w:sz w:val="32"/>
          <w:szCs w:val="32"/>
        </w:rPr>
        <w:t>主  任</w:t>
      </w:r>
      <w:r>
        <w:rPr>
          <w:rFonts w:hint="eastAsia" w:eastAsia="仿宋_GB2312"/>
          <w:sz w:val="32"/>
          <w:szCs w:val="32"/>
        </w:rPr>
        <w:t>：李大庆  县政府县长</w:t>
      </w:r>
    </w:p>
    <w:p>
      <w:pPr>
        <w:spacing w:line="580" w:lineRule="exact"/>
        <w:ind w:firstLine="645"/>
        <w:rPr>
          <w:rFonts w:eastAsia="仿宋_GB2312"/>
          <w:sz w:val="32"/>
          <w:szCs w:val="32"/>
        </w:rPr>
      </w:pPr>
      <w:r>
        <w:rPr>
          <w:rFonts w:hint="eastAsia" w:eastAsia="仿宋_GB2312"/>
          <w:b/>
          <w:sz w:val="32"/>
          <w:szCs w:val="32"/>
        </w:rPr>
        <w:t>副主任</w:t>
      </w:r>
      <w:r>
        <w:rPr>
          <w:rFonts w:hint="eastAsia" w:eastAsia="仿宋_GB2312"/>
          <w:sz w:val="32"/>
          <w:szCs w:val="32"/>
        </w:rPr>
        <w:t>：廖  欣  县政府副县长</w:t>
      </w:r>
    </w:p>
    <w:p>
      <w:pPr>
        <w:spacing w:line="580" w:lineRule="exact"/>
        <w:ind w:firstLine="645"/>
        <w:rPr>
          <w:rFonts w:eastAsia="仿宋_GB2312"/>
          <w:sz w:val="32"/>
          <w:szCs w:val="32"/>
        </w:rPr>
      </w:pPr>
      <w:r>
        <w:rPr>
          <w:rFonts w:hint="eastAsia" w:eastAsia="仿宋_GB2312"/>
          <w:b/>
          <w:sz w:val="32"/>
          <w:szCs w:val="32"/>
        </w:rPr>
        <w:t xml:space="preserve">委  员: </w:t>
      </w:r>
      <w:r>
        <w:rPr>
          <w:rFonts w:hint="eastAsia" w:eastAsia="仿宋_GB2312"/>
          <w:sz w:val="32"/>
          <w:szCs w:val="32"/>
        </w:rPr>
        <w:t>管占勇  县政协副主席、县住房和城乡建设局局长</w:t>
      </w:r>
    </w:p>
    <w:p>
      <w:pPr>
        <w:spacing w:line="580" w:lineRule="exact"/>
        <w:ind w:firstLine="1923" w:firstLineChars="601"/>
        <w:rPr>
          <w:rFonts w:eastAsia="仿宋_GB2312"/>
          <w:sz w:val="32"/>
          <w:szCs w:val="32"/>
        </w:rPr>
      </w:pPr>
      <w:r>
        <w:rPr>
          <w:rFonts w:hint="eastAsia" w:eastAsia="仿宋_GB2312"/>
          <w:sz w:val="32"/>
          <w:szCs w:val="32"/>
        </w:rPr>
        <w:t>黄  光  县政府办公室主任</w:t>
      </w:r>
    </w:p>
    <w:p>
      <w:pPr>
        <w:spacing w:line="580" w:lineRule="exact"/>
        <w:ind w:firstLine="1920" w:firstLineChars="600"/>
        <w:rPr>
          <w:rFonts w:eastAsia="仿宋_GB2312"/>
          <w:sz w:val="32"/>
          <w:szCs w:val="32"/>
          <w:highlight w:val="yellow"/>
        </w:rPr>
      </w:pPr>
      <w:r>
        <w:rPr>
          <w:rFonts w:hint="eastAsia" w:eastAsia="仿宋_GB2312"/>
          <w:sz w:val="32"/>
          <w:szCs w:val="32"/>
        </w:rPr>
        <w:t>刘高伦  县经济和信息化局</w:t>
      </w:r>
    </w:p>
    <w:p>
      <w:pPr>
        <w:spacing w:line="580" w:lineRule="exact"/>
        <w:ind w:firstLine="645"/>
        <w:rPr>
          <w:rFonts w:eastAsia="仿宋_GB2312"/>
          <w:sz w:val="32"/>
          <w:szCs w:val="32"/>
        </w:rPr>
      </w:pPr>
      <w:r>
        <w:rPr>
          <w:rFonts w:hint="eastAsia" w:eastAsia="仿宋_GB2312"/>
          <w:sz w:val="32"/>
          <w:szCs w:val="32"/>
        </w:rPr>
        <w:t xml:space="preserve">        高久甜  县委宣传部副部长</w:t>
      </w:r>
    </w:p>
    <w:p>
      <w:pPr>
        <w:spacing w:line="580" w:lineRule="exact"/>
        <w:ind w:firstLine="645"/>
        <w:rPr>
          <w:rFonts w:eastAsia="仿宋_GB2312"/>
          <w:sz w:val="32"/>
          <w:szCs w:val="32"/>
        </w:rPr>
      </w:pPr>
      <w:r>
        <w:rPr>
          <w:rFonts w:hint="eastAsia" w:eastAsia="仿宋_GB2312"/>
          <w:sz w:val="32"/>
          <w:szCs w:val="32"/>
        </w:rPr>
        <w:t xml:space="preserve">        高  松  县发展和改革委员会主任</w:t>
      </w:r>
    </w:p>
    <w:p>
      <w:pPr>
        <w:spacing w:line="580" w:lineRule="exact"/>
        <w:ind w:firstLine="645"/>
        <w:rPr>
          <w:rFonts w:eastAsia="仿宋_GB2312"/>
          <w:sz w:val="32"/>
          <w:szCs w:val="32"/>
        </w:rPr>
      </w:pPr>
      <w:r>
        <w:rPr>
          <w:rFonts w:hint="eastAsia" w:eastAsia="仿宋_GB2312"/>
          <w:sz w:val="32"/>
          <w:szCs w:val="32"/>
        </w:rPr>
        <w:t xml:space="preserve">        李  志  县生态环境分局局长</w:t>
      </w:r>
    </w:p>
    <w:p>
      <w:pPr>
        <w:spacing w:line="580" w:lineRule="exact"/>
        <w:ind w:firstLine="645"/>
        <w:rPr>
          <w:rFonts w:eastAsia="仿宋_GB2312"/>
          <w:sz w:val="32"/>
          <w:szCs w:val="32"/>
        </w:rPr>
      </w:pPr>
      <w:r>
        <w:rPr>
          <w:rFonts w:hint="eastAsia" w:eastAsia="仿宋_GB2312"/>
          <w:sz w:val="32"/>
          <w:szCs w:val="32"/>
        </w:rPr>
        <w:t xml:space="preserve">        陈  锐  县自然资源和规划局局长</w:t>
      </w:r>
    </w:p>
    <w:p>
      <w:pPr>
        <w:spacing w:line="580" w:lineRule="exact"/>
        <w:ind w:firstLine="645"/>
        <w:rPr>
          <w:rFonts w:eastAsia="仿宋_GB2312"/>
          <w:sz w:val="32"/>
          <w:szCs w:val="32"/>
        </w:rPr>
      </w:pPr>
      <w:r>
        <w:rPr>
          <w:rFonts w:hint="eastAsia" w:eastAsia="仿宋_GB2312"/>
          <w:sz w:val="32"/>
          <w:szCs w:val="32"/>
        </w:rPr>
        <w:t xml:space="preserve">        高友柱  县教育局局长</w:t>
      </w:r>
    </w:p>
    <w:p>
      <w:pPr>
        <w:spacing w:line="580" w:lineRule="exact"/>
        <w:ind w:firstLine="645"/>
        <w:rPr>
          <w:rFonts w:eastAsia="仿宋_GB2312"/>
          <w:sz w:val="32"/>
          <w:szCs w:val="32"/>
        </w:rPr>
      </w:pPr>
      <w:r>
        <w:rPr>
          <w:rFonts w:hint="eastAsia" w:eastAsia="仿宋_GB2312"/>
          <w:sz w:val="32"/>
          <w:szCs w:val="32"/>
        </w:rPr>
        <w:t xml:space="preserve">        张  波</w:t>
      </w:r>
      <w:r>
        <w:rPr>
          <w:rFonts w:hint="eastAsia" w:eastAsia="仿宋_GB2312"/>
          <w:color w:val="0000FF"/>
          <w:sz w:val="32"/>
          <w:szCs w:val="32"/>
        </w:rPr>
        <w:t xml:space="preserve">  </w:t>
      </w:r>
      <w:r>
        <w:rPr>
          <w:rFonts w:hint="eastAsia" w:eastAsia="仿宋_GB2312"/>
          <w:sz w:val="32"/>
          <w:szCs w:val="32"/>
        </w:rPr>
        <w:t>县统计局局长</w:t>
      </w:r>
    </w:p>
    <w:p>
      <w:pPr>
        <w:spacing w:line="580" w:lineRule="exact"/>
        <w:ind w:firstLine="645"/>
        <w:rPr>
          <w:rFonts w:eastAsia="仿宋_GB2312"/>
          <w:sz w:val="32"/>
          <w:szCs w:val="32"/>
        </w:rPr>
      </w:pPr>
      <w:r>
        <w:rPr>
          <w:rFonts w:hint="eastAsia" w:eastAsia="仿宋_GB2312"/>
          <w:sz w:val="32"/>
          <w:szCs w:val="32"/>
        </w:rPr>
        <w:t xml:space="preserve">        李  伟  县医保局局长</w:t>
      </w:r>
    </w:p>
    <w:p>
      <w:pPr>
        <w:spacing w:line="580" w:lineRule="exact"/>
        <w:ind w:firstLine="645"/>
        <w:rPr>
          <w:rFonts w:eastAsia="仿宋_GB2312"/>
          <w:sz w:val="32"/>
          <w:szCs w:val="32"/>
        </w:rPr>
      </w:pPr>
      <w:r>
        <w:rPr>
          <w:rFonts w:hint="eastAsia" w:eastAsia="仿宋_GB2312"/>
          <w:sz w:val="32"/>
          <w:szCs w:val="32"/>
        </w:rPr>
        <w:t xml:space="preserve">        梁  栋  县人力资源和社会保障局局长</w:t>
      </w:r>
    </w:p>
    <w:p>
      <w:pPr>
        <w:spacing w:line="580" w:lineRule="exact"/>
        <w:ind w:firstLine="645"/>
        <w:rPr>
          <w:rFonts w:eastAsia="仿宋_GB2312"/>
          <w:sz w:val="32"/>
          <w:szCs w:val="32"/>
        </w:rPr>
      </w:pPr>
      <w:r>
        <w:rPr>
          <w:rFonts w:hint="eastAsia" w:eastAsia="仿宋_GB2312"/>
          <w:sz w:val="32"/>
          <w:szCs w:val="32"/>
        </w:rPr>
        <w:t xml:space="preserve">        孙志会  县公安局副局长</w:t>
      </w:r>
    </w:p>
    <w:p>
      <w:pPr>
        <w:spacing w:line="580" w:lineRule="exact"/>
        <w:ind w:firstLine="645"/>
        <w:rPr>
          <w:rFonts w:eastAsia="仿宋_GB2312"/>
          <w:sz w:val="32"/>
          <w:szCs w:val="32"/>
        </w:rPr>
      </w:pPr>
      <w:r>
        <w:rPr>
          <w:rFonts w:hint="eastAsia" w:eastAsia="仿宋_GB2312"/>
          <w:sz w:val="32"/>
          <w:szCs w:val="32"/>
        </w:rPr>
        <w:t xml:space="preserve">        左  辉  县司法局局长</w:t>
      </w:r>
    </w:p>
    <w:p>
      <w:pPr>
        <w:spacing w:line="580" w:lineRule="exact"/>
        <w:ind w:firstLine="645"/>
        <w:rPr>
          <w:rFonts w:eastAsia="仿宋_GB2312"/>
          <w:sz w:val="32"/>
          <w:szCs w:val="32"/>
        </w:rPr>
      </w:pPr>
      <w:r>
        <w:rPr>
          <w:rFonts w:hint="eastAsia" w:eastAsia="仿宋_GB2312"/>
          <w:sz w:val="32"/>
          <w:szCs w:val="32"/>
        </w:rPr>
        <w:t xml:space="preserve">        吕  辉  县文化旅游体育局局长</w:t>
      </w:r>
    </w:p>
    <w:p>
      <w:pPr>
        <w:spacing w:line="580" w:lineRule="exact"/>
        <w:ind w:firstLine="645"/>
        <w:rPr>
          <w:rFonts w:eastAsia="仿宋_GB2312"/>
          <w:sz w:val="32"/>
          <w:szCs w:val="32"/>
        </w:rPr>
      </w:pPr>
      <w:r>
        <w:rPr>
          <w:rFonts w:hint="eastAsia" w:eastAsia="仿宋_GB2312"/>
          <w:sz w:val="32"/>
          <w:szCs w:val="32"/>
        </w:rPr>
        <w:t xml:space="preserve">        范金忠  县科技局局长</w:t>
      </w:r>
    </w:p>
    <w:p>
      <w:pPr>
        <w:spacing w:line="580" w:lineRule="exact"/>
        <w:ind w:firstLine="645"/>
        <w:rPr>
          <w:rFonts w:eastAsia="仿宋_GB2312"/>
          <w:sz w:val="32"/>
          <w:szCs w:val="32"/>
        </w:rPr>
      </w:pPr>
      <w:r>
        <w:rPr>
          <w:rFonts w:hint="eastAsia" w:eastAsia="仿宋_GB2312"/>
          <w:sz w:val="32"/>
          <w:szCs w:val="32"/>
        </w:rPr>
        <w:t xml:space="preserve">        王德林  县市场监督管理局局长</w:t>
      </w:r>
    </w:p>
    <w:p>
      <w:pPr>
        <w:spacing w:line="580" w:lineRule="exact"/>
        <w:ind w:firstLine="1923" w:firstLineChars="601"/>
        <w:rPr>
          <w:rFonts w:eastAsia="仿宋_GB2312"/>
          <w:sz w:val="32"/>
          <w:szCs w:val="32"/>
        </w:rPr>
      </w:pPr>
      <w:r>
        <w:rPr>
          <w:rFonts w:hint="eastAsia" w:eastAsia="仿宋_GB2312"/>
          <w:sz w:val="32"/>
          <w:szCs w:val="32"/>
        </w:rPr>
        <w:t>张  磊  县农业农村局局长</w:t>
      </w:r>
    </w:p>
    <w:p>
      <w:pPr>
        <w:spacing w:line="580" w:lineRule="exact"/>
        <w:ind w:firstLine="1920" w:firstLineChars="600"/>
        <w:rPr>
          <w:rFonts w:eastAsia="仿宋_GB2312"/>
          <w:sz w:val="32"/>
          <w:szCs w:val="32"/>
        </w:rPr>
      </w:pPr>
      <w:r>
        <w:rPr>
          <w:rFonts w:hint="eastAsia" w:eastAsia="仿宋_GB2312"/>
          <w:sz w:val="32"/>
          <w:szCs w:val="32"/>
        </w:rPr>
        <w:t>孙友虎  县融媒体中心主任</w:t>
      </w:r>
    </w:p>
    <w:p>
      <w:pPr>
        <w:spacing w:line="580" w:lineRule="exact"/>
        <w:ind w:firstLine="645"/>
        <w:rPr>
          <w:rFonts w:eastAsia="仿宋_GB2312"/>
          <w:sz w:val="32"/>
          <w:szCs w:val="32"/>
        </w:rPr>
      </w:pPr>
      <w:r>
        <w:rPr>
          <w:rFonts w:hint="eastAsia" w:eastAsia="仿宋_GB2312"/>
          <w:sz w:val="32"/>
          <w:szCs w:val="32"/>
        </w:rPr>
        <w:t xml:space="preserve">        刘  松  县财政局局长</w:t>
      </w:r>
    </w:p>
    <w:p>
      <w:pPr>
        <w:spacing w:line="580" w:lineRule="exact"/>
        <w:ind w:firstLine="645"/>
        <w:rPr>
          <w:rFonts w:eastAsia="仿宋_GB2312"/>
          <w:sz w:val="32"/>
          <w:szCs w:val="32"/>
        </w:rPr>
      </w:pPr>
      <w:r>
        <w:rPr>
          <w:rFonts w:hint="eastAsia" w:eastAsia="仿宋_GB2312"/>
          <w:sz w:val="32"/>
          <w:szCs w:val="32"/>
        </w:rPr>
        <w:t xml:space="preserve">        宋维玉  县民政局局长</w:t>
      </w:r>
    </w:p>
    <w:p>
      <w:pPr>
        <w:spacing w:line="580" w:lineRule="exact"/>
        <w:ind w:firstLine="645"/>
        <w:rPr>
          <w:rFonts w:eastAsia="仿宋_GB2312"/>
          <w:sz w:val="32"/>
          <w:szCs w:val="32"/>
        </w:rPr>
      </w:pPr>
      <w:r>
        <w:rPr>
          <w:rFonts w:hint="eastAsia" w:eastAsia="仿宋_GB2312"/>
          <w:sz w:val="32"/>
          <w:szCs w:val="32"/>
        </w:rPr>
        <w:t xml:space="preserve">        郭士春  县卫生健康委员会主任</w:t>
      </w:r>
    </w:p>
    <w:p>
      <w:pPr>
        <w:spacing w:line="580" w:lineRule="exact"/>
        <w:ind w:firstLine="645"/>
        <w:rPr>
          <w:rFonts w:eastAsia="仿宋_GB2312"/>
          <w:sz w:val="32"/>
          <w:szCs w:val="32"/>
        </w:rPr>
      </w:pPr>
      <w:r>
        <w:rPr>
          <w:rFonts w:hint="eastAsia" w:eastAsia="仿宋_GB2312"/>
          <w:sz w:val="32"/>
          <w:szCs w:val="32"/>
        </w:rPr>
        <w:t xml:space="preserve">        张厚金  县交通局局长</w:t>
      </w:r>
    </w:p>
    <w:p>
      <w:pPr>
        <w:spacing w:line="540" w:lineRule="exact"/>
        <w:ind w:firstLine="1920" w:firstLineChars="600"/>
        <w:rPr>
          <w:rFonts w:eastAsia="仿宋_GB2312"/>
          <w:sz w:val="32"/>
          <w:szCs w:val="32"/>
        </w:rPr>
      </w:pPr>
      <w:r>
        <w:rPr>
          <w:rFonts w:hint="eastAsia" w:eastAsia="仿宋_GB2312"/>
          <w:sz w:val="32"/>
          <w:szCs w:val="32"/>
        </w:rPr>
        <w:t>梁仁军  县应急管理局局长</w:t>
      </w:r>
    </w:p>
    <w:p>
      <w:pPr>
        <w:spacing w:line="540" w:lineRule="exact"/>
        <w:ind w:firstLine="1920" w:firstLineChars="600"/>
        <w:rPr>
          <w:rFonts w:eastAsia="仿宋_GB2312"/>
          <w:sz w:val="32"/>
          <w:szCs w:val="32"/>
        </w:rPr>
      </w:pPr>
      <w:r>
        <w:rPr>
          <w:rFonts w:hint="eastAsia" w:eastAsia="仿宋_GB2312"/>
          <w:sz w:val="32"/>
          <w:szCs w:val="32"/>
        </w:rPr>
        <w:t>孙桂全  县城市管理行政执法局局长</w:t>
      </w:r>
    </w:p>
    <w:p>
      <w:pPr>
        <w:spacing w:line="540" w:lineRule="exact"/>
        <w:ind w:firstLine="1920" w:firstLineChars="600"/>
        <w:rPr>
          <w:rFonts w:eastAsia="仿宋_GB2312"/>
          <w:sz w:val="32"/>
          <w:szCs w:val="32"/>
        </w:rPr>
      </w:pPr>
      <w:r>
        <w:rPr>
          <w:rFonts w:hint="eastAsia" w:eastAsia="仿宋_GB2312"/>
          <w:sz w:val="32"/>
          <w:szCs w:val="32"/>
        </w:rPr>
        <w:t xml:space="preserve">王冬元  城关镇党委书记、镇长 </w:t>
      </w:r>
    </w:p>
    <w:p>
      <w:pPr>
        <w:spacing w:line="540" w:lineRule="exact"/>
        <w:ind w:firstLine="1920" w:firstLineChars="600"/>
        <w:rPr>
          <w:rFonts w:eastAsia="仿宋_GB2312"/>
          <w:sz w:val="32"/>
          <w:szCs w:val="32"/>
        </w:rPr>
      </w:pPr>
      <w:r>
        <w:rPr>
          <w:rFonts w:hint="eastAsia" w:eastAsia="仿宋_GB2312"/>
          <w:sz w:val="32"/>
          <w:szCs w:val="32"/>
        </w:rPr>
        <w:t>刘  永  刘集镇镇长</w:t>
      </w:r>
    </w:p>
    <w:p>
      <w:pPr>
        <w:spacing w:line="540" w:lineRule="exact"/>
        <w:ind w:firstLine="1920" w:firstLineChars="600"/>
        <w:rPr>
          <w:rFonts w:eastAsia="仿宋_GB2312"/>
          <w:sz w:val="32"/>
          <w:szCs w:val="32"/>
        </w:rPr>
      </w:pPr>
      <w:r>
        <w:rPr>
          <w:rFonts w:hint="eastAsia" w:eastAsia="仿宋_GB2312"/>
          <w:sz w:val="32"/>
          <w:szCs w:val="32"/>
        </w:rPr>
        <w:t>孙  涛  桂集镇镇长</w:t>
      </w:r>
    </w:p>
    <w:p>
      <w:pPr>
        <w:spacing w:line="540" w:lineRule="exact"/>
        <w:ind w:firstLine="1920" w:firstLineChars="600"/>
        <w:rPr>
          <w:rFonts w:eastAsia="仿宋_GB2312"/>
          <w:sz w:val="32"/>
          <w:szCs w:val="32"/>
        </w:rPr>
      </w:pPr>
      <w:r>
        <w:rPr>
          <w:rFonts w:hint="eastAsia" w:eastAsia="仿宋_GB2312"/>
          <w:sz w:val="32"/>
          <w:szCs w:val="32"/>
        </w:rPr>
        <w:t>杨艳辉  顾桥镇镇长</w:t>
      </w:r>
    </w:p>
    <w:p>
      <w:pPr>
        <w:spacing w:line="540" w:lineRule="exact"/>
        <w:ind w:firstLine="1920" w:firstLineChars="600"/>
        <w:rPr>
          <w:rFonts w:eastAsia="仿宋_GB2312"/>
          <w:sz w:val="32"/>
          <w:szCs w:val="32"/>
        </w:rPr>
      </w:pPr>
      <w:r>
        <w:rPr>
          <w:rFonts w:hint="eastAsia" w:eastAsia="仿宋_GB2312"/>
          <w:sz w:val="32"/>
          <w:szCs w:val="32"/>
        </w:rPr>
        <w:t>童晓影  尚塘镇镇长</w:t>
      </w:r>
    </w:p>
    <w:p>
      <w:pPr>
        <w:spacing w:line="540" w:lineRule="exact"/>
        <w:ind w:firstLine="1920" w:firstLineChars="600"/>
        <w:rPr>
          <w:rFonts w:eastAsia="仿宋_GB2312"/>
          <w:sz w:val="32"/>
          <w:szCs w:val="32"/>
        </w:rPr>
      </w:pPr>
      <w:r>
        <w:rPr>
          <w:rFonts w:hint="eastAsia" w:eastAsia="仿宋_GB2312"/>
          <w:sz w:val="32"/>
          <w:szCs w:val="32"/>
        </w:rPr>
        <w:t>苏  朋  新集镇镇长</w:t>
      </w:r>
    </w:p>
    <w:p>
      <w:pPr>
        <w:spacing w:line="540" w:lineRule="exact"/>
        <w:ind w:firstLine="1920" w:firstLineChars="600"/>
        <w:rPr>
          <w:rFonts w:eastAsia="仿宋_GB2312"/>
          <w:sz w:val="32"/>
          <w:szCs w:val="32"/>
        </w:rPr>
      </w:pPr>
      <w:r>
        <w:rPr>
          <w:rFonts w:hint="eastAsia" w:eastAsia="仿宋_GB2312"/>
          <w:sz w:val="32"/>
          <w:szCs w:val="32"/>
        </w:rPr>
        <w:t>马  飞  丁集镇镇长</w:t>
      </w:r>
    </w:p>
    <w:p>
      <w:pPr>
        <w:spacing w:line="540" w:lineRule="exact"/>
        <w:ind w:firstLine="1920" w:firstLineChars="600"/>
        <w:rPr>
          <w:rFonts w:eastAsia="仿宋_GB2312"/>
          <w:sz w:val="32"/>
          <w:szCs w:val="32"/>
        </w:rPr>
      </w:pPr>
      <w:r>
        <w:rPr>
          <w:rFonts w:hint="eastAsia" w:eastAsia="仿宋_GB2312"/>
          <w:sz w:val="32"/>
          <w:szCs w:val="32"/>
        </w:rPr>
        <w:t>魏  午  大兴镇镇长</w:t>
      </w:r>
    </w:p>
    <w:p>
      <w:pPr>
        <w:spacing w:line="540" w:lineRule="exact"/>
        <w:ind w:firstLine="1920" w:firstLineChars="600"/>
        <w:rPr>
          <w:rFonts w:eastAsia="仿宋_GB2312"/>
          <w:sz w:val="32"/>
          <w:szCs w:val="32"/>
        </w:rPr>
      </w:pPr>
      <w:r>
        <w:rPr>
          <w:rFonts w:hint="eastAsia" w:eastAsia="仿宋_GB2312"/>
          <w:sz w:val="32"/>
          <w:szCs w:val="32"/>
        </w:rPr>
        <w:t>高志强  杨村镇镇长</w:t>
      </w:r>
    </w:p>
    <w:p>
      <w:pPr>
        <w:spacing w:line="540" w:lineRule="exact"/>
        <w:ind w:firstLine="1920" w:firstLineChars="600"/>
        <w:rPr>
          <w:rFonts w:eastAsia="仿宋_GB2312"/>
          <w:sz w:val="32"/>
          <w:szCs w:val="32"/>
        </w:rPr>
      </w:pPr>
      <w:r>
        <w:rPr>
          <w:rFonts w:hint="eastAsia" w:eastAsia="仿宋_GB2312"/>
          <w:sz w:val="32"/>
          <w:szCs w:val="32"/>
        </w:rPr>
        <w:t>刘  军  岳张集镇镇长</w:t>
      </w:r>
    </w:p>
    <w:p>
      <w:pPr>
        <w:spacing w:line="540" w:lineRule="exact"/>
        <w:ind w:firstLine="1920" w:firstLineChars="600"/>
        <w:rPr>
          <w:rFonts w:eastAsia="仿宋_GB2312"/>
          <w:sz w:val="32"/>
          <w:szCs w:val="32"/>
        </w:rPr>
      </w:pPr>
      <w:r>
        <w:rPr>
          <w:rFonts w:hint="eastAsia" w:eastAsia="仿宋_GB2312"/>
          <w:sz w:val="32"/>
          <w:szCs w:val="32"/>
        </w:rPr>
        <w:t>康  辉  钱庙乡乡长</w:t>
      </w:r>
    </w:p>
    <w:p>
      <w:pPr>
        <w:spacing w:line="540" w:lineRule="exact"/>
        <w:ind w:firstLine="1920" w:firstLineChars="600"/>
        <w:rPr>
          <w:rFonts w:eastAsia="仿宋_GB2312"/>
          <w:sz w:val="32"/>
          <w:szCs w:val="32"/>
        </w:rPr>
      </w:pPr>
      <w:r>
        <w:rPr>
          <w:rFonts w:hint="eastAsia" w:eastAsia="仿宋_GB2312"/>
          <w:sz w:val="32"/>
          <w:szCs w:val="32"/>
        </w:rPr>
        <w:t>李兰春  关店乡乡长</w:t>
      </w:r>
    </w:p>
    <w:p>
      <w:pPr>
        <w:spacing w:line="540" w:lineRule="exact"/>
        <w:ind w:firstLine="1920" w:firstLineChars="600"/>
        <w:rPr>
          <w:rFonts w:eastAsia="仿宋_GB2312"/>
          <w:sz w:val="32"/>
          <w:szCs w:val="32"/>
        </w:rPr>
      </w:pPr>
      <w:r>
        <w:rPr>
          <w:rFonts w:hint="eastAsia" w:eastAsia="仿宋_GB2312"/>
          <w:sz w:val="32"/>
          <w:szCs w:val="32"/>
        </w:rPr>
        <w:t>岳文广  古店乡乡长</w:t>
      </w:r>
    </w:p>
    <w:p>
      <w:pPr>
        <w:spacing w:line="540" w:lineRule="exact"/>
        <w:ind w:firstLine="1920" w:firstLineChars="600"/>
        <w:rPr>
          <w:rFonts w:eastAsia="仿宋_GB2312"/>
          <w:sz w:val="32"/>
          <w:szCs w:val="32"/>
        </w:rPr>
      </w:pPr>
      <w:r>
        <w:rPr>
          <w:rFonts w:hint="eastAsia" w:eastAsia="仿宋_GB2312"/>
          <w:sz w:val="32"/>
          <w:szCs w:val="32"/>
        </w:rPr>
        <w:t>闪景旭  李冲回族乡乡长</w:t>
      </w:r>
    </w:p>
    <w:p>
      <w:pPr>
        <w:spacing w:line="540" w:lineRule="exact"/>
        <w:ind w:firstLine="1920" w:firstLineChars="600"/>
        <w:rPr>
          <w:rFonts w:eastAsia="仿宋_GB2312"/>
          <w:sz w:val="32"/>
          <w:szCs w:val="32"/>
        </w:rPr>
      </w:pPr>
      <w:r>
        <w:rPr>
          <w:rFonts w:hint="eastAsia" w:eastAsia="仿宋_GB2312"/>
          <w:sz w:val="32"/>
          <w:szCs w:val="32"/>
        </w:rPr>
        <w:t>苏晓毛  凤凰镇党委副书记、副镇长</w:t>
      </w:r>
    </w:p>
    <w:p>
      <w:pPr>
        <w:spacing w:line="540" w:lineRule="exact"/>
        <w:ind w:firstLine="1920" w:firstLineChars="600"/>
        <w:rPr>
          <w:rFonts w:eastAsia="仿宋_GB2312"/>
          <w:sz w:val="24"/>
        </w:rPr>
      </w:pPr>
      <w:r>
        <w:rPr>
          <w:rFonts w:hint="eastAsia" w:eastAsia="仿宋_GB2312"/>
          <w:sz w:val="32"/>
          <w:szCs w:val="32"/>
        </w:rPr>
        <w:t>孙璐璐  朱马店镇党委副书记、副镇长</w:t>
      </w:r>
    </w:p>
    <w:p>
      <w:pPr>
        <w:spacing w:line="600" w:lineRule="exact"/>
        <w:ind w:right="-506" w:rightChars="-241" w:firstLine="1920" w:firstLineChars="600"/>
        <w:rPr>
          <w:rFonts w:eastAsia="仿宋_GB2312"/>
          <w:sz w:val="32"/>
          <w:szCs w:val="32"/>
        </w:rPr>
      </w:pPr>
      <w:r>
        <w:rPr>
          <w:rFonts w:hint="eastAsia" w:eastAsia="仿宋_GB2312"/>
          <w:sz w:val="32"/>
          <w:szCs w:val="32"/>
        </w:rPr>
        <w:t>郑兆刚  县疾病控预防中心主任</w:t>
      </w:r>
    </w:p>
    <w:p>
      <w:pPr>
        <w:spacing w:line="580" w:lineRule="exact"/>
        <w:ind w:firstLine="645"/>
        <w:rPr>
          <w:rFonts w:eastAsia="仿宋_GB2312"/>
          <w:sz w:val="32"/>
          <w:szCs w:val="32"/>
        </w:rPr>
      </w:pPr>
    </w:p>
    <w:p>
      <w:pPr>
        <w:spacing w:line="580" w:lineRule="exact"/>
        <w:ind w:firstLine="645"/>
        <w:rPr>
          <w:rFonts w:eastAsia="仿宋_GB2312" w:cs="宋体"/>
          <w:kern w:val="0"/>
          <w:sz w:val="32"/>
          <w:szCs w:val="32"/>
        </w:rPr>
      </w:pPr>
      <w:r>
        <w:rPr>
          <w:rFonts w:hint="eastAsia" w:eastAsia="仿宋_GB2312" w:cs="宋体"/>
          <w:kern w:val="0"/>
          <w:sz w:val="32"/>
          <w:szCs w:val="32"/>
        </w:rPr>
        <w:t>健康县区建设委员会负责组织拟定省级健康县区建设工作的政策措施，指导、协调、解决建设工作的重大问题，发布工作动态信息和推广建设典型经验。督促检查县直相关部门（单位）的文件方案落实和任务完成情况。</w:t>
      </w:r>
    </w:p>
    <w:p>
      <w:pPr>
        <w:widowControl/>
        <w:shd w:val="clear" w:color="auto" w:fill="FFFFFF"/>
        <w:spacing w:line="600" w:lineRule="exact"/>
        <w:ind w:firstLine="640" w:firstLineChars="200"/>
        <w:rPr>
          <w:rFonts w:eastAsia="仿宋_GB2312"/>
          <w:sz w:val="32"/>
          <w:szCs w:val="32"/>
        </w:rPr>
      </w:pPr>
      <w:r>
        <w:rPr>
          <w:rFonts w:hint="eastAsia" w:eastAsia="仿宋_GB2312" w:cs="宋体"/>
          <w:kern w:val="0"/>
          <w:sz w:val="32"/>
          <w:szCs w:val="32"/>
        </w:rPr>
        <w:t>委员会下设办公室，郭士春同志任办公室主任。委员会组成人员职务变动，相关工作由继任者履行，不再另行发文。</w:t>
      </w: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cs="宋体"/>
          <w:kern w:val="0"/>
          <w:sz w:val="32"/>
          <w:szCs w:val="32"/>
        </w:rPr>
      </w:pPr>
      <w:r>
        <w:rPr>
          <w:rFonts w:hint="eastAsia" w:eastAsia="仿宋_GB2312"/>
          <w:sz w:val="32"/>
          <w:szCs w:val="32"/>
        </w:rPr>
        <w:t>附件2</w:t>
      </w:r>
    </w:p>
    <w:p>
      <w:pPr>
        <w:widowControl/>
        <w:shd w:val="clear" w:color="auto" w:fill="FFFFFF"/>
        <w:spacing w:line="600" w:lineRule="exact"/>
        <w:jc w:val="center"/>
        <w:rPr>
          <w:rFonts w:eastAsia="仿宋_GB2312" w:cs="宋体"/>
          <w:spacing w:val="12"/>
          <w:kern w:val="0"/>
          <w:sz w:val="40"/>
          <w:szCs w:val="40"/>
        </w:rPr>
      </w:pPr>
    </w:p>
    <w:p>
      <w:pPr>
        <w:widowControl/>
        <w:shd w:val="clear" w:color="auto" w:fill="FFFFFF"/>
        <w:spacing w:line="600" w:lineRule="exact"/>
        <w:jc w:val="center"/>
        <w:rPr>
          <w:rFonts w:eastAsia="仿宋_GB2312" w:cs="宋体"/>
          <w:spacing w:val="12"/>
          <w:kern w:val="0"/>
          <w:sz w:val="40"/>
          <w:szCs w:val="40"/>
        </w:rPr>
      </w:pPr>
      <w:r>
        <w:rPr>
          <w:rFonts w:hint="eastAsia" w:eastAsia="仿宋_GB2312" w:cs="宋体"/>
          <w:spacing w:val="12"/>
          <w:kern w:val="0"/>
          <w:sz w:val="40"/>
          <w:szCs w:val="40"/>
        </w:rPr>
        <w:t>凤台县健康县区建设委员会各成员单位</w:t>
      </w:r>
    </w:p>
    <w:p>
      <w:pPr>
        <w:widowControl/>
        <w:shd w:val="clear" w:color="auto" w:fill="FFFFFF"/>
        <w:spacing w:line="600" w:lineRule="exact"/>
        <w:jc w:val="center"/>
        <w:rPr>
          <w:rFonts w:eastAsia="仿宋_GB2312" w:cs="宋体"/>
          <w:kern w:val="0"/>
          <w:sz w:val="27"/>
          <w:szCs w:val="27"/>
        </w:rPr>
      </w:pPr>
      <w:r>
        <w:rPr>
          <w:rFonts w:hint="eastAsia" w:eastAsia="仿宋_GB2312" w:cs="宋体"/>
          <w:spacing w:val="12"/>
          <w:kern w:val="0"/>
          <w:sz w:val="40"/>
          <w:szCs w:val="40"/>
        </w:rPr>
        <w:t>职责分工</w:t>
      </w:r>
    </w:p>
    <w:p>
      <w:pPr>
        <w:widowControl/>
        <w:shd w:val="clear" w:color="auto" w:fill="FFFFFF"/>
        <w:spacing w:line="560" w:lineRule="exact"/>
        <w:ind w:firstLine="643" w:firstLineChars="200"/>
        <w:jc w:val="left"/>
        <w:rPr>
          <w:rFonts w:eastAsia="仿宋_GB2312" w:cs="宋体"/>
          <w:b/>
          <w:kern w:val="0"/>
          <w:sz w:val="27"/>
          <w:szCs w:val="27"/>
        </w:rPr>
      </w:pPr>
      <w:r>
        <w:rPr>
          <w:rFonts w:hint="eastAsia" w:eastAsia="仿宋_GB2312" w:cs="宋体"/>
          <w:b/>
          <w:kern w:val="0"/>
          <w:sz w:val="32"/>
          <w:szCs w:val="32"/>
        </w:rPr>
        <w:t>一、县政府办</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1.县政府公开承诺开展健康县区建设，将健康县区建设纳入政府重点工作。</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2.制定健康县区发展规划，倡导“将健康融入所有政策”策略。</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3.领导协调机制，建立县政府主要负责人牵头、多部门参与的健康促进工作领导协调机制和办公室，明确部门职责，落实工作任务、组织督导。每半年召开1次协调会议，通报工作进展。</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4.督导落实健康机关建设。50%的机关和事业单位符合健康机关标准。</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二、县委宣传部</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每年组织2次以上媒体培训或媒体交流。包括电视、报纸、广播等传统媒体和网络、微博、微信等新媒体。媒体倡导内容包括宣传健康县区理念，宣传我县出台的促进居民健康的公共政策、开展的重点工作以及活动成效。</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三、县财政局</w:t>
      </w:r>
    </w:p>
    <w:p>
      <w:pPr>
        <w:widowControl/>
        <w:shd w:val="clear" w:color="auto" w:fill="FFFFFF"/>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将健康县区工作经费根据工作需要纳入政府预算予以支持。</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四、县卫生健康委员会</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1.鼓励探索创新型健康促进工作机制。全面落实各项重点工作，加强与各部门沟通协调，制定配套文件和实施方案。</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2.建立覆盖政府有关组成部门、社区（村）、医院、学校、机关、企业的健康促进工作网络，每单位有负责健康教育与健康促进工作的专（兼）职人员，成立健康促进网络工作人员队伍。每年至少接受1次工作培训和1次专业培训。</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3.建立健康促进专业人员队伍。探索健康教育专业人员人事分配和绩效考核体制。每半年至少接受1次工作培训和1次专业培训。</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4.开展社区诊断和需求评估，分析我县存在的主要健康问题，明确需要优先干预的问题和领域，制定适合经济社会发展和卫生健康能力的健康县区项目实施方案，明确解决重点健康问题的策略和措施。定期评价干预效果，根据实际需要调整优先领域。</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5.建立督导检查、考核评估的工作机制，定期了解试点工作效果。有关部门定期整理工作进展，总结有效做法和经验，形成工作报告。</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6.培训：每年至少举办3次多部门的培训活动；每年至少开展2次覆盖全县卫生健康机构的培训。每季度组织一次针对基层健康教育专业人员的培训，每年轮训一遍。</w:t>
      </w:r>
    </w:p>
    <w:p>
      <w:pPr>
        <w:widowControl/>
        <w:shd w:val="clear" w:color="auto" w:fill="FFFFFF"/>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7.提供健康促进技术指导。</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8.推进健康中国行、健康素养促进行动、基本公共卫生服务健康教育项目，建设健康促进医院。</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五、县教育局</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1.开展健康学校建设。</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2.学校无烟环境创建。</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3.开展教师、学生体育健身活动。</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六、县发展和改革委员会</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倡导“将健康融入所有政策”策略，加大对健康领域的规划和投资，将健康促进与教育纳入经济和社会发展规划。</w:t>
      </w:r>
    </w:p>
    <w:p>
      <w:pPr>
        <w:widowControl/>
        <w:shd w:val="clear" w:color="auto" w:fill="FFFFFF"/>
        <w:spacing w:line="560" w:lineRule="exact"/>
        <w:ind w:firstLine="643" w:firstLineChars="200"/>
        <w:jc w:val="left"/>
        <w:rPr>
          <w:rFonts w:eastAsia="仿宋_GB2312" w:cs="宋体"/>
          <w:kern w:val="0"/>
          <w:sz w:val="27"/>
          <w:szCs w:val="27"/>
        </w:rPr>
      </w:pPr>
      <w:r>
        <w:rPr>
          <w:rFonts w:hint="eastAsia" w:eastAsia="仿宋_GB2312" w:cs="宋体"/>
          <w:b/>
          <w:kern w:val="0"/>
          <w:sz w:val="32"/>
          <w:szCs w:val="32"/>
        </w:rPr>
        <w:t>七、县农业农村局</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负责将健康促进村建设工作融入美好乡村建设中。</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八、县文明创建指导中心</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县文明办将烟草控制纳入文明单位考核。</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九、县民政局</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对有健康困难的家庭开展适当的社会救助和社区帮扶。</w:t>
      </w:r>
    </w:p>
    <w:p>
      <w:pPr>
        <w:widowControl/>
        <w:numPr>
          <w:ilvl w:val="0"/>
          <w:numId w:val="1"/>
        </w:numPr>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自然资源和规划局</w:t>
      </w:r>
    </w:p>
    <w:p>
      <w:pPr>
        <w:widowControl/>
        <w:shd w:val="clear" w:color="auto" w:fill="FFFFFF"/>
        <w:spacing w:line="560" w:lineRule="exact"/>
        <w:ind w:firstLine="560" w:firstLineChars="200"/>
        <w:jc w:val="left"/>
        <w:rPr>
          <w:rFonts w:eastAsia="仿宋_GB2312" w:cs="宋体"/>
          <w:kern w:val="0"/>
          <w:sz w:val="32"/>
          <w:szCs w:val="32"/>
        </w:rPr>
      </w:pPr>
      <w:r>
        <w:rPr>
          <w:rFonts w:hint="eastAsia" w:eastAsia="仿宋_GB2312" w:cs="仿宋_GB2312"/>
          <w:color w:val="000000"/>
          <w:sz w:val="28"/>
          <w:szCs w:val="28"/>
        </w:rPr>
        <w:t>将健康元素融入城镇国土空间规划</w:t>
      </w:r>
      <w:r>
        <w:rPr>
          <w:rFonts w:hint="eastAsia" w:eastAsia="仿宋_GB2312" w:cs="宋体"/>
          <w:kern w:val="0"/>
          <w:sz w:val="32"/>
          <w:szCs w:val="32"/>
        </w:rPr>
        <w:t>。</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十一、县交通局</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1.落实交通工具全面禁止吸烟、车站公共场所禁止吸烟（设置吸烟区）。</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2.在车站、公交车、出租车张贴“创建省级健康县区”宣传栏。</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十二、县市场监督管理局</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1.负责协调各小餐饮店、药店进行科学饮食、科学就医、合理用药、控烟等健康促进宣传。</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2.确保食品安全指标达到国家级卫生县标准。</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十三、县城市管理行政执法局</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1.负责环境卫生达到国家级卫生县标准。</w:t>
      </w:r>
    </w:p>
    <w:p>
      <w:pPr>
        <w:widowControl/>
        <w:shd w:val="clear" w:color="auto" w:fill="FFFFFF"/>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2.负责落实广场等大型公共场所健康促进宣传工作。</w:t>
      </w:r>
    </w:p>
    <w:p>
      <w:pPr>
        <w:widowControl/>
        <w:shd w:val="clear" w:color="auto" w:fill="FFFFFF"/>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3.负责健康步道、健康主题公园建设。</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十四、县融媒体中心</w:t>
      </w:r>
    </w:p>
    <w:p>
      <w:pPr>
        <w:widowControl/>
        <w:shd w:val="clear" w:color="auto" w:fill="FFFFFF"/>
        <w:spacing w:line="560" w:lineRule="exact"/>
        <w:ind w:firstLine="640" w:firstLineChars="200"/>
        <w:jc w:val="left"/>
        <w:rPr>
          <w:rFonts w:eastAsia="仿宋_GB2312" w:cs="宋体"/>
          <w:color w:val="FF0000"/>
          <w:kern w:val="0"/>
          <w:sz w:val="32"/>
          <w:szCs w:val="32"/>
        </w:rPr>
      </w:pPr>
      <w:r>
        <w:rPr>
          <w:rFonts w:hint="eastAsia" w:eastAsia="仿宋_GB2312" w:cs="宋体"/>
          <w:kern w:val="0"/>
          <w:sz w:val="32"/>
          <w:szCs w:val="32"/>
        </w:rPr>
        <w:t>1.在电视、移动媒体和新媒体播放健康公益广告、传播健康教育核心信息。</w:t>
      </w:r>
    </w:p>
    <w:p>
      <w:pPr>
        <w:widowControl/>
        <w:shd w:val="clear" w:color="auto" w:fill="FFFFFF"/>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2.协</w:t>
      </w:r>
      <w:r>
        <w:rPr>
          <w:rFonts w:hint="eastAsia" w:eastAsia="仿宋_GB2312" w:cs="宋体"/>
          <w:spacing w:val="-10"/>
          <w:kern w:val="0"/>
          <w:sz w:val="32"/>
          <w:szCs w:val="32"/>
        </w:rPr>
        <w:t>同卫健委在县电视台、广播电台开设健康教育类专题节目。</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3.负责健康家庭评选宣传工作。</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十五、县经济和信息化局</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督导落实健康企业建设。20%的大中型企业符合健康企业标准。</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十六、县应急管理行政执法局</w:t>
      </w:r>
    </w:p>
    <w:p>
      <w:pPr>
        <w:widowControl/>
        <w:shd w:val="clear" w:color="auto" w:fill="FFFFFF"/>
        <w:spacing w:line="560" w:lineRule="exact"/>
        <w:ind w:firstLine="640" w:firstLineChars="200"/>
        <w:jc w:val="left"/>
        <w:rPr>
          <w:rFonts w:eastAsia="仿宋_GB2312" w:cs="宋体"/>
          <w:kern w:val="0"/>
          <w:sz w:val="27"/>
          <w:szCs w:val="27"/>
        </w:rPr>
      </w:pPr>
      <w:r>
        <w:rPr>
          <w:rFonts w:hint="eastAsia" w:eastAsia="仿宋_GB2312" w:cs="宋体"/>
          <w:kern w:val="0"/>
          <w:sz w:val="32"/>
          <w:szCs w:val="32"/>
        </w:rPr>
        <w:t>督导落实健康企业建设。20%的大中型企业符合健康企业标准。</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十七、各乡镇人民政府</w:t>
      </w:r>
    </w:p>
    <w:p>
      <w:pPr>
        <w:widowControl/>
        <w:shd w:val="clear" w:color="auto" w:fill="FFFFFF"/>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开展</w:t>
      </w:r>
      <w:r>
        <w:rPr>
          <w:rFonts w:hint="eastAsia" w:eastAsia="仿宋_GB2312" w:cs="宋体"/>
          <w:spacing w:val="-8"/>
          <w:kern w:val="0"/>
          <w:sz w:val="32"/>
          <w:szCs w:val="32"/>
        </w:rPr>
        <w:t>健康家庭建设、</w:t>
      </w:r>
      <w:r>
        <w:rPr>
          <w:rFonts w:hint="eastAsia" w:eastAsia="仿宋_GB2312" w:cs="宋体"/>
          <w:kern w:val="0"/>
          <w:sz w:val="32"/>
          <w:szCs w:val="32"/>
        </w:rPr>
        <w:t>健康社区/健康村建设，各乡镇30%的居委会/行政村符合健康社区/健康村标准。社区居民对健康县区知晓率达到70%。</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十八、委员会各成员单位</w:t>
      </w:r>
    </w:p>
    <w:p>
      <w:pPr>
        <w:widowControl/>
        <w:shd w:val="clear" w:color="auto" w:fill="FFFFFF"/>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各部门结合本部门职责，针对特定的健康决定因素，出台有利于人群健康的公共政策。</w:t>
      </w:r>
    </w:p>
    <w:p>
      <w:pPr>
        <w:widowControl/>
        <w:shd w:val="clear" w:color="auto" w:fill="FFFFFF"/>
        <w:spacing w:line="560" w:lineRule="exact"/>
        <w:ind w:firstLine="643" w:firstLineChars="200"/>
        <w:jc w:val="left"/>
        <w:rPr>
          <w:rFonts w:eastAsia="仿宋_GB2312" w:cs="宋体"/>
          <w:b/>
          <w:kern w:val="0"/>
          <w:sz w:val="32"/>
          <w:szCs w:val="32"/>
        </w:rPr>
      </w:pPr>
      <w:r>
        <w:rPr>
          <w:rFonts w:hint="eastAsia" w:eastAsia="仿宋_GB2312" w:cs="宋体"/>
          <w:b/>
          <w:kern w:val="0"/>
          <w:sz w:val="32"/>
          <w:szCs w:val="32"/>
        </w:rPr>
        <w:t>十九、县直各单位</w:t>
      </w:r>
    </w:p>
    <w:p>
      <w:pPr>
        <w:widowControl/>
        <w:shd w:val="clear" w:color="auto" w:fill="FFFFFF"/>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1.县直各单位需创建健康机关。</w:t>
      </w:r>
    </w:p>
    <w:p>
      <w:pPr>
        <w:widowControl/>
        <w:shd w:val="clear" w:color="auto" w:fill="FFFFFF"/>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2.根据健康县区评估标准开展相关工作。</w:t>
      </w:r>
    </w:p>
    <w:p>
      <w:pPr>
        <w:widowControl/>
        <w:spacing w:after="45" w:line="600" w:lineRule="exact"/>
        <w:rPr>
          <w:rFonts w:eastAsia="仿宋_GB2312" w:cs="宋体"/>
          <w:color w:val="000000"/>
          <w:kern w:val="0"/>
          <w:sz w:val="32"/>
          <w:szCs w:val="32"/>
        </w:rPr>
      </w:pPr>
    </w:p>
    <w:p>
      <w:pPr>
        <w:widowControl/>
        <w:spacing w:after="45" w:line="600" w:lineRule="exact"/>
        <w:rPr>
          <w:rFonts w:eastAsia="仿宋_GB2312" w:cs="宋体"/>
          <w:color w:val="000000"/>
          <w:kern w:val="0"/>
          <w:sz w:val="32"/>
          <w:szCs w:val="32"/>
        </w:rPr>
      </w:pPr>
      <w:r>
        <w:rPr>
          <w:rFonts w:hint="eastAsia" w:eastAsia="仿宋_GB2312" w:cs="宋体"/>
          <w:color w:val="000000"/>
          <w:kern w:val="0"/>
          <w:sz w:val="32"/>
          <w:szCs w:val="32"/>
        </w:rPr>
        <w:t>附件3</w:t>
      </w:r>
    </w:p>
    <w:p>
      <w:pPr>
        <w:widowControl/>
        <w:spacing w:after="45" w:line="600" w:lineRule="exact"/>
        <w:jc w:val="center"/>
        <w:rPr>
          <w:rFonts w:eastAsia="仿宋_GB2312" w:cs="宋体"/>
          <w:color w:val="000000"/>
          <w:kern w:val="0"/>
          <w:sz w:val="44"/>
          <w:szCs w:val="44"/>
        </w:rPr>
      </w:pPr>
    </w:p>
    <w:p>
      <w:pPr>
        <w:widowControl/>
        <w:spacing w:after="45" w:line="600" w:lineRule="exact"/>
        <w:jc w:val="center"/>
        <w:rPr>
          <w:rFonts w:eastAsia="仿宋_GB2312" w:cs="宋体"/>
          <w:color w:val="000000"/>
          <w:kern w:val="0"/>
          <w:sz w:val="44"/>
          <w:szCs w:val="44"/>
        </w:rPr>
      </w:pPr>
      <w:r>
        <w:rPr>
          <w:rFonts w:hint="eastAsia" w:eastAsia="仿宋_GB2312" w:cs="宋体"/>
          <w:color w:val="000000"/>
          <w:kern w:val="0"/>
          <w:sz w:val="44"/>
          <w:szCs w:val="44"/>
        </w:rPr>
        <w:t>健康乡镇/健康社区/健康村评价标准（试行）</w:t>
      </w:r>
    </w:p>
    <w:p>
      <w:pPr>
        <w:widowControl/>
        <w:spacing w:after="45" w:line="600" w:lineRule="exact"/>
        <w:jc w:val="center"/>
        <w:rPr>
          <w:rFonts w:eastAsia="仿宋_GB2312" w:cs="宋体"/>
          <w:color w:val="000000"/>
          <w:kern w:val="0"/>
          <w:sz w:val="44"/>
          <w:szCs w:val="44"/>
        </w:rPr>
      </w:pPr>
    </w:p>
    <w:p>
      <w:pPr>
        <w:widowControl/>
        <w:spacing w:line="600" w:lineRule="exact"/>
        <w:ind w:firstLine="640" w:firstLineChars="200"/>
        <w:jc w:val="left"/>
        <w:rPr>
          <w:rFonts w:eastAsia="仿宋_GB2312" w:cs="宋体"/>
          <w:color w:val="363636"/>
          <w:kern w:val="0"/>
          <w:sz w:val="32"/>
          <w:szCs w:val="32"/>
        </w:rPr>
      </w:pPr>
      <w:r>
        <w:rPr>
          <w:rFonts w:hint="eastAsia" w:eastAsia="仿宋_GB2312" w:cs="宋体"/>
          <w:color w:val="363636"/>
          <w:kern w:val="0"/>
          <w:sz w:val="32"/>
          <w:szCs w:val="32"/>
        </w:rPr>
        <w:t>在城市，以居委会(社区)为单位建设健康社区。在农村，以行政村为单位建设健康村。</w:t>
      </w:r>
    </w:p>
    <w:p>
      <w:pPr>
        <w:widowControl/>
        <w:spacing w:line="600" w:lineRule="exact"/>
        <w:ind w:firstLine="640" w:firstLineChars="200"/>
        <w:jc w:val="left"/>
        <w:rPr>
          <w:rFonts w:eastAsia="仿宋_GB2312" w:cs="宋体"/>
          <w:color w:val="363636"/>
          <w:kern w:val="0"/>
          <w:sz w:val="32"/>
          <w:szCs w:val="32"/>
        </w:rPr>
      </w:pPr>
      <w:r>
        <w:rPr>
          <w:rFonts w:hint="eastAsia" w:eastAsia="仿宋_GB2312" w:cs="宋体"/>
          <w:color w:val="363636"/>
          <w:kern w:val="0"/>
          <w:sz w:val="32"/>
          <w:szCs w:val="32"/>
        </w:rPr>
        <w:t>1．居委会/行政村公开承诺并倡导全体居民参与健康社区/健康村建设。</w:t>
      </w:r>
    </w:p>
    <w:p>
      <w:pPr>
        <w:widowControl/>
        <w:spacing w:line="600" w:lineRule="exact"/>
        <w:ind w:firstLine="640" w:firstLineChars="200"/>
        <w:jc w:val="left"/>
        <w:rPr>
          <w:rFonts w:eastAsia="仿宋_GB2312" w:cs="宋体"/>
          <w:color w:val="363636"/>
          <w:kern w:val="0"/>
          <w:sz w:val="32"/>
          <w:szCs w:val="32"/>
        </w:rPr>
      </w:pPr>
      <w:r>
        <w:rPr>
          <w:rFonts w:hint="eastAsia" w:eastAsia="仿宋_GB2312" w:cs="宋体"/>
          <w:color w:val="363636"/>
          <w:kern w:val="0"/>
          <w:sz w:val="32"/>
          <w:szCs w:val="32"/>
        </w:rPr>
        <w:t>2.成立社区主要负责同志参加的健康社区/健康村领导小组，明确职责分工，定期召开例会。</w:t>
      </w:r>
    </w:p>
    <w:p>
      <w:pPr>
        <w:widowControl/>
        <w:spacing w:line="600" w:lineRule="exact"/>
        <w:ind w:firstLine="640" w:firstLineChars="200"/>
        <w:jc w:val="left"/>
        <w:rPr>
          <w:rFonts w:eastAsia="仿宋_GB2312" w:cs="宋体"/>
          <w:color w:val="363636"/>
          <w:kern w:val="0"/>
          <w:sz w:val="32"/>
          <w:szCs w:val="32"/>
        </w:rPr>
      </w:pPr>
      <w:r>
        <w:rPr>
          <w:rFonts w:hint="eastAsia" w:eastAsia="仿宋_GB2312" w:cs="宋体"/>
          <w:color w:val="363636"/>
          <w:kern w:val="0"/>
          <w:sz w:val="32"/>
          <w:szCs w:val="32"/>
        </w:rPr>
        <w:t>3．将健康社区/健康村建设纳入社区发展规划，制定促进居民健康的规章制度和相关措施。</w:t>
      </w:r>
    </w:p>
    <w:p>
      <w:pPr>
        <w:widowControl/>
        <w:spacing w:line="600" w:lineRule="exact"/>
        <w:ind w:firstLine="640" w:firstLineChars="200"/>
        <w:jc w:val="left"/>
        <w:rPr>
          <w:rFonts w:eastAsia="仿宋_GB2312" w:cs="宋体"/>
          <w:color w:val="363636"/>
          <w:kern w:val="0"/>
          <w:sz w:val="32"/>
          <w:szCs w:val="32"/>
        </w:rPr>
      </w:pPr>
      <w:r>
        <w:rPr>
          <w:rFonts w:hint="eastAsia" w:eastAsia="仿宋_GB2312" w:cs="宋体"/>
          <w:color w:val="363636"/>
          <w:kern w:val="0"/>
          <w:sz w:val="32"/>
          <w:szCs w:val="32"/>
        </w:rPr>
        <w:t>4．有专人负责健康社区/健康村工作，有工作计划和总结，健康活动有记录。</w:t>
      </w:r>
    </w:p>
    <w:p>
      <w:pPr>
        <w:widowControl/>
        <w:spacing w:line="600" w:lineRule="exact"/>
        <w:ind w:firstLine="640" w:firstLineChars="200"/>
        <w:jc w:val="left"/>
        <w:rPr>
          <w:rFonts w:eastAsia="仿宋_GB2312" w:cs="宋体"/>
          <w:color w:val="363636"/>
          <w:kern w:val="0"/>
          <w:sz w:val="32"/>
          <w:szCs w:val="32"/>
        </w:rPr>
      </w:pPr>
      <w:r>
        <w:rPr>
          <w:rFonts w:hint="eastAsia" w:eastAsia="仿宋_GB2312" w:cs="宋体"/>
          <w:color w:val="363636"/>
          <w:kern w:val="0"/>
          <w:sz w:val="32"/>
          <w:szCs w:val="32"/>
        </w:rPr>
        <w:t>5．建设无烟环境。</w:t>
      </w:r>
    </w:p>
    <w:p>
      <w:pPr>
        <w:widowControl/>
        <w:spacing w:line="600" w:lineRule="exact"/>
        <w:ind w:firstLine="640" w:firstLineChars="200"/>
        <w:jc w:val="left"/>
        <w:rPr>
          <w:rFonts w:eastAsia="仿宋_GB2312" w:cs="宋体"/>
          <w:color w:val="363636"/>
          <w:kern w:val="0"/>
          <w:sz w:val="32"/>
          <w:szCs w:val="32"/>
        </w:rPr>
      </w:pPr>
      <w:r>
        <w:rPr>
          <w:rFonts w:hint="eastAsia" w:eastAsia="仿宋_GB2312" w:cs="宋体"/>
          <w:color w:val="363636"/>
          <w:kern w:val="0"/>
          <w:sz w:val="32"/>
          <w:szCs w:val="32"/>
        </w:rPr>
        <w:t>6．保持自然环境整洁，营造促进健康的社会人文环境。</w:t>
      </w:r>
    </w:p>
    <w:p>
      <w:pPr>
        <w:widowControl/>
        <w:spacing w:line="600" w:lineRule="exact"/>
        <w:ind w:firstLine="640" w:firstLineChars="200"/>
        <w:jc w:val="left"/>
        <w:rPr>
          <w:rFonts w:eastAsia="仿宋_GB2312" w:cs="宋体"/>
          <w:color w:val="363636"/>
          <w:kern w:val="0"/>
          <w:sz w:val="32"/>
          <w:szCs w:val="32"/>
        </w:rPr>
      </w:pPr>
      <w:r>
        <w:rPr>
          <w:rFonts w:hint="eastAsia" w:eastAsia="仿宋_GB2312" w:cs="宋体"/>
          <w:color w:val="363636"/>
          <w:kern w:val="0"/>
          <w:sz w:val="32"/>
          <w:szCs w:val="32"/>
        </w:rPr>
        <w:t>7．基层医疗卫生机构深入社区提供基本健康教育服务。</w:t>
      </w:r>
    </w:p>
    <w:p>
      <w:pPr>
        <w:widowControl/>
        <w:spacing w:line="600" w:lineRule="exact"/>
        <w:ind w:firstLine="640" w:firstLineChars="200"/>
        <w:jc w:val="left"/>
        <w:rPr>
          <w:rFonts w:eastAsia="仿宋_GB2312" w:cs="宋体"/>
          <w:color w:val="363636"/>
          <w:kern w:val="0"/>
          <w:sz w:val="32"/>
          <w:szCs w:val="32"/>
        </w:rPr>
      </w:pPr>
      <w:r>
        <w:rPr>
          <w:rFonts w:hint="eastAsia" w:eastAsia="仿宋_GB2312" w:cs="宋体"/>
          <w:color w:val="363636"/>
          <w:kern w:val="0"/>
          <w:sz w:val="32"/>
          <w:szCs w:val="32"/>
        </w:rPr>
        <w:t>8．社区(村)自发组织健康讲座和多种形式的健康主题活动，社区居民积极参与。</w:t>
      </w:r>
    </w:p>
    <w:p>
      <w:pPr>
        <w:widowControl/>
        <w:spacing w:line="600" w:lineRule="exact"/>
        <w:ind w:firstLine="640" w:firstLineChars="200"/>
        <w:jc w:val="left"/>
        <w:rPr>
          <w:rFonts w:eastAsia="仿宋_GB2312" w:cs="宋体"/>
          <w:color w:val="363636"/>
          <w:kern w:val="0"/>
          <w:sz w:val="32"/>
          <w:szCs w:val="32"/>
        </w:rPr>
      </w:pPr>
      <w:r>
        <w:rPr>
          <w:rFonts w:hint="eastAsia" w:eastAsia="仿宋_GB2312" w:cs="宋体"/>
          <w:color w:val="363636"/>
          <w:kern w:val="0"/>
          <w:sz w:val="32"/>
          <w:szCs w:val="32"/>
        </w:rPr>
        <w:t>9．提高居民健康素养。</w:t>
      </w:r>
    </w:p>
    <w:p>
      <w:pPr>
        <w:widowControl/>
        <w:spacing w:line="600" w:lineRule="exact"/>
        <w:ind w:firstLine="640" w:firstLineChars="200"/>
        <w:jc w:val="left"/>
        <w:rPr>
          <w:rFonts w:eastAsia="仿宋_GB2312" w:cs="宋体"/>
          <w:color w:val="363636"/>
          <w:kern w:val="0"/>
          <w:sz w:val="32"/>
          <w:szCs w:val="32"/>
        </w:rPr>
      </w:pPr>
      <w:r>
        <w:rPr>
          <w:rFonts w:hint="eastAsia" w:eastAsia="仿宋_GB2312" w:cs="宋体"/>
          <w:color w:val="363636"/>
          <w:kern w:val="0"/>
          <w:sz w:val="32"/>
          <w:szCs w:val="32"/>
        </w:rPr>
        <w:t>10．居民体育锻炼率有所提高，吸烟率和肥胖率有所下降。</w:t>
      </w:r>
    </w:p>
    <w:p>
      <w:pPr>
        <w:widowControl/>
        <w:rPr>
          <w:rFonts w:eastAsia="仿宋_GB2312"/>
          <w:sz w:val="36"/>
          <w:szCs w:val="36"/>
        </w:rPr>
      </w:pPr>
    </w:p>
    <w:p>
      <w:pPr>
        <w:widowControl/>
        <w:jc w:val="center"/>
        <w:rPr>
          <w:rFonts w:eastAsia="仿宋_GB2312"/>
          <w:sz w:val="36"/>
          <w:szCs w:val="36"/>
        </w:rPr>
      </w:pPr>
      <w:r>
        <w:rPr>
          <w:rFonts w:eastAsia="仿宋_GB2312"/>
          <w:sz w:val="36"/>
          <w:szCs w:val="36"/>
        </w:rPr>
        <w:t>健康乡镇评估细则（2023版）</w:t>
      </w:r>
    </w:p>
    <w:p>
      <w:pPr>
        <w:widowControl/>
        <w:ind w:left="220" w:hanging="220" w:hangingChars="100"/>
        <w:jc w:val="left"/>
        <w:rPr>
          <w:rFonts w:eastAsia="仿宋_GB2312"/>
          <w:sz w:val="32"/>
          <w:szCs w:val="21"/>
        </w:rPr>
      </w:pPr>
      <w:r>
        <w:rPr>
          <w:rFonts w:eastAsia="仿宋_GB2312"/>
          <w:sz w:val="22"/>
          <w:szCs w:val="32"/>
        </w:rPr>
        <w:t xml:space="preserve"> </w:t>
      </w:r>
      <w:r>
        <w:rPr>
          <w:rFonts w:eastAsia="仿宋_GB2312"/>
          <w:sz w:val="32"/>
          <w:szCs w:val="21"/>
        </w:rPr>
        <w:t>省份：</w:t>
      </w:r>
      <w:r>
        <w:rPr>
          <w:rFonts w:eastAsia="仿宋_GB2312"/>
          <w:sz w:val="32"/>
          <w:szCs w:val="21"/>
          <w:u w:val="single"/>
        </w:rPr>
        <w:t xml:space="preserve">              </w:t>
      </w:r>
      <w:r>
        <w:rPr>
          <w:rFonts w:eastAsia="仿宋_GB2312"/>
          <w:sz w:val="32"/>
          <w:szCs w:val="21"/>
        </w:rPr>
        <w:t xml:space="preserve">  市级：</w:t>
      </w:r>
      <w:r>
        <w:rPr>
          <w:rFonts w:eastAsia="仿宋_GB2312"/>
          <w:sz w:val="32"/>
          <w:szCs w:val="21"/>
          <w:u w:val="single"/>
        </w:rPr>
        <w:t xml:space="preserve">               </w:t>
      </w:r>
      <w:r>
        <w:rPr>
          <w:rFonts w:eastAsia="仿宋_GB2312"/>
          <w:sz w:val="32"/>
          <w:szCs w:val="21"/>
        </w:rPr>
        <w:t xml:space="preserve">   </w:t>
      </w:r>
    </w:p>
    <w:p>
      <w:pPr>
        <w:widowControl/>
        <w:ind w:left="320" w:hanging="320" w:hangingChars="100"/>
        <w:jc w:val="left"/>
        <w:rPr>
          <w:rFonts w:eastAsia="仿宋_GB2312"/>
          <w:sz w:val="32"/>
          <w:szCs w:val="21"/>
        </w:rPr>
      </w:pPr>
      <w:r>
        <w:rPr>
          <w:rFonts w:eastAsia="仿宋_GB2312"/>
          <w:sz w:val="32"/>
          <w:szCs w:val="21"/>
        </w:rPr>
        <w:t xml:space="preserve">县（区）： </w:t>
      </w:r>
      <w:r>
        <w:rPr>
          <w:rFonts w:eastAsia="仿宋_GB2312"/>
          <w:sz w:val="32"/>
          <w:szCs w:val="21"/>
          <w:u w:val="single"/>
        </w:rPr>
        <w:t xml:space="preserve">               </w:t>
      </w:r>
      <w:r>
        <w:rPr>
          <w:rFonts w:eastAsia="仿宋_GB2312"/>
          <w:sz w:val="32"/>
          <w:szCs w:val="21"/>
        </w:rPr>
        <w:t xml:space="preserve">  乡镇：</w:t>
      </w:r>
      <w:r>
        <w:rPr>
          <w:rFonts w:eastAsia="仿宋_GB2312"/>
          <w:sz w:val="32"/>
          <w:szCs w:val="21"/>
          <w:u w:val="single"/>
        </w:rPr>
        <w:t xml:space="preserve">               </w:t>
      </w:r>
      <w:r>
        <w:rPr>
          <w:rFonts w:eastAsia="仿宋_GB2312"/>
          <w:sz w:val="32"/>
          <w:szCs w:val="21"/>
        </w:rPr>
        <w:t xml:space="preserve"> </w:t>
      </w:r>
    </w:p>
    <w:p>
      <w:pPr>
        <w:widowControl/>
        <w:ind w:left="320" w:hanging="320" w:hangingChars="100"/>
        <w:jc w:val="left"/>
        <w:rPr>
          <w:rFonts w:eastAsia="仿宋_GB2312"/>
          <w:sz w:val="32"/>
          <w:szCs w:val="21"/>
          <w:u w:val="single"/>
        </w:rPr>
      </w:pPr>
      <w:r>
        <w:rPr>
          <w:rFonts w:eastAsia="仿宋_GB2312"/>
          <w:sz w:val="32"/>
          <w:szCs w:val="21"/>
        </w:rPr>
        <w:t>时间：</w:t>
      </w:r>
      <w:r>
        <w:rPr>
          <w:rFonts w:eastAsia="仿宋_GB2312"/>
          <w:sz w:val="32"/>
          <w:szCs w:val="21"/>
          <w:u w:val="single"/>
        </w:rPr>
        <w:t xml:space="preserve">                   </w:t>
      </w:r>
      <w:r>
        <w:rPr>
          <w:rFonts w:eastAsia="仿宋_GB2312"/>
          <w:b/>
          <w:sz w:val="32"/>
          <w:szCs w:val="21"/>
          <w:u w:val="single"/>
        </w:rPr>
        <w:t xml:space="preserve"> </w:t>
      </w:r>
    </w:p>
    <w:tbl>
      <w:tblPr>
        <w:tblStyle w:val="5"/>
        <w:tblW w:w="50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4"/>
        <w:gridCol w:w="742"/>
        <w:gridCol w:w="2956"/>
        <w:gridCol w:w="2956"/>
        <w:gridCol w:w="516"/>
        <w:gridCol w:w="477"/>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blHeader/>
          <w:jc w:val="center"/>
        </w:trPr>
        <w:tc>
          <w:tcPr>
            <w:tcW w:w="411" w:type="pct"/>
            <w:vAlign w:val="center"/>
          </w:tcPr>
          <w:p>
            <w:pPr>
              <w:widowControl/>
              <w:spacing w:line="480" w:lineRule="exact"/>
              <w:jc w:val="center"/>
              <w:rPr>
                <w:rFonts w:eastAsia="仿宋_GB2312"/>
                <w:b/>
                <w:color w:val="000000"/>
                <w:kern w:val="0"/>
                <w:sz w:val="20"/>
                <w:szCs w:val="21"/>
              </w:rPr>
            </w:pPr>
            <w:r>
              <w:rPr>
                <w:rFonts w:eastAsia="仿宋_GB2312"/>
                <w:b/>
                <w:color w:val="000000"/>
                <w:kern w:val="0"/>
                <w:sz w:val="20"/>
                <w:szCs w:val="21"/>
              </w:rPr>
              <w:t>一级指标</w:t>
            </w:r>
          </w:p>
        </w:tc>
        <w:tc>
          <w:tcPr>
            <w:tcW w:w="410" w:type="pct"/>
            <w:vAlign w:val="center"/>
          </w:tcPr>
          <w:p>
            <w:pPr>
              <w:widowControl/>
              <w:spacing w:line="480" w:lineRule="exact"/>
              <w:jc w:val="center"/>
              <w:rPr>
                <w:rFonts w:eastAsia="仿宋_GB2312"/>
                <w:b/>
                <w:color w:val="000000"/>
                <w:kern w:val="0"/>
                <w:sz w:val="20"/>
                <w:szCs w:val="21"/>
              </w:rPr>
            </w:pPr>
            <w:r>
              <w:rPr>
                <w:rFonts w:eastAsia="仿宋_GB2312"/>
                <w:b/>
                <w:color w:val="000000"/>
                <w:kern w:val="0"/>
                <w:sz w:val="20"/>
                <w:szCs w:val="21"/>
              </w:rPr>
              <w:t>二级指标</w:t>
            </w:r>
          </w:p>
        </w:tc>
        <w:tc>
          <w:tcPr>
            <w:tcW w:w="1623" w:type="pct"/>
            <w:vAlign w:val="center"/>
          </w:tcPr>
          <w:p>
            <w:pPr>
              <w:widowControl/>
              <w:spacing w:line="480" w:lineRule="exact"/>
              <w:jc w:val="center"/>
              <w:rPr>
                <w:rFonts w:eastAsia="仿宋_GB2312"/>
                <w:b/>
                <w:color w:val="000000"/>
                <w:kern w:val="0"/>
                <w:sz w:val="20"/>
                <w:szCs w:val="21"/>
              </w:rPr>
            </w:pPr>
            <w:r>
              <w:rPr>
                <w:rFonts w:eastAsia="仿宋_GB2312"/>
                <w:b/>
                <w:color w:val="000000"/>
                <w:kern w:val="0"/>
                <w:sz w:val="20"/>
                <w:szCs w:val="21"/>
              </w:rPr>
              <w:t>指标解释</w:t>
            </w:r>
          </w:p>
        </w:tc>
        <w:tc>
          <w:tcPr>
            <w:tcW w:w="1623" w:type="pct"/>
            <w:vAlign w:val="center"/>
          </w:tcPr>
          <w:p>
            <w:pPr>
              <w:widowControl/>
              <w:spacing w:line="480" w:lineRule="exact"/>
              <w:jc w:val="center"/>
              <w:rPr>
                <w:rFonts w:eastAsia="仿宋_GB2312"/>
                <w:b/>
                <w:color w:val="000000"/>
                <w:kern w:val="0"/>
                <w:sz w:val="20"/>
                <w:szCs w:val="21"/>
              </w:rPr>
            </w:pPr>
            <w:r>
              <w:rPr>
                <w:rFonts w:eastAsia="仿宋_GB2312"/>
                <w:b/>
                <w:color w:val="000000"/>
                <w:kern w:val="0"/>
                <w:sz w:val="20"/>
                <w:szCs w:val="21"/>
              </w:rPr>
              <w:t>评分标准</w:t>
            </w:r>
          </w:p>
        </w:tc>
        <w:tc>
          <w:tcPr>
            <w:tcW w:w="264" w:type="pct"/>
            <w:vAlign w:val="center"/>
          </w:tcPr>
          <w:p>
            <w:pPr>
              <w:widowControl/>
              <w:spacing w:line="480" w:lineRule="exact"/>
              <w:jc w:val="center"/>
              <w:rPr>
                <w:rFonts w:eastAsia="仿宋_GB2312"/>
                <w:b/>
                <w:color w:val="000000"/>
                <w:kern w:val="0"/>
                <w:sz w:val="20"/>
                <w:szCs w:val="21"/>
              </w:rPr>
            </w:pPr>
            <w:r>
              <w:rPr>
                <w:rFonts w:eastAsia="仿宋_GB2312"/>
                <w:b/>
                <w:color w:val="000000"/>
                <w:kern w:val="0"/>
                <w:sz w:val="20"/>
                <w:szCs w:val="21"/>
              </w:rPr>
              <w:t>分值</w:t>
            </w:r>
          </w:p>
        </w:tc>
        <w:tc>
          <w:tcPr>
            <w:tcW w:w="264" w:type="pct"/>
            <w:vAlign w:val="center"/>
          </w:tcPr>
          <w:p>
            <w:pPr>
              <w:widowControl/>
              <w:spacing w:line="480" w:lineRule="exact"/>
              <w:jc w:val="center"/>
              <w:rPr>
                <w:rFonts w:eastAsia="仿宋_GB2312"/>
                <w:b/>
                <w:color w:val="000000"/>
                <w:kern w:val="0"/>
                <w:sz w:val="20"/>
                <w:szCs w:val="21"/>
              </w:rPr>
            </w:pPr>
            <w:r>
              <w:rPr>
                <w:rFonts w:eastAsia="仿宋_GB2312"/>
                <w:b/>
                <w:color w:val="000000"/>
                <w:kern w:val="0"/>
                <w:sz w:val="20"/>
                <w:szCs w:val="21"/>
              </w:rPr>
              <w:t>得分</w:t>
            </w:r>
          </w:p>
        </w:tc>
        <w:tc>
          <w:tcPr>
            <w:tcW w:w="406" w:type="pct"/>
            <w:vAlign w:val="center"/>
          </w:tcPr>
          <w:p>
            <w:pPr>
              <w:widowControl/>
              <w:spacing w:line="480" w:lineRule="exact"/>
              <w:jc w:val="center"/>
              <w:rPr>
                <w:rFonts w:eastAsia="仿宋_GB2312"/>
                <w:b/>
                <w:color w:val="000000"/>
                <w:kern w:val="0"/>
                <w:sz w:val="20"/>
                <w:szCs w:val="21"/>
              </w:rPr>
            </w:pPr>
            <w:r>
              <w:rPr>
                <w:rFonts w:eastAsia="仿宋_GB2312"/>
                <w:b/>
                <w:color w:val="000000"/>
                <w:kern w:val="0"/>
                <w:sz w:val="20"/>
                <w:szCs w:val="21"/>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411" w:type="pct"/>
            <w:vMerge w:val="restar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一、组织管理（15分）</w:t>
            </w: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纳入规划</w:t>
            </w:r>
          </w:p>
        </w:tc>
        <w:tc>
          <w:tcPr>
            <w:tcW w:w="1623" w:type="pct"/>
            <w:vAlign w:val="center"/>
          </w:tcPr>
          <w:p>
            <w:pPr>
              <w:spacing w:line="480" w:lineRule="exact"/>
              <w:rPr>
                <w:rFonts w:eastAsia="仿宋_GB2312"/>
                <w:kern w:val="0"/>
                <w:sz w:val="20"/>
                <w:szCs w:val="21"/>
              </w:rPr>
            </w:pPr>
            <w:r>
              <w:rPr>
                <w:rFonts w:eastAsia="仿宋_GB2312"/>
                <w:kern w:val="0"/>
                <w:sz w:val="20"/>
                <w:szCs w:val="21"/>
              </w:rPr>
              <w:t>将健康乡镇建设纳入乡镇发展规划，多措并举推进健康乡镇建设。</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文件中体现健康乡镇建设内容，且部门职责和任务明确，得1分；</w:t>
            </w:r>
            <w:r>
              <w:rPr>
                <w:rFonts w:eastAsia="仿宋_GB2312"/>
                <w:kern w:val="0"/>
                <w:sz w:val="20"/>
                <w:szCs w:val="21"/>
              </w:rPr>
              <w:t>多措并举推进健康乡镇建设，</w:t>
            </w:r>
            <w:r>
              <w:rPr>
                <w:rFonts w:eastAsia="仿宋_GB2312"/>
                <w:color w:val="000000"/>
                <w:kern w:val="0"/>
                <w:sz w:val="20"/>
                <w:szCs w:val="21"/>
              </w:rPr>
              <w:t>得2分</w:t>
            </w:r>
            <w:r>
              <w:rPr>
                <w:rFonts w:eastAsia="仿宋_GB2312"/>
                <w:kern w:val="0"/>
                <w:sz w:val="20"/>
                <w:szCs w:val="21"/>
              </w:rPr>
              <w:t>。</w:t>
            </w:r>
            <w:r>
              <w:rPr>
                <w:rFonts w:eastAsia="仿宋_GB2312"/>
                <w:color w:val="000000"/>
                <w:kern w:val="0"/>
                <w:sz w:val="20"/>
                <w:szCs w:val="21"/>
              </w:rPr>
              <w:t xml:space="preserve"> </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3</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组织实施</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认真分析辖区人群健康状况及其影响因素，明确主要健康问题和干预策略，制订健康乡镇建设规划和实施方案，并定期对建设效果进行评估。推进将健康融入所有政策。</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有相关调查报告，得1分；资料收集方法合理，分析思路清晰，方法得当，得1分；提出主要的健康问题和影响因素，并提出明确的干预策略建议，得1分；出台健康乡镇实施方案，并体现健康中国、乡村振兴和积极应对人口老龄化等国家战略，得1分；近2年开展了健康乡镇建设自评工作，有自评报告，得2分；在自评报告中，提出薄弱环节和改进措施，得1分</w:t>
            </w:r>
          </w:p>
        </w:tc>
        <w:tc>
          <w:tcPr>
            <w:tcW w:w="264" w:type="pct"/>
            <w:vAlign w:val="center"/>
          </w:tcPr>
          <w:p>
            <w:pPr>
              <w:widowControl/>
              <w:spacing w:line="480" w:lineRule="exact"/>
              <w:jc w:val="center"/>
              <w:textAlignment w:val="center"/>
              <w:rPr>
                <w:rFonts w:eastAsia="仿宋_GB2312"/>
                <w:color w:val="000000"/>
                <w:kern w:val="0"/>
                <w:sz w:val="20"/>
                <w:szCs w:val="21"/>
              </w:rPr>
            </w:pPr>
            <w:r>
              <w:rPr>
                <w:rFonts w:eastAsia="仿宋_GB2312"/>
                <w:color w:val="000000"/>
                <w:kern w:val="0"/>
                <w:sz w:val="20"/>
                <w:szCs w:val="21"/>
              </w:rPr>
              <w:t>7</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社会动员</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积极动员辖区各类机关、企事业单位、社会组织、志愿者和居民参与健康乡镇建设。</w:t>
            </w:r>
          </w:p>
        </w:tc>
        <w:tc>
          <w:tcPr>
            <w:tcW w:w="1623" w:type="pct"/>
            <w:vAlign w:val="center"/>
          </w:tcPr>
          <w:p>
            <w:pPr>
              <w:spacing w:line="480" w:lineRule="exact"/>
              <w:rPr>
                <w:rFonts w:eastAsia="仿宋_GB2312"/>
                <w:kern w:val="0"/>
                <w:sz w:val="20"/>
                <w:szCs w:val="21"/>
              </w:rPr>
            </w:pPr>
            <w:r>
              <w:rPr>
                <w:rFonts w:eastAsia="仿宋_GB2312"/>
                <w:kern w:val="0"/>
                <w:sz w:val="20"/>
                <w:szCs w:val="21"/>
              </w:rPr>
              <w:t>利用大众媒体、宣传栏、广告牌、横幅、新媒体等形式开展宣传活动且有记录，每种形式得0.5分，最高得3分。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3</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新技术应用</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加强卫生健康信息化建设，鼓励引入人工智能和大数据应用技术及产品，利用信息化手段提升健康乡镇建设  水平。</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在管理环节或具体工作中使用人工智能和大数据等新技术，每项应用得0.5分，满分为2分。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2</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11" w:type="pct"/>
            <w:vMerge w:val="restar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二、健康环境（25分）</w:t>
            </w: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美丽乡村</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开展美丽乡村建设，保护生态环境和自然景观，综合提升田水路林村风貌。</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有相关文件、方案、工作记录等材料支持得1分，没有不得分。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1</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基础设施</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村容村貌整洁，实现硬化、绿化、亮化、美化、净化。开展老年人、残疾人无障碍设施建设或改造。建设与常住人口规模相适应的婴幼儿活动场所及配套服务设施。</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村容村貌整洁，有硬化、绿化、亮化、美化、净化等建设，得1分。建有盲道、无障碍卫生间（厕位）、出入口无障碍设施、低位服务设施、无障碍停车位、无障碍标志等，得1分。建有婴幼儿活动场所、母婴室等，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3</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饮水安全</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加快饮水安全基础设施建设，提升自来水普及率，依法划定水源保护区或保护范围。</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在查看家户中，均实现自来水入户，得1分。按照规定划定饮用水水源保护区或保护范围；开展饮用水水源地规范化建设；持续开展饮用水水源保护区环境问题排查；水源保护区水质达标率达到100%，得2分。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3</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污水处理</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推进镇区污水处理设施和服务向村庄延伸覆盖。辖区内水体无“黑臭”现象。</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有正常运行的污水集中处理设施，得1分，现场查看未发现黑臭水体，得1分。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2</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垃圾收运</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垃圾收运处置体系覆盖所有行政村，乡镇建有垃圾转运站，普及密闭运输车辆，因地制宜推进垃圾就地分类和资源化利用。实现医疗废物收集处理全覆盖。</w:t>
            </w:r>
          </w:p>
        </w:tc>
        <w:tc>
          <w:tcPr>
            <w:tcW w:w="1623" w:type="pct"/>
            <w:vAlign w:val="center"/>
          </w:tcPr>
          <w:p>
            <w:pPr>
              <w:widowControl/>
              <w:spacing w:line="480" w:lineRule="exact"/>
              <w:textAlignment w:val="center"/>
              <w:rPr>
                <w:rFonts w:eastAsia="仿宋_GB2312"/>
                <w:color w:val="000000"/>
                <w:kern w:val="0"/>
                <w:sz w:val="20"/>
                <w:szCs w:val="21"/>
              </w:rPr>
            </w:pPr>
            <w:r>
              <w:rPr>
                <w:rFonts w:eastAsia="仿宋_GB2312"/>
                <w:color w:val="000000"/>
                <w:kern w:val="0"/>
                <w:sz w:val="20"/>
                <w:szCs w:val="21"/>
              </w:rPr>
              <w:t>在抽查的行政村中，垃圾分类符合城乡垃圾分类相关规范要求，得1分；铁路（公路）沿线无垃圾乱堆现象，无露天焚烧垃圾或违规填埋现象，得1分。被抽查的医疗机构中医疗废物管理制度健全，医疗废物处置规范，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3</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农业绿色发展</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推进农业绿色发展，加强农业而源污染和规模化畜禽养殖污染治理，加强活禽经营市场管理</w:t>
            </w:r>
          </w:p>
        </w:tc>
        <w:tc>
          <w:tcPr>
            <w:tcW w:w="1623" w:type="pct"/>
            <w:vAlign w:val="center"/>
          </w:tcPr>
          <w:p>
            <w:pPr>
              <w:widowControl/>
              <w:spacing w:line="480" w:lineRule="exact"/>
              <w:rPr>
                <w:rFonts w:eastAsia="仿宋_GB2312"/>
                <w:color w:val="000000"/>
                <w:kern w:val="0"/>
                <w:sz w:val="20"/>
                <w:szCs w:val="21"/>
              </w:rPr>
            </w:pPr>
            <w:r>
              <w:rPr>
                <w:rFonts w:hint="eastAsia" w:eastAsia="仿宋_GB2312"/>
                <w:color w:val="000000"/>
                <w:kern w:val="0"/>
                <w:sz w:val="20"/>
                <w:szCs w:val="21"/>
              </w:rPr>
              <w:t>主要作物农药利用率＞40%，得0.5分；主要作物化肥利用率＞40%，得0.5分；</w:t>
            </w:r>
            <w:r>
              <w:rPr>
                <w:rFonts w:eastAsia="仿宋_GB2312"/>
                <w:color w:val="000000"/>
                <w:kern w:val="0"/>
                <w:sz w:val="20"/>
                <w:szCs w:val="21"/>
              </w:rPr>
              <w:t>废旧农膜回收率＞80%，得1分；畜禽粪污综合利用率＞76%，得0.5分；秸秆综合利用率＞86%，得0.5分。有禁止贩卖、制售、食用野生动物相关落实文件，在抽查的场所未发现贩卖、制售、食用野生动物情况，得1分。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4</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卫生厕所</w:t>
            </w:r>
          </w:p>
        </w:tc>
        <w:tc>
          <w:tcPr>
            <w:tcW w:w="1623" w:type="pct"/>
            <w:vAlign w:val="center"/>
          </w:tcPr>
          <w:p>
            <w:pPr>
              <w:spacing w:line="480" w:lineRule="exact"/>
              <w:rPr>
                <w:rFonts w:eastAsia="仿宋_GB2312"/>
                <w:color w:val="000000"/>
                <w:kern w:val="0"/>
                <w:sz w:val="20"/>
                <w:szCs w:val="21"/>
              </w:rPr>
            </w:pPr>
            <w:r>
              <w:rPr>
                <w:rFonts w:eastAsia="仿宋_GB2312"/>
                <w:color w:val="000000"/>
                <w:kern w:val="0"/>
                <w:sz w:val="20"/>
                <w:szCs w:val="21"/>
              </w:rPr>
              <w:t>辖区内居民普遍使用卫生厕所，积极推进厕所粪污无害化处理和资源化利用。</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农村卫生厕所普及率≥85%，得1分；在乡镇政府所在地、中小学、乡镇卫生院、集贸市场、公路沿线等地建设卫生公厕，得1分。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2</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病媒防制</w:t>
            </w:r>
          </w:p>
        </w:tc>
        <w:tc>
          <w:tcPr>
            <w:tcW w:w="1623" w:type="pct"/>
            <w:vAlign w:val="center"/>
          </w:tcPr>
          <w:p>
            <w:pPr>
              <w:spacing w:line="480" w:lineRule="exact"/>
              <w:rPr>
                <w:rFonts w:eastAsia="仿宋_GB2312"/>
                <w:color w:val="000000"/>
                <w:kern w:val="0"/>
                <w:sz w:val="20"/>
                <w:szCs w:val="21"/>
              </w:rPr>
            </w:pPr>
            <w:r>
              <w:rPr>
                <w:rFonts w:eastAsia="仿宋_GB2312"/>
                <w:color w:val="000000"/>
                <w:kern w:val="0"/>
                <w:sz w:val="20"/>
                <w:szCs w:val="21"/>
              </w:rPr>
              <w:t>定期组织开展病媒生物防制活动，病媒生物孳生地得到有效治理，鼠、蚊、蝇、蟑螂的密度达到国家病媒生物密度控制要求。</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制定孳生地治理或管理方案，得1分；被抽查行政村鼠、蚊、蝇、蟑螂的密度达到国家标准B级，每项1分，合计4分；达到C级，每项0.5分，合计2分；C级以下，不得分；在抽查的行政村中，未发现无盖的瓶瓶罐罐、轮胎积水、坑洼等小型积水，雨水道口等排水系统无积水，垃圾桶加盖，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kern w:val="0"/>
                <w:sz w:val="20"/>
                <w:szCs w:val="21"/>
              </w:rPr>
              <w:t>6</w:t>
            </w:r>
          </w:p>
        </w:tc>
        <w:tc>
          <w:tcPr>
            <w:tcW w:w="264" w:type="pct"/>
            <w:vAlign w:val="center"/>
          </w:tcPr>
          <w:p>
            <w:pPr>
              <w:widowControl/>
              <w:spacing w:line="480" w:lineRule="exact"/>
              <w:rPr>
                <w:rFonts w:eastAsia="仿宋_GB2312"/>
                <w:kern w:val="0"/>
                <w:sz w:val="20"/>
                <w:szCs w:val="21"/>
              </w:rPr>
            </w:pPr>
          </w:p>
        </w:tc>
        <w:tc>
          <w:tcPr>
            <w:tcW w:w="406" w:type="pct"/>
            <w:vAlign w:val="center"/>
          </w:tcPr>
          <w:p>
            <w:pPr>
              <w:widowControl/>
              <w:spacing w:line="480" w:lineRule="exact"/>
              <w:rPr>
                <w:rFonts w:eastAsia="仿宋_GB2312"/>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411" w:type="pct"/>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噪声治理</w:t>
            </w:r>
          </w:p>
        </w:tc>
        <w:tc>
          <w:tcPr>
            <w:tcW w:w="1623" w:type="pct"/>
            <w:vAlign w:val="center"/>
          </w:tcPr>
          <w:p>
            <w:pPr>
              <w:widowControl/>
              <w:spacing w:line="480" w:lineRule="exact"/>
              <w:rPr>
                <w:rFonts w:eastAsia="仿宋_GB2312"/>
                <w:kern w:val="0"/>
                <w:sz w:val="20"/>
                <w:szCs w:val="21"/>
              </w:rPr>
            </w:pPr>
            <w:r>
              <w:rPr>
                <w:rFonts w:eastAsia="仿宋_GB2312"/>
                <w:color w:val="000000"/>
                <w:kern w:val="0"/>
                <w:sz w:val="20"/>
                <w:szCs w:val="21"/>
              </w:rPr>
              <w:t>加强噪声治理。</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年内无噪声污染行政处罚案件，得1分；有案件，不得分。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1</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411" w:type="pct"/>
            <w:vMerge w:val="restar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三、健康社会（20分）</w:t>
            </w: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社会保障</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落实基本养老保险、基本医疗保险、大病保险、最低生活保障、特困人员救助供养、残疾人保障等社会保障制度，提升保障水平。</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基本医疗保险参保率每年稳定在95%以上，得1分；基本养老保险参保率≥95%，得1分；困难残疾人生活补贴目标人群覆盖率达到100%，得1分；重度残疾人护理补贴目标人群覆盖率达到100%，得1分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4</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老年、儿童群体保障</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发展农村互助性养老服务，为老年人提供多层次、多样化养老服务；保障独居、空巢、失能（合失智）、重残、计划生育特殊家庭等特殊困难老年人养老服务需求。为留守、孤儿、事实无人抚养儿童、困境儿童等特殊儿童群体提供照护服务和医育结合服务。</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至少有1个特困人员供养服务设施（敬老院），得1分；发展医养结合服务，得1分，具体如下：</w:t>
            </w:r>
            <w:r>
              <w:rPr>
                <w:rFonts w:hint="eastAsia" w:eastAsia="仿宋_GB2312" w:cs="宋体"/>
                <w:color w:val="000000"/>
                <w:kern w:val="0"/>
                <w:sz w:val="20"/>
                <w:szCs w:val="21"/>
              </w:rPr>
              <w:t>①</w:t>
            </w:r>
            <w:r>
              <w:rPr>
                <w:rFonts w:eastAsia="仿宋_GB2312"/>
                <w:color w:val="000000"/>
                <w:kern w:val="0"/>
                <w:sz w:val="20"/>
                <w:szCs w:val="21"/>
              </w:rPr>
              <w:t>制定推进医养结合发展的政策措施；</w:t>
            </w:r>
            <w:r>
              <w:rPr>
                <w:rFonts w:hint="eastAsia" w:eastAsia="仿宋_GB2312" w:cs="宋体"/>
                <w:color w:val="000000"/>
                <w:kern w:val="0"/>
                <w:sz w:val="20"/>
                <w:szCs w:val="21"/>
              </w:rPr>
              <w:t>②</w:t>
            </w:r>
            <w:r>
              <w:rPr>
                <w:rFonts w:eastAsia="仿宋_GB2312"/>
                <w:color w:val="000000"/>
                <w:kern w:val="0"/>
                <w:sz w:val="20"/>
                <w:szCs w:val="21"/>
              </w:rPr>
              <w:t>开展多种形式的医养结合服务；</w:t>
            </w:r>
            <w:r>
              <w:rPr>
                <w:rFonts w:hint="eastAsia" w:eastAsia="仿宋_GB2312" w:cs="宋体"/>
                <w:color w:val="000000"/>
                <w:kern w:val="0"/>
                <w:sz w:val="20"/>
                <w:szCs w:val="21"/>
              </w:rPr>
              <w:t>③</w:t>
            </w:r>
            <w:r>
              <w:rPr>
                <w:rFonts w:eastAsia="仿宋_GB2312"/>
                <w:color w:val="000000"/>
                <w:kern w:val="0"/>
                <w:sz w:val="20"/>
                <w:szCs w:val="21"/>
              </w:rPr>
              <w:t>养老机构以不同形式为入住老年人提供医疗卫生服务的比例≥90%。养老机构护理型床位占比≥55%，得0.5分；特</w:t>
            </w:r>
            <w:r>
              <w:rPr>
                <w:rFonts w:eastAsia="仿宋_GB2312"/>
                <w:kern w:val="0"/>
                <w:sz w:val="20"/>
                <w:szCs w:val="21"/>
              </w:rPr>
              <w:t>殊困难老年人远程或上门形式的月探访率达到100%</w:t>
            </w:r>
            <w:r>
              <w:rPr>
                <w:rFonts w:eastAsia="仿宋_GB2312"/>
                <w:color w:val="000000"/>
                <w:kern w:val="0"/>
                <w:sz w:val="20"/>
                <w:szCs w:val="21"/>
              </w:rPr>
              <w:t>，得0.5分；</w:t>
            </w:r>
            <w:r>
              <w:rPr>
                <w:rFonts w:eastAsia="仿宋_GB2312"/>
                <w:kern w:val="0"/>
                <w:sz w:val="20"/>
                <w:szCs w:val="21"/>
              </w:rPr>
              <w:t>每千名老年人配备社会工作者人数≥1人</w:t>
            </w:r>
            <w:r>
              <w:rPr>
                <w:rFonts w:eastAsia="仿宋_GB2312"/>
                <w:color w:val="000000"/>
                <w:kern w:val="0"/>
                <w:sz w:val="20"/>
                <w:szCs w:val="21"/>
              </w:rPr>
              <w:t>，得1分；孤儿和事实无人抚养儿童保障覆盖率达到100%，得1分。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5</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健康企业</w:t>
            </w:r>
          </w:p>
        </w:tc>
        <w:tc>
          <w:tcPr>
            <w:tcW w:w="1623" w:type="pct"/>
            <w:vAlign w:val="center"/>
          </w:tcPr>
          <w:p>
            <w:pPr>
              <w:spacing w:line="480" w:lineRule="exact"/>
              <w:rPr>
                <w:rFonts w:eastAsia="仿宋_GB2312"/>
                <w:kern w:val="0"/>
                <w:sz w:val="20"/>
                <w:szCs w:val="21"/>
              </w:rPr>
            </w:pPr>
            <w:r>
              <w:rPr>
                <w:rFonts w:eastAsia="仿宋_GB2312"/>
                <w:kern w:val="0"/>
                <w:sz w:val="20"/>
                <w:szCs w:val="21"/>
              </w:rPr>
              <w:t>积极推进辖区健康企业建设。</w:t>
            </w:r>
          </w:p>
        </w:tc>
        <w:tc>
          <w:tcPr>
            <w:tcW w:w="1623" w:type="pct"/>
            <w:vAlign w:val="center"/>
          </w:tcPr>
          <w:p>
            <w:pPr>
              <w:widowControl/>
              <w:spacing w:line="480" w:lineRule="exact"/>
              <w:rPr>
                <w:rFonts w:eastAsia="仿宋_GB2312"/>
                <w:color w:val="000000"/>
                <w:kern w:val="0"/>
                <w:sz w:val="20"/>
                <w:szCs w:val="21"/>
              </w:rPr>
            </w:pPr>
            <w:r>
              <w:rPr>
                <w:rFonts w:eastAsia="仿宋_GB2312"/>
                <w:kern w:val="0"/>
                <w:sz w:val="20"/>
                <w:szCs w:val="21"/>
              </w:rPr>
              <w:t>企业开展员工健康管理，落实职业病防护措施，</w:t>
            </w:r>
            <w:r>
              <w:rPr>
                <w:rFonts w:eastAsia="仿宋_GB2312"/>
                <w:color w:val="000000"/>
                <w:kern w:val="0"/>
                <w:sz w:val="20"/>
                <w:szCs w:val="21"/>
              </w:rPr>
              <w:t>得1分；</w:t>
            </w:r>
            <w:r>
              <w:rPr>
                <w:rFonts w:eastAsia="仿宋_GB2312"/>
                <w:kern w:val="0"/>
                <w:sz w:val="20"/>
                <w:szCs w:val="21"/>
              </w:rPr>
              <w:t>无重特大安全生产事故和职业病危害事故，</w:t>
            </w:r>
            <w:r>
              <w:rPr>
                <w:rFonts w:eastAsia="仿宋_GB2312"/>
                <w:color w:val="000000"/>
                <w:kern w:val="0"/>
                <w:sz w:val="20"/>
                <w:szCs w:val="21"/>
              </w:rPr>
              <w:t>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2</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健康学校</w:t>
            </w:r>
          </w:p>
        </w:tc>
        <w:tc>
          <w:tcPr>
            <w:tcW w:w="1623" w:type="pct"/>
            <w:vAlign w:val="center"/>
          </w:tcPr>
          <w:p>
            <w:pPr>
              <w:spacing w:line="480" w:lineRule="exact"/>
              <w:rPr>
                <w:rFonts w:eastAsia="仿宋_GB2312"/>
                <w:kern w:val="0"/>
                <w:sz w:val="20"/>
                <w:szCs w:val="21"/>
              </w:rPr>
            </w:pPr>
            <w:r>
              <w:rPr>
                <w:rFonts w:eastAsia="仿宋_GB2312"/>
                <w:kern w:val="0"/>
                <w:sz w:val="20"/>
                <w:szCs w:val="21"/>
              </w:rPr>
              <w:t>积极推进健康学校建设，有效防控传染病等，切实降低近视、肥胖、伤害等发生率。</w:t>
            </w:r>
          </w:p>
        </w:tc>
        <w:tc>
          <w:tcPr>
            <w:tcW w:w="1623" w:type="pct"/>
            <w:vAlign w:val="center"/>
          </w:tcPr>
          <w:p>
            <w:pPr>
              <w:widowControl/>
              <w:spacing w:line="480" w:lineRule="exact"/>
              <w:rPr>
                <w:rFonts w:eastAsia="仿宋_GB2312"/>
                <w:color w:val="000000"/>
                <w:kern w:val="0"/>
                <w:sz w:val="20"/>
                <w:szCs w:val="21"/>
              </w:rPr>
            </w:pPr>
            <w:r>
              <w:rPr>
                <w:rFonts w:eastAsia="仿宋_GB2312"/>
                <w:kern w:val="0"/>
                <w:sz w:val="20"/>
                <w:szCs w:val="21"/>
              </w:rPr>
              <w:t>有效防控传染病，近视、肥胖、伤害等发生率降低，</w:t>
            </w:r>
            <w:r>
              <w:rPr>
                <w:rFonts w:eastAsia="仿宋_GB2312"/>
                <w:color w:val="000000"/>
                <w:kern w:val="0"/>
                <w:sz w:val="20"/>
                <w:szCs w:val="21"/>
              </w:rPr>
              <w:t>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1</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健康社区/村</w:t>
            </w:r>
          </w:p>
        </w:tc>
        <w:tc>
          <w:tcPr>
            <w:tcW w:w="1623" w:type="pct"/>
            <w:vAlign w:val="center"/>
          </w:tcPr>
          <w:p>
            <w:pPr>
              <w:widowControl/>
              <w:spacing w:line="480" w:lineRule="exact"/>
              <w:rPr>
                <w:rFonts w:eastAsia="仿宋_GB2312"/>
                <w:color w:val="000000"/>
                <w:kern w:val="0"/>
                <w:sz w:val="20"/>
                <w:szCs w:val="21"/>
              </w:rPr>
            </w:pPr>
            <w:r>
              <w:rPr>
                <w:rFonts w:eastAsia="仿宋_GB2312"/>
                <w:kern w:val="0"/>
                <w:sz w:val="20"/>
                <w:szCs w:val="21"/>
              </w:rPr>
              <w:t>健康社区、健康村建设覆盖率不低于30%。</w:t>
            </w:r>
          </w:p>
        </w:tc>
        <w:tc>
          <w:tcPr>
            <w:tcW w:w="1623" w:type="pct"/>
            <w:vAlign w:val="center"/>
          </w:tcPr>
          <w:p>
            <w:pPr>
              <w:widowControl/>
              <w:spacing w:line="480" w:lineRule="exact"/>
              <w:rPr>
                <w:rFonts w:eastAsia="仿宋_GB2312"/>
                <w:color w:val="000000"/>
                <w:kern w:val="0"/>
                <w:sz w:val="20"/>
                <w:szCs w:val="21"/>
              </w:rPr>
            </w:pPr>
            <w:r>
              <w:rPr>
                <w:rFonts w:eastAsia="仿宋_GB2312"/>
                <w:kern w:val="0"/>
                <w:sz w:val="20"/>
                <w:szCs w:val="21"/>
              </w:rPr>
              <w:t>健康社区、健康村建设覆盖率不低于30%，各</w:t>
            </w:r>
            <w:r>
              <w:rPr>
                <w:rFonts w:eastAsia="仿宋_GB2312"/>
                <w:color w:val="000000"/>
                <w:kern w:val="0"/>
                <w:sz w:val="20"/>
                <w:szCs w:val="21"/>
              </w:rPr>
              <w:t>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2</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食品安全</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加强假冒伪劣食品治理，强化农产品质量安全和食品安全监管。</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年内无食品安全处罚和事故，得1分。在抽查的单位中：</w:t>
            </w:r>
          </w:p>
          <w:p>
            <w:pPr>
              <w:widowControl/>
              <w:spacing w:line="480" w:lineRule="exact"/>
              <w:rPr>
                <w:rFonts w:eastAsia="仿宋_GB2312"/>
                <w:color w:val="000000"/>
                <w:kern w:val="0"/>
                <w:sz w:val="20"/>
                <w:szCs w:val="21"/>
              </w:rPr>
            </w:pPr>
            <w:r>
              <w:rPr>
                <w:rFonts w:eastAsia="仿宋_GB2312"/>
                <w:color w:val="000000"/>
                <w:kern w:val="0"/>
                <w:sz w:val="20"/>
                <w:szCs w:val="21"/>
              </w:rPr>
              <w:t>实施明厨亮灶设施，展示位置符合规定要求，得1分。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2</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安全和应急</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公共场所消防设施齐全、完好。在易发生溺水、跌落、触电等伤害的区域设置安全标志和保护设施。有自然灾害救助物资储备和灾害救助应急预案，并定期开展演练。</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消防设施齐全、完好，消防车通道畅通，得1分；在易发生溺水、跌落、触电等伤害的区域设置安全标志和保护设施得1分；有自然灾害救助物资储备和灾害救助应急预案得1分；过去1年开展过至少1次应急演练，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4</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1" w:type="pct"/>
            <w:vMerge w:val="restar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四、健康服务（15分）</w:t>
            </w:r>
          </w:p>
        </w:tc>
        <w:tc>
          <w:tcPr>
            <w:tcW w:w="410" w:type="pct"/>
            <w:vAlign w:val="center"/>
          </w:tcPr>
          <w:p>
            <w:pPr>
              <w:widowControl/>
              <w:spacing w:line="480" w:lineRule="exact"/>
              <w:rPr>
                <w:rFonts w:eastAsia="仿宋_GB2312"/>
                <w:kern w:val="0"/>
                <w:sz w:val="20"/>
                <w:szCs w:val="21"/>
              </w:rPr>
            </w:pPr>
            <w:r>
              <w:rPr>
                <w:rFonts w:eastAsia="仿宋_GB2312"/>
                <w:color w:val="000000"/>
                <w:kern w:val="0"/>
                <w:sz w:val="20"/>
                <w:szCs w:val="21"/>
              </w:rPr>
              <w:t>标准化乡镇卫生院</w:t>
            </w:r>
          </w:p>
          <w:p>
            <w:pPr>
              <w:widowControl/>
              <w:spacing w:line="480" w:lineRule="exact"/>
              <w:rPr>
                <w:rFonts w:eastAsia="仿宋_GB2312"/>
                <w:color w:val="000000"/>
                <w:kern w:val="0"/>
                <w:sz w:val="20"/>
                <w:szCs w:val="21"/>
              </w:rPr>
            </w:pP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有政府举办的标准化乡镇卫生院，积极推进健康小屋建设。每个村卫生室均达到建设标准并配备合格村医。</w:t>
            </w:r>
          </w:p>
        </w:tc>
        <w:tc>
          <w:tcPr>
            <w:tcW w:w="1623" w:type="pct"/>
            <w:vAlign w:val="center"/>
          </w:tcPr>
          <w:p>
            <w:pPr>
              <w:widowControl/>
              <w:tabs>
                <w:tab w:val="left" w:pos="312"/>
              </w:tabs>
              <w:spacing w:line="480" w:lineRule="exact"/>
              <w:rPr>
                <w:rFonts w:eastAsia="仿宋_GB2312"/>
                <w:color w:val="000000"/>
                <w:kern w:val="0"/>
                <w:sz w:val="20"/>
                <w:szCs w:val="21"/>
              </w:rPr>
            </w:pPr>
            <w:r>
              <w:rPr>
                <w:rFonts w:eastAsia="仿宋_GB2312"/>
                <w:color w:val="000000"/>
                <w:kern w:val="0"/>
                <w:sz w:val="20"/>
                <w:szCs w:val="21"/>
              </w:rPr>
              <w:t>乡镇卫生院建设符合要求（乡镇卫生院服务能力标准2022版），得1分；有健康小屋且建设符合要求，得1分；村卫生室达到建设标准并配备合格村医，得1分。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3</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基本医疗卫生服务</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面向辖区人群提供基本医疗卫生服务，提升农村医疗卫生服务水平。</w:t>
            </w:r>
          </w:p>
        </w:tc>
        <w:tc>
          <w:tcPr>
            <w:tcW w:w="1623" w:type="pct"/>
            <w:vAlign w:val="center"/>
          </w:tcPr>
          <w:p>
            <w:pPr>
              <w:widowControl/>
              <w:tabs>
                <w:tab w:val="left" w:pos="454"/>
              </w:tabs>
              <w:spacing w:line="480" w:lineRule="exact"/>
              <w:rPr>
                <w:rFonts w:eastAsia="仿宋_GB2312"/>
                <w:color w:val="000000"/>
                <w:kern w:val="0"/>
                <w:sz w:val="20"/>
                <w:szCs w:val="21"/>
              </w:rPr>
            </w:pPr>
            <w:r>
              <w:rPr>
                <w:rFonts w:eastAsia="仿宋_GB2312"/>
                <w:color w:val="000000"/>
                <w:kern w:val="0"/>
                <w:sz w:val="20"/>
                <w:szCs w:val="21"/>
              </w:rPr>
              <w:t>正常开展基本医疗卫生服务且记录齐全，得1分；有县乡巡诊、医联体建设相关文件和活动记录，得1分。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2</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健康教育</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面向居民开展健康教育和健康科普，普及健康知识和技能，提升居民健康素养，引导居民养成文明健康绿色环保的生活方式。</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能够按照基本公共卫生服务规范实施健康教育项目，得2分；面向居民开展健康教育和健康科普活动，1次1分，最高3分。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5</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jc w:val="center"/>
        </w:trPr>
        <w:tc>
          <w:tcPr>
            <w:tcW w:w="411" w:type="pct"/>
            <w:vMerge w:val="continue"/>
            <w:vAlign w:val="center"/>
          </w:tcPr>
          <w:p>
            <w:pPr>
              <w:widowControl/>
              <w:spacing w:line="480" w:lineRule="exact"/>
              <w:jc w:val="center"/>
              <w:rPr>
                <w:rFonts w:eastAsia="仿宋_GB2312"/>
                <w:color w:val="000000"/>
                <w:kern w:val="0"/>
                <w:sz w:val="20"/>
                <w:szCs w:val="21"/>
              </w:rPr>
            </w:pPr>
          </w:p>
        </w:tc>
        <w:tc>
          <w:tcPr>
            <w:tcW w:w="410"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突发事件应对</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建立健全突发公共卫生事件和重大疫情防控机制、疫情防控物资储备制度，加强医疗卫生机构能力建设，推行网格化管理，不断提升突发事件应对能力。</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建立突发公共卫生事件和重大疫情联防联控机制、疫情防控物资储备制度，得1分；加强医疗卫生机构能力建设，每年至少举办1次覆盖所有村卫生室的培训，得1分；推行网格化管理，建立工作网络，得1分。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3</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411" w:type="pct"/>
            <w:vMerge w:val="continue"/>
            <w:vAlign w:val="center"/>
          </w:tcPr>
          <w:p>
            <w:pPr>
              <w:spacing w:line="480" w:lineRule="exact"/>
              <w:jc w:val="center"/>
              <w:rPr>
                <w:rFonts w:eastAsia="仿宋_GB2312"/>
                <w:kern w:val="0"/>
                <w:sz w:val="20"/>
                <w:szCs w:val="21"/>
              </w:rPr>
            </w:pPr>
          </w:p>
        </w:tc>
        <w:tc>
          <w:tcPr>
            <w:tcW w:w="410" w:type="pct"/>
            <w:vAlign w:val="center"/>
          </w:tcPr>
          <w:p>
            <w:pPr>
              <w:spacing w:line="480" w:lineRule="exact"/>
              <w:rPr>
                <w:rFonts w:eastAsia="仿宋_GB2312"/>
                <w:kern w:val="0"/>
                <w:sz w:val="20"/>
                <w:szCs w:val="21"/>
              </w:rPr>
            </w:pPr>
            <w:r>
              <w:rPr>
                <w:rFonts w:eastAsia="仿宋_GB2312"/>
                <w:kern w:val="0"/>
                <w:sz w:val="20"/>
                <w:szCs w:val="21"/>
              </w:rPr>
              <w:t>心理健康</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依托乡镇卫生院、乡镇综合服务管理机构等探索建立心理咨询室，配备专兼职心理健康辅导人员，提供心理健康咨询等服务。</w:t>
            </w:r>
          </w:p>
        </w:tc>
        <w:tc>
          <w:tcPr>
            <w:tcW w:w="1623" w:type="pct"/>
            <w:vAlign w:val="center"/>
          </w:tcPr>
          <w:p>
            <w:pPr>
              <w:spacing w:line="480" w:lineRule="exact"/>
              <w:rPr>
                <w:rFonts w:eastAsia="仿宋_GB2312"/>
                <w:kern w:val="0"/>
                <w:sz w:val="20"/>
                <w:szCs w:val="21"/>
              </w:rPr>
            </w:pPr>
            <w:r>
              <w:rPr>
                <w:rFonts w:eastAsia="仿宋_GB2312"/>
                <w:color w:val="000000"/>
                <w:kern w:val="0"/>
                <w:sz w:val="20"/>
                <w:szCs w:val="21"/>
              </w:rPr>
              <w:t>建立心理咨询室，配备专兼职心理健康辅导人员，得1分，提供心理健康咨询等服务，得1分。</w:t>
            </w:r>
          </w:p>
        </w:tc>
        <w:tc>
          <w:tcPr>
            <w:tcW w:w="264" w:type="pct"/>
            <w:vAlign w:val="center"/>
          </w:tcPr>
          <w:p>
            <w:pPr>
              <w:widowControl/>
              <w:spacing w:line="480" w:lineRule="exact"/>
              <w:jc w:val="center"/>
              <w:rPr>
                <w:rFonts w:eastAsia="仿宋_GB2312"/>
                <w:kern w:val="0"/>
                <w:sz w:val="20"/>
                <w:szCs w:val="21"/>
              </w:rPr>
            </w:pPr>
            <w:r>
              <w:rPr>
                <w:rFonts w:eastAsia="仿宋_GB2312"/>
                <w:kern w:val="0"/>
                <w:sz w:val="20"/>
                <w:szCs w:val="21"/>
              </w:rPr>
              <w:t>2</w:t>
            </w:r>
          </w:p>
        </w:tc>
        <w:tc>
          <w:tcPr>
            <w:tcW w:w="264" w:type="pct"/>
            <w:vAlign w:val="center"/>
          </w:tcPr>
          <w:p>
            <w:pPr>
              <w:widowControl/>
              <w:spacing w:line="480" w:lineRule="exact"/>
              <w:rPr>
                <w:rFonts w:eastAsia="仿宋_GB2312"/>
                <w:kern w:val="0"/>
                <w:sz w:val="20"/>
                <w:szCs w:val="21"/>
              </w:rPr>
            </w:pPr>
          </w:p>
        </w:tc>
        <w:tc>
          <w:tcPr>
            <w:tcW w:w="406" w:type="pct"/>
            <w:vAlign w:val="center"/>
          </w:tcPr>
          <w:p>
            <w:pPr>
              <w:widowControl/>
              <w:spacing w:line="480" w:lineRule="exact"/>
              <w:rPr>
                <w:rFonts w:eastAsia="仿宋_GB2312"/>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9" w:hRule="atLeast"/>
          <w:jc w:val="center"/>
        </w:trPr>
        <w:tc>
          <w:tcPr>
            <w:tcW w:w="411" w:type="pct"/>
            <w:vMerge w:val="restart"/>
            <w:vAlign w:val="center"/>
          </w:tcPr>
          <w:p>
            <w:pPr>
              <w:spacing w:line="480" w:lineRule="exact"/>
              <w:jc w:val="center"/>
              <w:rPr>
                <w:rFonts w:eastAsia="仿宋_GB2312"/>
                <w:kern w:val="0"/>
                <w:sz w:val="20"/>
                <w:szCs w:val="21"/>
              </w:rPr>
            </w:pPr>
            <w:r>
              <w:rPr>
                <w:rFonts w:eastAsia="仿宋_GB2312"/>
                <w:kern w:val="0"/>
                <w:sz w:val="20"/>
                <w:szCs w:val="21"/>
              </w:rPr>
              <w:t>五、健康文化（25分）</w:t>
            </w:r>
          </w:p>
        </w:tc>
        <w:tc>
          <w:tcPr>
            <w:tcW w:w="410" w:type="pct"/>
            <w:vAlign w:val="center"/>
          </w:tcPr>
          <w:p>
            <w:pPr>
              <w:spacing w:line="480" w:lineRule="exact"/>
              <w:rPr>
                <w:rFonts w:eastAsia="仿宋_GB2312"/>
                <w:kern w:val="0"/>
                <w:sz w:val="20"/>
                <w:szCs w:val="21"/>
              </w:rPr>
            </w:pPr>
            <w:r>
              <w:rPr>
                <w:rFonts w:eastAsia="仿宋_GB2312"/>
                <w:kern w:val="0"/>
                <w:sz w:val="20"/>
                <w:szCs w:val="21"/>
              </w:rPr>
              <w:t>健康绿色生活方式</w:t>
            </w:r>
          </w:p>
        </w:tc>
        <w:tc>
          <w:tcPr>
            <w:tcW w:w="1623" w:type="pct"/>
            <w:vAlign w:val="center"/>
          </w:tcPr>
          <w:p>
            <w:pPr>
              <w:widowControl/>
              <w:spacing w:line="480" w:lineRule="exact"/>
              <w:rPr>
                <w:rFonts w:eastAsia="仿宋_GB2312"/>
                <w:kern w:val="0"/>
                <w:sz w:val="20"/>
                <w:szCs w:val="21"/>
              </w:rPr>
            </w:pPr>
            <w:r>
              <w:rPr>
                <w:rFonts w:eastAsia="仿宋_GB2312"/>
                <w:color w:val="000000"/>
                <w:kern w:val="0"/>
                <w:sz w:val="20"/>
                <w:szCs w:val="21"/>
              </w:rPr>
              <w:t>机关干部带头践行文明健康绿色环保生活方 式，通过广泛宣传，营造全民关注健康的社会氛围。</w:t>
            </w:r>
          </w:p>
        </w:tc>
        <w:tc>
          <w:tcPr>
            <w:tcW w:w="1623" w:type="pct"/>
            <w:vAlign w:val="center"/>
          </w:tcPr>
          <w:p>
            <w:pPr>
              <w:spacing w:line="480" w:lineRule="exact"/>
              <w:rPr>
                <w:rFonts w:eastAsia="仿宋_GB2312"/>
                <w:color w:val="000000"/>
                <w:kern w:val="0"/>
                <w:sz w:val="20"/>
                <w:szCs w:val="21"/>
              </w:rPr>
            </w:pPr>
            <w:r>
              <w:rPr>
                <w:rFonts w:eastAsia="仿宋_GB2312"/>
                <w:color w:val="000000"/>
                <w:kern w:val="0"/>
                <w:sz w:val="20"/>
                <w:szCs w:val="21"/>
              </w:rPr>
              <w:t>机关干部不吸烟，得1分。广泛开展各类健康主题活动，1次1分，最高2分。</w:t>
            </w:r>
          </w:p>
          <w:p>
            <w:pPr>
              <w:spacing w:line="480" w:lineRule="exact"/>
              <w:rPr>
                <w:rFonts w:eastAsia="仿宋_GB2312"/>
                <w:color w:val="000000"/>
                <w:kern w:val="0"/>
                <w:sz w:val="20"/>
                <w:szCs w:val="21"/>
              </w:rPr>
            </w:pPr>
          </w:p>
        </w:tc>
        <w:tc>
          <w:tcPr>
            <w:tcW w:w="264" w:type="pct"/>
            <w:vAlign w:val="center"/>
          </w:tcPr>
          <w:p>
            <w:pPr>
              <w:widowControl/>
              <w:spacing w:line="480" w:lineRule="exact"/>
              <w:jc w:val="center"/>
              <w:rPr>
                <w:rFonts w:eastAsia="仿宋_GB2312"/>
                <w:kern w:val="0"/>
                <w:sz w:val="20"/>
                <w:szCs w:val="21"/>
              </w:rPr>
            </w:pPr>
            <w:r>
              <w:rPr>
                <w:rFonts w:eastAsia="仿宋_GB2312"/>
                <w:kern w:val="0"/>
                <w:sz w:val="20"/>
                <w:szCs w:val="21"/>
              </w:rPr>
              <w:t>3</w:t>
            </w:r>
          </w:p>
        </w:tc>
        <w:tc>
          <w:tcPr>
            <w:tcW w:w="264" w:type="pct"/>
            <w:vAlign w:val="center"/>
          </w:tcPr>
          <w:p>
            <w:pPr>
              <w:widowControl/>
              <w:spacing w:line="480" w:lineRule="exact"/>
              <w:rPr>
                <w:rFonts w:eastAsia="仿宋_GB2312"/>
                <w:kern w:val="0"/>
                <w:sz w:val="20"/>
                <w:szCs w:val="21"/>
              </w:rPr>
            </w:pPr>
          </w:p>
        </w:tc>
        <w:tc>
          <w:tcPr>
            <w:tcW w:w="406" w:type="pct"/>
            <w:vAlign w:val="center"/>
          </w:tcPr>
          <w:p>
            <w:pPr>
              <w:widowControl/>
              <w:spacing w:line="480" w:lineRule="exact"/>
              <w:rPr>
                <w:rFonts w:eastAsia="仿宋_GB2312"/>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411" w:type="pct"/>
            <w:vMerge w:val="continue"/>
            <w:vAlign w:val="center"/>
          </w:tcPr>
          <w:p>
            <w:pPr>
              <w:spacing w:line="480" w:lineRule="exact"/>
              <w:rPr>
                <w:rFonts w:eastAsia="仿宋_GB2312"/>
                <w:kern w:val="0"/>
                <w:sz w:val="20"/>
                <w:szCs w:val="21"/>
              </w:rPr>
            </w:pPr>
          </w:p>
        </w:tc>
        <w:tc>
          <w:tcPr>
            <w:tcW w:w="410" w:type="pct"/>
            <w:vAlign w:val="center"/>
          </w:tcPr>
          <w:p>
            <w:pPr>
              <w:spacing w:line="480" w:lineRule="exact"/>
              <w:rPr>
                <w:rFonts w:eastAsia="仿宋_GB2312"/>
                <w:kern w:val="0"/>
                <w:sz w:val="20"/>
                <w:szCs w:val="21"/>
              </w:rPr>
            </w:pPr>
            <w:r>
              <w:rPr>
                <w:rFonts w:eastAsia="仿宋_GB2312"/>
                <w:kern w:val="0"/>
                <w:sz w:val="20"/>
                <w:szCs w:val="21"/>
              </w:rPr>
              <w:t>健康家庭</w:t>
            </w:r>
          </w:p>
        </w:tc>
        <w:tc>
          <w:tcPr>
            <w:tcW w:w="1623" w:type="pct"/>
            <w:vAlign w:val="center"/>
          </w:tcPr>
          <w:p>
            <w:pPr>
              <w:widowControl/>
              <w:spacing w:line="480" w:lineRule="exact"/>
              <w:rPr>
                <w:rFonts w:eastAsia="仿宋_GB2312"/>
                <w:color w:val="000000"/>
                <w:kern w:val="0"/>
                <w:sz w:val="20"/>
                <w:szCs w:val="21"/>
              </w:rPr>
            </w:pPr>
            <w:r>
              <w:rPr>
                <w:rFonts w:eastAsia="仿宋_GB2312"/>
                <w:color w:val="000000"/>
                <w:kern w:val="0"/>
                <w:sz w:val="20"/>
                <w:szCs w:val="21"/>
              </w:rPr>
              <w:t>开展健康家庭建设活动，引导居民树牢自身健康第一责任，强化健康理念，学习健康知识，掌握健康技能，践行健康生活。</w:t>
            </w:r>
          </w:p>
        </w:tc>
        <w:tc>
          <w:tcPr>
            <w:tcW w:w="1623" w:type="pct"/>
            <w:vAlign w:val="center"/>
          </w:tcPr>
          <w:p>
            <w:pPr>
              <w:spacing w:line="480" w:lineRule="exact"/>
              <w:rPr>
                <w:rFonts w:eastAsia="仿宋_GB2312"/>
                <w:color w:val="000000"/>
                <w:kern w:val="0"/>
                <w:sz w:val="20"/>
                <w:szCs w:val="21"/>
              </w:rPr>
            </w:pPr>
            <w:r>
              <w:rPr>
                <w:rFonts w:eastAsia="仿宋_GB2312"/>
                <w:color w:val="000000"/>
                <w:kern w:val="0"/>
                <w:sz w:val="20"/>
                <w:szCs w:val="21"/>
              </w:rPr>
              <w:t>有健康家庭实施方案、评选步骤和流程，得1分。开展针对家庭的健康活动，得1分。健康家庭覆盖率逐年提升，得1分。开展“健康达人”评选，得1分。</w:t>
            </w:r>
          </w:p>
        </w:tc>
        <w:tc>
          <w:tcPr>
            <w:tcW w:w="264" w:type="pct"/>
            <w:vAlign w:val="center"/>
          </w:tcPr>
          <w:p>
            <w:pPr>
              <w:widowControl/>
              <w:spacing w:line="480" w:lineRule="exact"/>
              <w:jc w:val="center"/>
              <w:rPr>
                <w:rFonts w:eastAsia="仿宋_GB2312"/>
                <w:kern w:val="0"/>
                <w:sz w:val="20"/>
                <w:szCs w:val="21"/>
              </w:rPr>
            </w:pPr>
            <w:r>
              <w:rPr>
                <w:rFonts w:eastAsia="仿宋_GB2312"/>
                <w:kern w:val="0"/>
                <w:sz w:val="20"/>
                <w:szCs w:val="21"/>
              </w:rPr>
              <w:t>4</w:t>
            </w:r>
          </w:p>
        </w:tc>
        <w:tc>
          <w:tcPr>
            <w:tcW w:w="264" w:type="pct"/>
            <w:vAlign w:val="center"/>
          </w:tcPr>
          <w:p>
            <w:pPr>
              <w:widowControl/>
              <w:spacing w:line="480" w:lineRule="exact"/>
              <w:rPr>
                <w:rFonts w:eastAsia="仿宋_GB2312"/>
                <w:kern w:val="0"/>
                <w:sz w:val="20"/>
                <w:szCs w:val="21"/>
              </w:rPr>
            </w:pPr>
          </w:p>
        </w:tc>
        <w:tc>
          <w:tcPr>
            <w:tcW w:w="406" w:type="pct"/>
            <w:vAlign w:val="center"/>
          </w:tcPr>
          <w:p>
            <w:pPr>
              <w:widowControl/>
              <w:spacing w:line="480" w:lineRule="exact"/>
              <w:rPr>
                <w:rFonts w:eastAsia="仿宋_GB2312"/>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411" w:type="pct"/>
            <w:vMerge w:val="continue"/>
            <w:vAlign w:val="center"/>
          </w:tcPr>
          <w:p>
            <w:pPr>
              <w:spacing w:line="480" w:lineRule="exact"/>
              <w:rPr>
                <w:rFonts w:eastAsia="仿宋_GB2312"/>
                <w:kern w:val="0"/>
                <w:sz w:val="20"/>
                <w:szCs w:val="21"/>
              </w:rPr>
            </w:pPr>
          </w:p>
        </w:tc>
        <w:tc>
          <w:tcPr>
            <w:tcW w:w="410" w:type="pct"/>
            <w:vAlign w:val="center"/>
          </w:tcPr>
          <w:p>
            <w:pPr>
              <w:spacing w:line="480" w:lineRule="exact"/>
              <w:rPr>
                <w:rFonts w:eastAsia="仿宋_GB2312"/>
                <w:kern w:val="0"/>
                <w:sz w:val="20"/>
                <w:szCs w:val="21"/>
              </w:rPr>
            </w:pPr>
            <w:r>
              <w:rPr>
                <w:rFonts w:eastAsia="仿宋_GB2312"/>
                <w:kern w:val="0"/>
                <w:sz w:val="20"/>
                <w:szCs w:val="21"/>
              </w:rPr>
              <w:t>无烟文化</w:t>
            </w:r>
          </w:p>
        </w:tc>
        <w:tc>
          <w:tcPr>
            <w:tcW w:w="1623" w:type="pct"/>
            <w:vAlign w:val="center"/>
          </w:tcPr>
          <w:p>
            <w:pPr>
              <w:spacing w:line="480" w:lineRule="exact"/>
              <w:rPr>
                <w:rFonts w:eastAsia="仿宋_GB2312"/>
                <w:kern w:val="0"/>
                <w:sz w:val="20"/>
                <w:szCs w:val="21"/>
              </w:rPr>
            </w:pPr>
            <w:r>
              <w:rPr>
                <w:rFonts w:eastAsia="仿宋_GB2312"/>
                <w:kern w:val="0"/>
                <w:sz w:val="20"/>
                <w:szCs w:val="21"/>
              </w:rPr>
              <w:t>倡导无烟文化。辖区内党政机关均为无烟党政机关。辖区室内公共场所、工作场所禁止吸烟，主要建筑物入口处、电梯、公共厕所、会议室等区域有明显的控烟标识。辖区内无烟草广告和促销。不向未成年人售烟酒。</w:t>
            </w:r>
          </w:p>
        </w:tc>
        <w:tc>
          <w:tcPr>
            <w:tcW w:w="1623" w:type="pct"/>
            <w:vAlign w:val="center"/>
          </w:tcPr>
          <w:p>
            <w:pPr>
              <w:spacing w:line="480" w:lineRule="exact"/>
              <w:rPr>
                <w:rFonts w:eastAsia="仿宋_GB2312"/>
                <w:kern w:val="0"/>
                <w:sz w:val="20"/>
                <w:szCs w:val="21"/>
              </w:rPr>
            </w:pPr>
            <w:r>
              <w:rPr>
                <w:rFonts w:eastAsia="仿宋_GB2312"/>
                <w:kern w:val="0"/>
                <w:sz w:val="20"/>
                <w:szCs w:val="21"/>
              </w:rPr>
              <w:t>有无烟党政机关建设相关文件，得1分；辖区室内公共场所、工作场所禁止吸烟，得1分；主要建筑物入口处、电梯、公共厕所、会议室等区域有明显的控烟标识，得1分；辖区内无任何形式的烟草广告，得1分。学校周边100米内无烟草/电子烟/酒零售点，得1分。</w:t>
            </w:r>
          </w:p>
        </w:tc>
        <w:tc>
          <w:tcPr>
            <w:tcW w:w="264" w:type="pct"/>
            <w:vAlign w:val="center"/>
          </w:tcPr>
          <w:p>
            <w:pPr>
              <w:widowControl/>
              <w:spacing w:line="480" w:lineRule="exact"/>
              <w:jc w:val="center"/>
              <w:rPr>
                <w:rFonts w:eastAsia="仿宋_GB2312"/>
                <w:kern w:val="0"/>
                <w:sz w:val="20"/>
                <w:szCs w:val="21"/>
              </w:rPr>
            </w:pPr>
            <w:r>
              <w:rPr>
                <w:rFonts w:eastAsia="仿宋_GB2312"/>
                <w:kern w:val="0"/>
                <w:sz w:val="20"/>
                <w:szCs w:val="21"/>
              </w:rPr>
              <w:t>4</w:t>
            </w:r>
          </w:p>
        </w:tc>
        <w:tc>
          <w:tcPr>
            <w:tcW w:w="264" w:type="pct"/>
            <w:vAlign w:val="center"/>
          </w:tcPr>
          <w:p>
            <w:pPr>
              <w:widowControl/>
              <w:spacing w:line="480" w:lineRule="exact"/>
              <w:rPr>
                <w:rFonts w:eastAsia="仿宋_GB2312"/>
                <w:kern w:val="0"/>
                <w:sz w:val="20"/>
                <w:szCs w:val="21"/>
              </w:rPr>
            </w:pPr>
          </w:p>
        </w:tc>
        <w:tc>
          <w:tcPr>
            <w:tcW w:w="406" w:type="pct"/>
            <w:vAlign w:val="center"/>
          </w:tcPr>
          <w:p>
            <w:pPr>
              <w:widowControl/>
              <w:spacing w:line="480" w:lineRule="exact"/>
              <w:rPr>
                <w:rFonts w:eastAsia="仿宋_GB2312"/>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9" w:hRule="atLeast"/>
          <w:jc w:val="center"/>
        </w:trPr>
        <w:tc>
          <w:tcPr>
            <w:tcW w:w="411" w:type="pct"/>
            <w:vMerge w:val="continue"/>
            <w:vAlign w:val="center"/>
          </w:tcPr>
          <w:p>
            <w:pPr>
              <w:spacing w:line="480" w:lineRule="exact"/>
              <w:rPr>
                <w:rFonts w:eastAsia="仿宋_GB2312"/>
                <w:kern w:val="0"/>
                <w:sz w:val="20"/>
                <w:szCs w:val="21"/>
              </w:rPr>
            </w:pPr>
          </w:p>
        </w:tc>
        <w:tc>
          <w:tcPr>
            <w:tcW w:w="410" w:type="pct"/>
            <w:vAlign w:val="center"/>
          </w:tcPr>
          <w:p>
            <w:pPr>
              <w:spacing w:line="480" w:lineRule="exact"/>
              <w:rPr>
                <w:rFonts w:eastAsia="仿宋_GB2312"/>
                <w:kern w:val="0"/>
                <w:sz w:val="20"/>
                <w:szCs w:val="21"/>
              </w:rPr>
            </w:pPr>
            <w:r>
              <w:rPr>
                <w:rFonts w:eastAsia="仿宋_GB2312"/>
                <w:kern w:val="0"/>
                <w:sz w:val="20"/>
                <w:szCs w:val="21"/>
              </w:rPr>
              <w:t>全民健身文化</w:t>
            </w:r>
          </w:p>
        </w:tc>
        <w:tc>
          <w:tcPr>
            <w:tcW w:w="1623" w:type="pct"/>
            <w:vAlign w:val="center"/>
          </w:tcPr>
          <w:p>
            <w:pPr>
              <w:spacing w:line="480" w:lineRule="exact"/>
              <w:rPr>
                <w:rFonts w:eastAsia="仿宋_GB2312"/>
                <w:kern w:val="0"/>
                <w:sz w:val="20"/>
                <w:szCs w:val="21"/>
              </w:rPr>
            </w:pPr>
            <w:r>
              <w:rPr>
                <w:rFonts w:eastAsia="仿宋_GB2312"/>
                <w:kern w:val="0"/>
                <w:sz w:val="20"/>
                <w:szCs w:val="21"/>
              </w:rPr>
              <w:t>辖区建有公共健身设施。发挥农村文体骨干、社会体育指导员等全民健身志愿者作用，组织开展简便易行的群众性健身活动及民族、民俗、民间体育活动。</w:t>
            </w:r>
          </w:p>
        </w:tc>
        <w:tc>
          <w:tcPr>
            <w:tcW w:w="1623" w:type="pct"/>
            <w:vAlign w:val="center"/>
          </w:tcPr>
          <w:p>
            <w:pPr>
              <w:tabs>
                <w:tab w:val="left" w:pos="312"/>
              </w:tabs>
              <w:spacing w:line="480" w:lineRule="exact"/>
              <w:rPr>
                <w:rFonts w:eastAsia="仿宋_GB2312"/>
                <w:kern w:val="0"/>
                <w:sz w:val="20"/>
                <w:szCs w:val="21"/>
              </w:rPr>
            </w:pPr>
            <w:r>
              <w:rPr>
                <w:rFonts w:eastAsia="仿宋_GB2312"/>
                <w:kern w:val="0"/>
                <w:sz w:val="20"/>
                <w:szCs w:val="21"/>
              </w:rPr>
              <w:t>有公共健身设施，且建设符合要求得0.5分；有健康(身)步道，且建设符合要求得0.5分；有健康(身)广场，且建设符合要求得0.5分；有健康主题公园，且建设符合要求得0.5分。有农村文体骨干、社会体育指导员等名单，得1分；每开展一次健身或体育活动得0.5分，最高1分。</w:t>
            </w:r>
          </w:p>
        </w:tc>
        <w:tc>
          <w:tcPr>
            <w:tcW w:w="264" w:type="pct"/>
            <w:vAlign w:val="center"/>
          </w:tcPr>
          <w:p>
            <w:pPr>
              <w:spacing w:line="480" w:lineRule="exact"/>
              <w:jc w:val="center"/>
              <w:rPr>
                <w:rFonts w:eastAsia="仿宋_GB2312"/>
                <w:kern w:val="0"/>
                <w:sz w:val="20"/>
                <w:szCs w:val="21"/>
              </w:rPr>
            </w:pPr>
            <w:r>
              <w:rPr>
                <w:rFonts w:eastAsia="仿宋_GB2312"/>
                <w:kern w:val="0"/>
                <w:sz w:val="20"/>
                <w:szCs w:val="21"/>
              </w:rPr>
              <w:t>4</w:t>
            </w:r>
          </w:p>
        </w:tc>
        <w:tc>
          <w:tcPr>
            <w:tcW w:w="264" w:type="pct"/>
            <w:vAlign w:val="center"/>
          </w:tcPr>
          <w:p>
            <w:pPr>
              <w:spacing w:line="480" w:lineRule="exact"/>
              <w:rPr>
                <w:rFonts w:eastAsia="仿宋_GB2312"/>
                <w:kern w:val="0"/>
                <w:sz w:val="20"/>
                <w:szCs w:val="21"/>
              </w:rPr>
            </w:pPr>
          </w:p>
        </w:tc>
        <w:tc>
          <w:tcPr>
            <w:tcW w:w="406" w:type="pct"/>
            <w:vAlign w:val="center"/>
          </w:tcPr>
          <w:p>
            <w:pPr>
              <w:spacing w:line="480" w:lineRule="exact"/>
              <w:rPr>
                <w:rFonts w:eastAsia="仿宋_GB2312"/>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411" w:type="pct"/>
            <w:vMerge w:val="continue"/>
            <w:vAlign w:val="center"/>
          </w:tcPr>
          <w:p>
            <w:pPr>
              <w:spacing w:line="480" w:lineRule="exact"/>
              <w:rPr>
                <w:rFonts w:eastAsia="仿宋_GB2312"/>
                <w:kern w:val="0"/>
                <w:sz w:val="20"/>
                <w:szCs w:val="21"/>
              </w:rPr>
            </w:pPr>
          </w:p>
        </w:tc>
        <w:tc>
          <w:tcPr>
            <w:tcW w:w="410" w:type="pct"/>
            <w:vAlign w:val="center"/>
          </w:tcPr>
          <w:p>
            <w:pPr>
              <w:spacing w:line="480" w:lineRule="exact"/>
              <w:rPr>
                <w:rFonts w:eastAsia="仿宋_GB2312"/>
                <w:kern w:val="0"/>
                <w:sz w:val="20"/>
                <w:szCs w:val="21"/>
              </w:rPr>
            </w:pPr>
            <w:r>
              <w:rPr>
                <w:rFonts w:eastAsia="仿宋_GB2312"/>
                <w:kern w:val="0"/>
                <w:sz w:val="20"/>
                <w:szCs w:val="21"/>
              </w:rPr>
              <w:t>中医药文化</w:t>
            </w:r>
          </w:p>
        </w:tc>
        <w:tc>
          <w:tcPr>
            <w:tcW w:w="1623" w:type="pct"/>
            <w:vAlign w:val="center"/>
          </w:tcPr>
          <w:p>
            <w:pPr>
              <w:spacing w:line="480" w:lineRule="exact"/>
              <w:rPr>
                <w:rFonts w:eastAsia="仿宋_GB2312"/>
                <w:kern w:val="0"/>
                <w:sz w:val="20"/>
                <w:szCs w:val="21"/>
              </w:rPr>
            </w:pPr>
            <w:r>
              <w:rPr>
                <w:rFonts w:eastAsia="仿宋_GB2312"/>
                <w:kern w:val="0"/>
                <w:sz w:val="20"/>
                <w:szCs w:val="21"/>
              </w:rPr>
              <w:t>传承中医药文化，普及中医药养生保健知识，引导群众正确使用中医药维护健康。</w:t>
            </w:r>
          </w:p>
        </w:tc>
        <w:tc>
          <w:tcPr>
            <w:tcW w:w="1623" w:type="pct"/>
            <w:vAlign w:val="center"/>
          </w:tcPr>
          <w:p>
            <w:pPr>
              <w:widowControl/>
              <w:spacing w:line="480" w:lineRule="exact"/>
              <w:rPr>
                <w:rFonts w:eastAsia="仿宋_GB2312"/>
                <w:kern w:val="0"/>
                <w:sz w:val="20"/>
                <w:szCs w:val="21"/>
              </w:rPr>
            </w:pPr>
            <w:r>
              <w:rPr>
                <w:rFonts w:eastAsia="仿宋_GB2312"/>
                <w:kern w:val="0"/>
                <w:sz w:val="20"/>
                <w:szCs w:val="21"/>
              </w:rPr>
              <w:t>建有中医馆或中医药健康文化知识角，得1分；基层医疗卫生机构日常健康教育中包含中医药内容，得1分。</w:t>
            </w:r>
          </w:p>
        </w:tc>
        <w:tc>
          <w:tcPr>
            <w:tcW w:w="264" w:type="pct"/>
            <w:vAlign w:val="center"/>
          </w:tcPr>
          <w:p>
            <w:pPr>
              <w:spacing w:line="480" w:lineRule="exact"/>
              <w:jc w:val="center"/>
              <w:rPr>
                <w:rFonts w:eastAsia="仿宋_GB2312"/>
                <w:kern w:val="0"/>
                <w:sz w:val="20"/>
                <w:szCs w:val="21"/>
              </w:rPr>
            </w:pPr>
            <w:r>
              <w:rPr>
                <w:rFonts w:eastAsia="仿宋_GB2312"/>
                <w:kern w:val="0"/>
                <w:sz w:val="20"/>
                <w:szCs w:val="21"/>
              </w:rPr>
              <w:t>2</w:t>
            </w:r>
          </w:p>
        </w:tc>
        <w:tc>
          <w:tcPr>
            <w:tcW w:w="264" w:type="pct"/>
            <w:vAlign w:val="center"/>
          </w:tcPr>
          <w:p>
            <w:pPr>
              <w:spacing w:line="480" w:lineRule="exact"/>
              <w:rPr>
                <w:rFonts w:eastAsia="仿宋_GB2312"/>
                <w:kern w:val="0"/>
                <w:sz w:val="20"/>
                <w:szCs w:val="21"/>
              </w:rPr>
            </w:pPr>
          </w:p>
        </w:tc>
        <w:tc>
          <w:tcPr>
            <w:tcW w:w="406" w:type="pct"/>
            <w:vAlign w:val="center"/>
          </w:tcPr>
          <w:p>
            <w:pPr>
              <w:spacing w:line="480" w:lineRule="exact"/>
              <w:rPr>
                <w:rFonts w:eastAsia="仿宋_GB2312"/>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411" w:type="pct"/>
            <w:vMerge w:val="continue"/>
            <w:vAlign w:val="center"/>
          </w:tcPr>
          <w:p>
            <w:pPr>
              <w:spacing w:line="480" w:lineRule="exact"/>
              <w:rPr>
                <w:rFonts w:eastAsia="仿宋_GB2312"/>
                <w:kern w:val="0"/>
                <w:sz w:val="20"/>
                <w:szCs w:val="21"/>
              </w:rPr>
            </w:pPr>
          </w:p>
        </w:tc>
        <w:tc>
          <w:tcPr>
            <w:tcW w:w="410" w:type="pct"/>
            <w:vAlign w:val="center"/>
          </w:tcPr>
          <w:p>
            <w:pPr>
              <w:spacing w:line="480" w:lineRule="exact"/>
              <w:rPr>
                <w:rFonts w:eastAsia="仿宋_GB2312"/>
                <w:kern w:val="0"/>
                <w:sz w:val="20"/>
                <w:szCs w:val="21"/>
              </w:rPr>
            </w:pPr>
            <w:r>
              <w:rPr>
                <w:rFonts w:eastAsia="仿宋_GB2312"/>
                <w:kern w:val="0"/>
                <w:sz w:val="20"/>
                <w:szCs w:val="21"/>
              </w:rPr>
              <w:t>绿色环保文化</w:t>
            </w:r>
          </w:p>
        </w:tc>
        <w:tc>
          <w:tcPr>
            <w:tcW w:w="1623" w:type="pct"/>
            <w:vAlign w:val="center"/>
          </w:tcPr>
          <w:p>
            <w:pPr>
              <w:spacing w:line="480" w:lineRule="exact"/>
              <w:rPr>
                <w:rFonts w:eastAsia="仿宋_GB2312"/>
                <w:kern w:val="0"/>
                <w:sz w:val="20"/>
                <w:szCs w:val="21"/>
              </w:rPr>
            </w:pPr>
            <w:r>
              <w:rPr>
                <w:rFonts w:eastAsia="仿宋_GB2312"/>
                <w:kern w:val="0"/>
                <w:sz w:val="20"/>
                <w:szCs w:val="21"/>
              </w:rPr>
              <w:t>鼓励节约能源，引导辖区干部群众采取低碳出行方式，减少使用塑料制品、过度包装产品和一次性用品。</w:t>
            </w:r>
          </w:p>
        </w:tc>
        <w:tc>
          <w:tcPr>
            <w:tcW w:w="1623" w:type="pct"/>
            <w:vAlign w:val="center"/>
          </w:tcPr>
          <w:p>
            <w:pPr>
              <w:spacing w:line="480" w:lineRule="exact"/>
              <w:rPr>
                <w:rFonts w:eastAsia="仿宋_GB2312"/>
                <w:kern w:val="0"/>
                <w:sz w:val="20"/>
                <w:szCs w:val="21"/>
              </w:rPr>
            </w:pPr>
            <w:r>
              <w:rPr>
                <w:rFonts w:eastAsia="仿宋_GB2312"/>
                <w:kern w:val="0"/>
                <w:sz w:val="20"/>
                <w:szCs w:val="21"/>
              </w:rPr>
              <w:t>有践行文明健康绿色环保生活方式相关文件，得1分；</w:t>
            </w:r>
          </w:p>
          <w:p>
            <w:pPr>
              <w:spacing w:line="480" w:lineRule="exact"/>
              <w:rPr>
                <w:rFonts w:eastAsia="仿宋_GB2312"/>
                <w:kern w:val="0"/>
                <w:sz w:val="20"/>
                <w:szCs w:val="21"/>
              </w:rPr>
            </w:pPr>
            <w:r>
              <w:rPr>
                <w:rFonts w:eastAsia="仿宋_GB2312"/>
                <w:kern w:val="0"/>
                <w:sz w:val="20"/>
                <w:szCs w:val="21"/>
              </w:rPr>
              <w:t xml:space="preserve">利用宣传栏、广告牌、横幅、新媒体等形式开展相关宣传活动且有记录，每种形式得0.5分，最高得1分。 </w:t>
            </w:r>
          </w:p>
        </w:tc>
        <w:tc>
          <w:tcPr>
            <w:tcW w:w="264" w:type="pct"/>
            <w:vAlign w:val="center"/>
          </w:tcPr>
          <w:p>
            <w:pPr>
              <w:spacing w:line="480" w:lineRule="exact"/>
              <w:jc w:val="center"/>
              <w:rPr>
                <w:rFonts w:eastAsia="仿宋_GB2312"/>
                <w:kern w:val="0"/>
                <w:sz w:val="20"/>
                <w:szCs w:val="21"/>
              </w:rPr>
            </w:pPr>
            <w:r>
              <w:rPr>
                <w:rFonts w:eastAsia="仿宋_GB2312"/>
                <w:kern w:val="0"/>
                <w:sz w:val="20"/>
                <w:szCs w:val="21"/>
              </w:rPr>
              <w:t>2</w:t>
            </w:r>
          </w:p>
        </w:tc>
        <w:tc>
          <w:tcPr>
            <w:tcW w:w="264" w:type="pct"/>
            <w:vAlign w:val="center"/>
          </w:tcPr>
          <w:p>
            <w:pPr>
              <w:spacing w:line="480" w:lineRule="exact"/>
              <w:rPr>
                <w:rFonts w:eastAsia="仿宋_GB2312"/>
                <w:kern w:val="0"/>
                <w:sz w:val="20"/>
                <w:szCs w:val="21"/>
              </w:rPr>
            </w:pPr>
          </w:p>
        </w:tc>
        <w:tc>
          <w:tcPr>
            <w:tcW w:w="406" w:type="pct"/>
            <w:vAlign w:val="center"/>
          </w:tcPr>
          <w:p>
            <w:pPr>
              <w:spacing w:line="480" w:lineRule="exact"/>
              <w:rPr>
                <w:rFonts w:eastAsia="仿宋_GB2312"/>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411" w:type="pct"/>
            <w:vMerge w:val="continue"/>
            <w:vAlign w:val="center"/>
          </w:tcPr>
          <w:p>
            <w:pPr>
              <w:spacing w:line="480" w:lineRule="exact"/>
              <w:rPr>
                <w:rFonts w:eastAsia="仿宋_GB2312"/>
                <w:kern w:val="0"/>
                <w:sz w:val="20"/>
                <w:szCs w:val="21"/>
              </w:rPr>
            </w:pPr>
          </w:p>
        </w:tc>
        <w:tc>
          <w:tcPr>
            <w:tcW w:w="410" w:type="pct"/>
            <w:vAlign w:val="center"/>
          </w:tcPr>
          <w:p>
            <w:pPr>
              <w:spacing w:line="480" w:lineRule="exact"/>
              <w:rPr>
                <w:rFonts w:eastAsia="仿宋_GB2312"/>
                <w:kern w:val="0"/>
                <w:sz w:val="20"/>
                <w:szCs w:val="21"/>
              </w:rPr>
            </w:pPr>
            <w:r>
              <w:rPr>
                <w:rFonts w:eastAsia="仿宋_GB2312"/>
                <w:kern w:val="0"/>
                <w:sz w:val="20"/>
                <w:szCs w:val="21"/>
              </w:rPr>
              <w:t>健康消费和光盘行动</w:t>
            </w:r>
          </w:p>
        </w:tc>
        <w:tc>
          <w:tcPr>
            <w:tcW w:w="1623" w:type="pct"/>
            <w:vAlign w:val="center"/>
          </w:tcPr>
          <w:p>
            <w:pPr>
              <w:spacing w:line="480" w:lineRule="exact"/>
              <w:rPr>
                <w:rFonts w:eastAsia="仿宋_GB2312"/>
                <w:kern w:val="0"/>
                <w:sz w:val="20"/>
                <w:szCs w:val="21"/>
              </w:rPr>
            </w:pPr>
            <w:r>
              <w:rPr>
                <w:rFonts w:eastAsia="仿宋_GB2312"/>
                <w:kern w:val="0"/>
                <w:sz w:val="20"/>
                <w:szCs w:val="21"/>
              </w:rPr>
              <w:t>倡导健康消费理念，不购买、不消费假冒伪劣食品。倡导餐馆向聚餐顾客提供公勺公筷，在全社会推进光盘行动。</w:t>
            </w:r>
          </w:p>
        </w:tc>
        <w:tc>
          <w:tcPr>
            <w:tcW w:w="1623" w:type="pct"/>
            <w:vAlign w:val="center"/>
          </w:tcPr>
          <w:p>
            <w:pPr>
              <w:spacing w:line="480" w:lineRule="exact"/>
              <w:rPr>
                <w:rFonts w:eastAsia="仿宋_GB2312"/>
                <w:kern w:val="0"/>
                <w:sz w:val="20"/>
                <w:szCs w:val="21"/>
              </w:rPr>
            </w:pPr>
            <w:r>
              <w:rPr>
                <w:rFonts w:eastAsia="仿宋_GB2312"/>
                <w:kern w:val="0"/>
                <w:sz w:val="20"/>
                <w:szCs w:val="21"/>
              </w:rPr>
              <w:t>有公勺公筷、光盘行动宣传材料，得1分；餐馆配置有公勺公筷，得1分。</w:t>
            </w:r>
          </w:p>
        </w:tc>
        <w:tc>
          <w:tcPr>
            <w:tcW w:w="264" w:type="pct"/>
            <w:vAlign w:val="center"/>
          </w:tcPr>
          <w:p>
            <w:pPr>
              <w:spacing w:line="480" w:lineRule="exact"/>
              <w:jc w:val="center"/>
              <w:rPr>
                <w:rFonts w:eastAsia="仿宋_GB2312"/>
                <w:kern w:val="0"/>
                <w:sz w:val="20"/>
                <w:szCs w:val="21"/>
              </w:rPr>
            </w:pPr>
            <w:r>
              <w:rPr>
                <w:rFonts w:eastAsia="仿宋_GB2312"/>
                <w:kern w:val="0"/>
                <w:sz w:val="20"/>
                <w:szCs w:val="21"/>
              </w:rPr>
              <w:t>2</w:t>
            </w:r>
          </w:p>
        </w:tc>
        <w:tc>
          <w:tcPr>
            <w:tcW w:w="264" w:type="pct"/>
            <w:vAlign w:val="center"/>
          </w:tcPr>
          <w:p>
            <w:pPr>
              <w:spacing w:line="480" w:lineRule="exact"/>
              <w:rPr>
                <w:rFonts w:eastAsia="仿宋_GB2312"/>
                <w:kern w:val="0"/>
                <w:sz w:val="20"/>
                <w:szCs w:val="21"/>
              </w:rPr>
            </w:pPr>
          </w:p>
        </w:tc>
        <w:tc>
          <w:tcPr>
            <w:tcW w:w="406" w:type="pct"/>
            <w:vAlign w:val="center"/>
          </w:tcPr>
          <w:p>
            <w:pPr>
              <w:spacing w:line="480" w:lineRule="exact"/>
              <w:rPr>
                <w:rFonts w:eastAsia="仿宋_GB2312"/>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411" w:type="pct"/>
            <w:vMerge w:val="continue"/>
            <w:vAlign w:val="center"/>
          </w:tcPr>
          <w:p>
            <w:pPr>
              <w:spacing w:line="480" w:lineRule="exact"/>
              <w:rPr>
                <w:rFonts w:eastAsia="仿宋_GB2312"/>
                <w:kern w:val="0"/>
                <w:sz w:val="20"/>
                <w:szCs w:val="21"/>
              </w:rPr>
            </w:pPr>
          </w:p>
        </w:tc>
        <w:tc>
          <w:tcPr>
            <w:tcW w:w="410" w:type="pct"/>
            <w:vAlign w:val="center"/>
          </w:tcPr>
          <w:p>
            <w:pPr>
              <w:spacing w:line="480" w:lineRule="exact"/>
              <w:rPr>
                <w:rFonts w:eastAsia="仿宋_GB2312"/>
                <w:kern w:val="0"/>
                <w:sz w:val="20"/>
                <w:szCs w:val="21"/>
              </w:rPr>
            </w:pPr>
            <w:r>
              <w:rPr>
                <w:rFonts w:eastAsia="仿宋_GB2312"/>
                <w:kern w:val="0"/>
                <w:sz w:val="20"/>
                <w:szCs w:val="21"/>
              </w:rPr>
              <w:t>文明乡风</w:t>
            </w:r>
          </w:p>
        </w:tc>
        <w:tc>
          <w:tcPr>
            <w:tcW w:w="1623" w:type="pct"/>
            <w:vAlign w:val="center"/>
          </w:tcPr>
          <w:p>
            <w:pPr>
              <w:spacing w:line="480" w:lineRule="exact"/>
              <w:rPr>
                <w:rFonts w:eastAsia="仿宋_GB2312"/>
                <w:kern w:val="0"/>
                <w:sz w:val="20"/>
                <w:szCs w:val="21"/>
              </w:rPr>
            </w:pPr>
            <w:r>
              <w:rPr>
                <w:rFonts w:eastAsia="仿宋_GB2312"/>
                <w:kern w:val="0"/>
                <w:sz w:val="20"/>
                <w:szCs w:val="21"/>
              </w:rPr>
              <w:t>提倡文明婚育和安全性行为，鼓励辖区单位和居民积极参加无偿献血、志愿者等社会公益活动。</w:t>
            </w:r>
          </w:p>
        </w:tc>
        <w:tc>
          <w:tcPr>
            <w:tcW w:w="1623" w:type="pct"/>
            <w:vAlign w:val="center"/>
          </w:tcPr>
          <w:p>
            <w:pPr>
              <w:spacing w:line="480" w:lineRule="exact"/>
              <w:rPr>
                <w:rFonts w:eastAsia="仿宋_GB2312"/>
                <w:kern w:val="0"/>
                <w:sz w:val="20"/>
                <w:szCs w:val="21"/>
              </w:rPr>
            </w:pPr>
            <w:r>
              <w:rPr>
                <w:rFonts w:eastAsia="仿宋_GB2312"/>
                <w:kern w:val="0"/>
                <w:sz w:val="20"/>
                <w:szCs w:val="21"/>
              </w:rPr>
              <w:t>有鼓励居民积极参与志愿服务等社会公益活动的专项行动，得1分；3年内当地注册志愿者比例逐年提升，得1分；年度千人口献血率≥全国同期平均水平，得1分；无赌博、吸毒、酗酒、卖淫嫖娼等不良现象，得1分。</w:t>
            </w:r>
          </w:p>
        </w:tc>
        <w:tc>
          <w:tcPr>
            <w:tcW w:w="264" w:type="pct"/>
            <w:vAlign w:val="center"/>
          </w:tcPr>
          <w:p>
            <w:pPr>
              <w:widowControl/>
              <w:spacing w:line="480" w:lineRule="exact"/>
              <w:jc w:val="center"/>
              <w:rPr>
                <w:rFonts w:eastAsia="仿宋_GB2312"/>
                <w:color w:val="000000"/>
                <w:kern w:val="0"/>
                <w:sz w:val="20"/>
                <w:szCs w:val="21"/>
              </w:rPr>
            </w:pPr>
            <w:r>
              <w:rPr>
                <w:rFonts w:eastAsia="仿宋_GB2312"/>
                <w:color w:val="000000"/>
                <w:kern w:val="0"/>
                <w:sz w:val="20"/>
                <w:szCs w:val="21"/>
              </w:rPr>
              <w:t>4</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411" w:type="pct"/>
            <w:vAlign w:val="center"/>
          </w:tcPr>
          <w:p>
            <w:pPr>
              <w:spacing w:line="480" w:lineRule="exact"/>
              <w:rPr>
                <w:rFonts w:eastAsia="仿宋_GB2312"/>
                <w:kern w:val="0"/>
                <w:sz w:val="20"/>
                <w:szCs w:val="21"/>
              </w:rPr>
            </w:pPr>
            <w:r>
              <w:rPr>
                <w:rFonts w:hint="eastAsia" w:eastAsia="仿宋_GB2312"/>
                <w:kern w:val="0"/>
                <w:sz w:val="20"/>
                <w:szCs w:val="21"/>
              </w:rPr>
              <w:t>合计</w:t>
            </w:r>
          </w:p>
        </w:tc>
        <w:tc>
          <w:tcPr>
            <w:tcW w:w="410" w:type="pct"/>
            <w:vAlign w:val="center"/>
          </w:tcPr>
          <w:p>
            <w:pPr>
              <w:spacing w:line="480" w:lineRule="exact"/>
              <w:rPr>
                <w:rFonts w:eastAsia="仿宋_GB2312"/>
                <w:kern w:val="0"/>
                <w:sz w:val="20"/>
                <w:szCs w:val="21"/>
              </w:rPr>
            </w:pPr>
          </w:p>
        </w:tc>
        <w:tc>
          <w:tcPr>
            <w:tcW w:w="1623" w:type="pct"/>
            <w:vAlign w:val="center"/>
          </w:tcPr>
          <w:p>
            <w:pPr>
              <w:spacing w:line="480" w:lineRule="exact"/>
              <w:rPr>
                <w:rFonts w:eastAsia="仿宋_GB2312"/>
                <w:kern w:val="0"/>
                <w:sz w:val="20"/>
                <w:szCs w:val="21"/>
              </w:rPr>
            </w:pPr>
          </w:p>
        </w:tc>
        <w:tc>
          <w:tcPr>
            <w:tcW w:w="1623" w:type="pct"/>
            <w:vAlign w:val="center"/>
          </w:tcPr>
          <w:p>
            <w:pPr>
              <w:spacing w:line="480" w:lineRule="exact"/>
              <w:rPr>
                <w:rFonts w:eastAsia="仿宋_GB2312"/>
                <w:kern w:val="0"/>
                <w:sz w:val="20"/>
                <w:szCs w:val="21"/>
              </w:rPr>
            </w:pPr>
          </w:p>
        </w:tc>
        <w:tc>
          <w:tcPr>
            <w:tcW w:w="264" w:type="pct"/>
            <w:vAlign w:val="center"/>
          </w:tcPr>
          <w:p>
            <w:pPr>
              <w:widowControl/>
              <w:spacing w:line="480" w:lineRule="exact"/>
              <w:jc w:val="center"/>
              <w:rPr>
                <w:rFonts w:eastAsia="仿宋_GB2312"/>
                <w:color w:val="000000"/>
                <w:kern w:val="0"/>
                <w:sz w:val="20"/>
                <w:szCs w:val="21"/>
              </w:rPr>
            </w:pPr>
            <w:r>
              <w:rPr>
                <w:rFonts w:hint="eastAsia" w:eastAsia="仿宋_GB2312"/>
                <w:color w:val="000000"/>
                <w:kern w:val="0"/>
                <w:sz w:val="20"/>
                <w:szCs w:val="21"/>
              </w:rPr>
              <w:t>100</w:t>
            </w:r>
          </w:p>
        </w:tc>
        <w:tc>
          <w:tcPr>
            <w:tcW w:w="264" w:type="pct"/>
            <w:vAlign w:val="center"/>
          </w:tcPr>
          <w:p>
            <w:pPr>
              <w:widowControl/>
              <w:spacing w:line="480" w:lineRule="exact"/>
              <w:rPr>
                <w:rFonts w:eastAsia="仿宋_GB2312"/>
                <w:color w:val="000000"/>
                <w:kern w:val="0"/>
                <w:sz w:val="20"/>
                <w:szCs w:val="21"/>
              </w:rPr>
            </w:pPr>
          </w:p>
        </w:tc>
        <w:tc>
          <w:tcPr>
            <w:tcW w:w="406" w:type="pct"/>
            <w:vAlign w:val="center"/>
          </w:tcPr>
          <w:p>
            <w:pPr>
              <w:widowControl/>
              <w:spacing w:line="480" w:lineRule="exact"/>
              <w:rPr>
                <w:rFonts w:eastAsia="仿宋_GB2312"/>
                <w:color w:val="000000"/>
                <w:kern w:val="0"/>
                <w:sz w:val="20"/>
                <w:szCs w:val="21"/>
              </w:rPr>
            </w:pPr>
          </w:p>
        </w:tc>
      </w:tr>
    </w:tbl>
    <w:p>
      <w:pPr>
        <w:rPr>
          <w:rFonts w:eastAsia="仿宋_GB2312"/>
          <w:color w:val="000000"/>
          <w:kern w:val="0"/>
          <w:sz w:val="22"/>
          <w:szCs w:val="32"/>
        </w:rPr>
      </w:pPr>
    </w:p>
    <w:p>
      <w:pPr>
        <w:rPr>
          <w:rFonts w:eastAsia="仿宋_GB2312"/>
          <w:color w:val="000000"/>
          <w:kern w:val="0"/>
          <w:sz w:val="22"/>
          <w:szCs w:val="32"/>
        </w:rPr>
      </w:pPr>
      <w:r>
        <w:rPr>
          <w:rFonts w:eastAsia="仿宋_GB2312"/>
          <w:color w:val="000000"/>
          <w:kern w:val="0"/>
          <w:sz w:val="22"/>
          <w:szCs w:val="32"/>
        </w:rPr>
        <w:t>说明：评估细则采取百分制，现场评估达到70分及以上，认为达到健康乡镇标准。</w:t>
      </w:r>
    </w:p>
    <w:p>
      <w:pPr>
        <w:widowControl/>
        <w:jc w:val="left"/>
        <w:rPr>
          <w:rFonts w:eastAsia="仿宋_GB2312"/>
          <w:sz w:val="32"/>
          <w:szCs w:val="32"/>
        </w:rPr>
      </w:pPr>
    </w:p>
    <w:p>
      <w:pPr>
        <w:widowControl/>
        <w:jc w:val="left"/>
        <w:rPr>
          <w:rFonts w:eastAsia="仿宋_GB2312"/>
          <w:sz w:val="32"/>
          <w:szCs w:val="32"/>
        </w:rPr>
      </w:pPr>
    </w:p>
    <w:p>
      <w:pPr>
        <w:widowControl/>
        <w:jc w:val="left"/>
        <w:rPr>
          <w:rFonts w:eastAsia="仿宋_GB2312"/>
          <w:sz w:val="32"/>
          <w:szCs w:val="32"/>
        </w:rPr>
      </w:pPr>
    </w:p>
    <w:p>
      <w:pPr>
        <w:widowControl/>
        <w:rPr>
          <w:rFonts w:eastAsia="仿宋_GB2312"/>
          <w:sz w:val="36"/>
          <w:szCs w:val="36"/>
        </w:rPr>
      </w:pPr>
    </w:p>
    <w:p>
      <w:pPr>
        <w:widowControl/>
        <w:spacing w:line="420" w:lineRule="exact"/>
        <w:jc w:val="center"/>
        <w:rPr>
          <w:rFonts w:eastAsia="仿宋_GB2312"/>
          <w:sz w:val="36"/>
          <w:szCs w:val="36"/>
        </w:rPr>
      </w:pPr>
      <w:r>
        <w:rPr>
          <w:rFonts w:eastAsia="仿宋_GB2312"/>
          <w:sz w:val="36"/>
          <w:szCs w:val="36"/>
        </w:rPr>
        <w:t>健康村评估细则（2023版）</w:t>
      </w:r>
    </w:p>
    <w:p>
      <w:pPr>
        <w:widowControl/>
        <w:spacing w:line="420" w:lineRule="exact"/>
        <w:jc w:val="left"/>
        <w:rPr>
          <w:rFonts w:eastAsia="仿宋_GB2312"/>
          <w:sz w:val="22"/>
          <w:szCs w:val="22"/>
          <w:u w:val="single"/>
        </w:rPr>
      </w:pPr>
      <w:r>
        <w:rPr>
          <w:rFonts w:eastAsia="仿宋_GB2312"/>
          <w:sz w:val="22"/>
          <w:szCs w:val="22"/>
        </w:rPr>
        <w:t xml:space="preserve"> 省份：</w:t>
      </w:r>
      <w:r>
        <w:rPr>
          <w:rFonts w:eastAsia="仿宋_GB2312"/>
          <w:sz w:val="22"/>
          <w:szCs w:val="22"/>
          <w:u w:val="single"/>
        </w:rPr>
        <w:t xml:space="preserve">              </w:t>
      </w:r>
      <w:r>
        <w:rPr>
          <w:rFonts w:eastAsia="仿宋_GB2312"/>
          <w:sz w:val="22"/>
          <w:szCs w:val="22"/>
        </w:rPr>
        <w:t xml:space="preserve">  市级：</w:t>
      </w:r>
      <w:r>
        <w:rPr>
          <w:rFonts w:eastAsia="仿宋_GB2312"/>
          <w:sz w:val="22"/>
          <w:szCs w:val="22"/>
          <w:u w:val="single"/>
        </w:rPr>
        <w:t xml:space="preserve">               </w:t>
      </w:r>
      <w:r>
        <w:rPr>
          <w:rFonts w:eastAsia="仿宋_GB2312"/>
          <w:sz w:val="22"/>
          <w:szCs w:val="22"/>
        </w:rPr>
        <w:t xml:space="preserve">   县（区）： </w:t>
      </w:r>
      <w:r>
        <w:rPr>
          <w:rFonts w:eastAsia="仿宋_GB2312"/>
          <w:sz w:val="22"/>
          <w:szCs w:val="22"/>
          <w:u w:val="single"/>
        </w:rPr>
        <w:t xml:space="preserve">               </w:t>
      </w:r>
      <w:r>
        <w:rPr>
          <w:rFonts w:eastAsia="仿宋_GB2312"/>
          <w:sz w:val="22"/>
          <w:szCs w:val="22"/>
        </w:rPr>
        <w:t xml:space="preserve">   村：</w:t>
      </w:r>
      <w:r>
        <w:rPr>
          <w:rFonts w:eastAsia="仿宋_GB2312"/>
          <w:sz w:val="22"/>
          <w:szCs w:val="22"/>
          <w:u w:val="single"/>
        </w:rPr>
        <w:t xml:space="preserve">               </w:t>
      </w:r>
      <w:r>
        <w:rPr>
          <w:rFonts w:eastAsia="仿宋_GB2312"/>
          <w:sz w:val="22"/>
          <w:szCs w:val="22"/>
        </w:rPr>
        <w:t xml:space="preserve">   时间：</w:t>
      </w:r>
      <w:r>
        <w:rPr>
          <w:rFonts w:eastAsia="仿宋_GB2312"/>
          <w:sz w:val="22"/>
          <w:szCs w:val="22"/>
          <w:u w:val="single"/>
        </w:rPr>
        <w:t xml:space="preserve">                   </w:t>
      </w:r>
    </w:p>
    <w:tbl>
      <w:tblPr>
        <w:tblStyle w:val="4"/>
        <w:tblW w:w="4963" w:type="pct"/>
        <w:tblInd w:w="0" w:type="dxa"/>
        <w:tblLayout w:type="autofit"/>
        <w:tblCellMar>
          <w:top w:w="0" w:type="dxa"/>
          <w:left w:w="108" w:type="dxa"/>
          <w:bottom w:w="0" w:type="dxa"/>
          <w:right w:w="108" w:type="dxa"/>
        </w:tblCellMar>
      </w:tblPr>
      <w:tblGrid>
        <w:gridCol w:w="699"/>
        <w:gridCol w:w="697"/>
        <w:gridCol w:w="2957"/>
        <w:gridCol w:w="2957"/>
        <w:gridCol w:w="531"/>
        <w:gridCol w:w="474"/>
        <w:gridCol w:w="734"/>
      </w:tblGrid>
      <w:tr>
        <w:tblPrEx>
          <w:tblCellMar>
            <w:top w:w="0" w:type="dxa"/>
            <w:left w:w="108" w:type="dxa"/>
            <w:bottom w:w="0" w:type="dxa"/>
            <w:right w:w="108" w:type="dxa"/>
          </w:tblCellMar>
        </w:tblPrEx>
        <w:trPr>
          <w:trHeight w:val="587" w:hRule="atLeast"/>
          <w:tblHeader/>
        </w:trPr>
        <w:tc>
          <w:tcPr>
            <w:tcW w:w="391" w:type="pc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仿宋_GB2312"/>
                <w:b/>
                <w:bCs/>
                <w:color w:val="000000"/>
                <w:kern w:val="0"/>
                <w:szCs w:val="21"/>
              </w:rPr>
            </w:pPr>
            <w:r>
              <w:rPr>
                <w:rFonts w:eastAsia="仿宋_GB2312"/>
                <w:b/>
                <w:bCs/>
                <w:color w:val="000000"/>
                <w:kern w:val="0"/>
                <w:szCs w:val="21"/>
              </w:rPr>
              <w:t>一级指标</w:t>
            </w:r>
          </w:p>
        </w:tc>
        <w:tc>
          <w:tcPr>
            <w:tcW w:w="390"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eastAsia="仿宋_GB2312"/>
                <w:b/>
                <w:bCs/>
                <w:color w:val="000000"/>
                <w:kern w:val="0"/>
                <w:szCs w:val="21"/>
              </w:rPr>
            </w:pPr>
            <w:r>
              <w:rPr>
                <w:rFonts w:eastAsia="仿宋_GB2312"/>
                <w:b/>
                <w:bCs/>
                <w:color w:val="000000"/>
                <w:kern w:val="0"/>
                <w:szCs w:val="21"/>
              </w:rPr>
              <w:t>二级指标</w:t>
            </w:r>
          </w:p>
        </w:tc>
        <w:tc>
          <w:tcPr>
            <w:tcW w:w="1638"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eastAsia="仿宋_GB2312"/>
                <w:b/>
                <w:bCs/>
                <w:color w:val="000000"/>
                <w:kern w:val="0"/>
                <w:szCs w:val="21"/>
              </w:rPr>
            </w:pPr>
            <w:r>
              <w:rPr>
                <w:rFonts w:eastAsia="仿宋_GB2312"/>
                <w:b/>
                <w:bCs/>
                <w:color w:val="000000"/>
                <w:kern w:val="0"/>
                <w:szCs w:val="21"/>
              </w:rPr>
              <w:t>指标解释</w:t>
            </w:r>
          </w:p>
        </w:tc>
        <w:tc>
          <w:tcPr>
            <w:tcW w:w="1638"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eastAsia="仿宋_GB2312"/>
                <w:b/>
                <w:bCs/>
                <w:color w:val="000000"/>
                <w:kern w:val="0"/>
                <w:szCs w:val="21"/>
              </w:rPr>
            </w:pPr>
            <w:r>
              <w:rPr>
                <w:rFonts w:eastAsia="仿宋_GB2312"/>
                <w:b/>
                <w:bCs/>
                <w:color w:val="000000"/>
                <w:kern w:val="0"/>
                <w:szCs w:val="21"/>
              </w:rPr>
              <w:t>评分标准</w:t>
            </w:r>
          </w:p>
        </w:tc>
        <w:tc>
          <w:tcPr>
            <w:tcW w:w="266"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eastAsia="仿宋_GB2312"/>
                <w:b/>
                <w:bCs/>
                <w:color w:val="000000"/>
                <w:kern w:val="0"/>
                <w:szCs w:val="21"/>
              </w:rPr>
            </w:pPr>
            <w:r>
              <w:rPr>
                <w:rFonts w:eastAsia="仿宋_GB2312"/>
                <w:b/>
                <w:bCs/>
                <w:color w:val="000000"/>
                <w:kern w:val="0"/>
                <w:szCs w:val="21"/>
              </w:rPr>
              <w:t>分值</w:t>
            </w:r>
          </w:p>
        </w:tc>
        <w:tc>
          <w:tcPr>
            <w:tcW w:w="266" w:type="pct"/>
            <w:tcBorders>
              <w:top w:val="single" w:color="auto" w:sz="4" w:space="0"/>
              <w:left w:val="nil"/>
              <w:bottom w:val="single" w:color="auto" w:sz="4" w:space="0"/>
              <w:right w:val="single" w:color="auto" w:sz="4" w:space="0"/>
            </w:tcBorders>
          </w:tcPr>
          <w:p>
            <w:pPr>
              <w:widowControl/>
              <w:spacing w:line="440" w:lineRule="exact"/>
              <w:jc w:val="center"/>
              <w:rPr>
                <w:rFonts w:eastAsia="仿宋_GB2312"/>
                <w:b/>
                <w:bCs/>
                <w:color w:val="000000"/>
                <w:kern w:val="0"/>
                <w:szCs w:val="21"/>
              </w:rPr>
            </w:pPr>
            <w:r>
              <w:rPr>
                <w:rFonts w:eastAsia="仿宋_GB2312"/>
                <w:b/>
                <w:bCs/>
                <w:color w:val="000000"/>
                <w:kern w:val="0"/>
                <w:szCs w:val="21"/>
              </w:rPr>
              <w:t>得分</w:t>
            </w:r>
          </w:p>
        </w:tc>
        <w:tc>
          <w:tcPr>
            <w:tcW w:w="410" w:type="pct"/>
            <w:tcBorders>
              <w:top w:val="single" w:color="auto" w:sz="4" w:space="0"/>
              <w:left w:val="nil"/>
              <w:bottom w:val="single" w:color="auto" w:sz="4" w:space="0"/>
              <w:right w:val="single" w:color="auto" w:sz="4" w:space="0"/>
            </w:tcBorders>
          </w:tcPr>
          <w:p>
            <w:pPr>
              <w:widowControl/>
              <w:spacing w:line="440" w:lineRule="exact"/>
              <w:jc w:val="center"/>
              <w:rPr>
                <w:rFonts w:eastAsia="仿宋_GB2312"/>
                <w:b/>
                <w:bCs/>
                <w:color w:val="000000"/>
                <w:kern w:val="0"/>
                <w:szCs w:val="21"/>
              </w:rPr>
            </w:pPr>
            <w:r>
              <w:rPr>
                <w:rFonts w:eastAsia="仿宋_GB2312"/>
                <w:b/>
                <w:bCs/>
                <w:color w:val="000000"/>
                <w:kern w:val="0"/>
                <w:szCs w:val="21"/>
              </w:rPr>
              <w:t>扣分原因</w:t>
            </w:r>
          </w:p>
        </w:tc>
      </w:tr>
      <w:tr>
        <w:tblPrEx>
          <w:tblCellMar>
            <w:top w:w="0" w:type="dxa"/>
            <w:left w:w="108" w:type="dxa"/>
            <w:bottom w:w="0" w:type="dxa"/>
            <w:right w:w="108" w:type="dxa"/>
          </w:tblCellMar>
        </w:tblPrEx>
        <w:trPr>
          <w:trHeight w:val="460" w:hRule="atLeast"/>
        </w:trPr>
        <w:tc>
          <w:tcPr>
            <w:tcW w:w="391" w:type="pct"/>
            <w:vMerge w:val="restart"/>
            <w:tcBorders>
              <w:top w:val="nil"/>
              <w:left w:val="single" w:color="auto" w:sz="4" w:space="0"/>
              <w:bottom w:val="single" w:color="000000" w:sz="4" w:space="0"/>
              <w:right w:val="single" w:color="auto" w:sz="4" w:space="0"/>
            </w:tcBorders>
            <w:vAlign w:val="center"/>
          </w:tcPr>
          <w:p>
            <w:pPr>
              <w:widowControl/>
              <w:spacing w:line="440" w:lineRule="exact"/>
              <w:rPr>
                <w:rFonts w:hint="eastAsia" w:eastAsia="仿宋_GB2312"/>
                <w:color w:val="000000"/>
                <w:kern w:val="0"/>
                <w:szCs w:val="21"/>
                <w:lang w:eastAsia="zh-CN"/>
              </w:rPr>
            </w:pPr>
            <w:r>
              <w:rPr>
                <w:rFonts w:eastAsia="仿宋_GB2312"/>
                <w:color w:val="000000"/>
                <w:kern w:val="0"/>
                <w:szCs w:val="21"/>
              </w:rPr>
              <w:t>一、组织管理</w:t>
            </w:r>
          </w:p>
          <w:p>
            <w:pPr>
              <w:widowControl/>
              <w:spacing w:line="440" w:lineRule="exact"/>
              <w:rPr>
                <w:rFonts w:eastAsia="仿宋_GB2312"/>
                <w:color w:val="000000"/>
                <w:kern w:val="0"/>
                <w:szCs w:val="21"/>
              </w:rPr>
            </w:pPr>
            <w:r>
              <w:rPr>
                <w:rFonts w:eastAsia="仿宋_GB2312"/>
                <w:color w:val="000000"/>
                <w:kern w:val="0"/>
                <w:szCs w:val="21"/>
              </w:rPr>
              <w:t>（20分）</w:t>
            </w:r>
          </w:p>
        </w:tc>
        <w:tc>
          <w:tcPr>
            <w:tcW w:w="390" w:type="pct"/>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规章制度</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将健康村建设纳入村发展计划。</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纳入村发展计划，得2分。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eastAsia="仿宋_GB2312"/>
                <w:color w:val="000000"/>
                <w:kern w:val="0"/>
                <w:szCs w:val="21"/>
              </w:rPr>
            </w:pP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有专（兼）职管理人员负责健康村工作，明确职责分工，定期接受健康促进培训。</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有专（兼）职管理人员负责健康村工作，得1分。接受健康促进培训至少1次，得1分。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758" w:hRule="atLeast"/>
        </w:trPr>
        <w:tc>
          <w:tcPr>
            <w:tcW w:w="391" w:type="pct"/>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组织实施</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bCs/>
                <w:color w:val="000000"/>
                <w:kern w:val="0"/>
                <w:szCs w:val="21"/>
              </w:rPr>
              <w:t>分析并明确评估辖区居民的主要健康问题及其影响因素。</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有</w:t>
            </w:r>
            <w:r>
              <w:rPr>
                <w:rFonts w:eastAsia="仿宋_GB2312"/>
                <w:bCs/>
                <w:color w:val="000000"/>
                <w:kern w:val="0"/>
                <w:szCs w:val="21"/>
              </w:rPr>
              <w:t>分析评估辖区居民的主要健康问题及其影响因素得1分，</w:t>
            </w:r>
            <w:r>
              <w:rPr>
                <w:rFonts w:eastAsia="仿宋_GB2312"/>
                <w:color w:val="000000"/>
                <w:kern w:val="0"/>
                <w:szCs w:val="21"/>
              </w:rPr>
              <w:t>措施具体，责任分工合理，得2分。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3</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continue"/>
            <w:tcBorders>
              <w:top w:val="nil"/>
              <w:left w:val="single" w:color="auto" w:sz="4" w:space="0"/>
              <w:bottom w:val="single" w:color="000000" w:sz="4" w:space="0"/>
              <w:right w:val="single" w:color="auto" w:sz="4" w:space="0"/>
            </w:tcBorders>
            <w:vAlign w:val="center"/>
          </w:tcPr>
          <w:p>
            <w:pPr>
              <w:widowControl/>
              <w:spacing w:line="440" w:lineRule="exact"/>
              <w:jc w:val="center"/>
              <w:rPr>
                <w:rFonts w:eastAsia="仿宋_GB2312"/>
                <w:color w:val="000000"/>
                <w:kern w:val="0"/>
                <w:szCs w:val="21"/>
              </w:rPr>
            </w:pP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制定健康村建设工作计划，定期总结。资料齐全，整理规范。</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有健康村工作方案或计划，结构合理，内容详实，得1分；定期对建设效果评估，得1分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协调机制</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将健康村建设与乡村治理融合推进，建立健全村民委员会下属公共卫生委员会。</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建立健康村公共卫生委员会，并有规章制度、责任分工合理、有工作效果；得6分。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6</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1088" w:hRule="atLeast"/>
        </w:trPr>
        <w:tc>
          <w:tcPr>
            <w:tcW w:w="391" w:type="pct"/>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eastAsia="仿宋_GB2312"/>
                <w:color w:val="000000"/>
                <w:kern w:val="0"/>
                <w:szCs w:val="21"/>
              </w:rPr>
            </w:pP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bCs/>
                <w:color w:val="000000"/>
                <w:kern w:val="0"/>
                <w:szCs w:val="21"/>
              </w:rPr>
            </w:pPr>
            <w:r>
              <w:rPr>
                <w:rFonts w:eastAsia="仿宋_GB2312"/>
                <w:color w:val="000000"/>
                <w:kern w:val="0"/>
                <w:szCs w:val="21"/>
              </w:rPr>
              <w:t>充分发挥村组干部、乡镇卫生院和村卫生室医务人员、家庭医生团队等的作用，动员社会组织、志愿者和村民等积极参与健康村建设。</w:t>
            </w:r>
            <w:r>
              <w:rPr>
                <w:rFonts w:eastAsia="仿宋_GB2312"/>
                <w:bCs/>
                <w:color w:val="000000"/>
                <w:kern w:val="0"/>
                <w:szCs w:val="21"/>
              </w:rPr>
              <w:t xml:space="preserve"> </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每类群体参加健康村建设加1分，累计不超过5分。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5</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restart"/>
            <w:tcBorders>
              <w:top w:val="nil"/>
              <w:left w:val="single" w:color="auto" w:sz="4" w:space="0"/>
              <w:bottom w:val="single" w:color="auto" w:sz="4" w:space="0"/>
              <w:right w:val="single" w:color="auto" w:sz="4" w:space="0"/>
            </w:tcBorders>
            <w:vAlign w:val="center"/>
          </w:tcPr>
          <w:p>
            <w:pPr>
              <w:widowControl/>
              <w:spacing w:line="440" w:lineRule="exact"/>
              <w:rPr>
                <w:rFonts w:hint="eastAsia" w:eastAsia="仿宋_GB2312"/>
                <w:color w:val="000000"/>
                <w:kern w:val="0"/>
                <w:szCs w:val="21"/>
                <w:lang w:eastAsia="zh-CN"/>
              </w:rPr>
            </w:pPr>
            <w:r>
              <w:rPr>
                <w:rFonts w:eastAsia="仿宋_GB2312"/>
                <w:color w:val="000000"/>
                <w:kern w:val="0"/>
                <w:szCs w:val="21"/>
              </w:rPr>
              <w:t>二、健康环境</w:t>
            </w:r>
          </w:p>
          <w:p>
            <w:pPr>
              <w:widowControl/>
              <w:spacing w:line="440" w:lineRule="exact"/>
              <w:rPr>
                <w:rFonts w:eastAsia="仿宋_GB2312"/>
                <w:color w:val="000000"/>
                <w:kern w:val="0"/>
                <w:szCs w:val="21"/>
              </w:rPr>
            </w:pPr>
            <w:r>
              <w:rPr>
                <w:rFonts w:eastAsia="仿宋_GB2312"/>
                <w:color w:val="000000"/>
                <w:kern w:val="0"/>
                <w:szCs w:val="21"/>
              </w:rPr>
              <w:t>（20分）</w:t>
            </w:r>
          </w:p>
        </w:tc>
        <w:tc>
          <w:tcPr>
            <w:tcW w:w="390" w:type="pct"/>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无烟环境</w:t>
            </w:r>
          </w:p>
        </w:tc>
        <w:tc>
          <w:tcPr>
            <w:tcW w:w="1638" w:type="pct"/>
            <w:tcBorders>
              <w:top w:val="nil"/>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辖区内所有室内公共场所、工作场所和公共交通工具一律禁止吸烟。</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村委会办公室、卫生室、主要道路没有发现烟头或者吸烟现象，得2分。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辖区主要建筑物入口处、电梯、公共厕所、会议室等区域有明显的禁烟标识和健康提示。</w:t>
            </w:r>
          </w:p>
        </w:tc>
        <w:tc>
          <w:tcPr>
            <w:tcW w:w="1638" w:type="pct"/>
            <w:tcBorders>
              <w:top w:val="nil"/>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村委会主要建筑物入口处、电梯、楼梯、会议室有禁烟标识和健康提示，得3分。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3</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辖区内无烟草广告和促销。</w:t>
            </w:r>
          </w:p>
        </w:tc>
        <w:tc>
          <w:tcPr>
            <w:tcW w:w="1638" w:type="pct"/>
            <w:tcBorders>
              <w:top w:val="nil"/>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村庄内无烟草广告和促销，得2分。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restart"/>
            <w:tcBorders>
              <w:top w:val="nil"/>
              <w:left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自然环境</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环境整洁，</w:t>
            </w:r>
            <w:r>
              <w:rPr>
                <w:rFonts w:eastAsia="仿宋_GB2312"/>
                <w:bCs/>
                <w:color w:val="000000"/>
                <w:kern w:val="0"/>
                <w:szCs w:val="21"/>
              </w:rPr>
              <w:t>农业生产无破坏环境情况。</w:t>
            </w:r>
            <w:r>
              <w:rPr>
                <w:rFonts w:eastAsia="仿宋_GB2312"/>
                <w:color w:val="000000"/>
                <w:kern w:val="0"/>
                <w:szCs w:val="21"/>
              </w:rPr>
              <w:t>垃圾箱数量满足需要，垃圾日产日清。</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环境整洁，垃圾箱整洁，无垃圾零散堆放现象，得1分，农业生产没有破坏环境，得1分。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continue"/>
            <w:tcBorders>
              <w:left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使用卫生厕所家庭比例达到80%，粪便无害化处理。</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使用卫生厕所比例达到80%，得2分。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823"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continue"/>
            <w:tcBorders>
              <w:left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bCs/>
                <w:color w:val="000000"/>
                <w:kern w:val="0"/>
                <w:szCs w:val="21"/>
              </w:rPr>
              <w:t>实现自来水普及，村内食品生产经营单位符合环境、食品安全相关标准。</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家庭自来水普及比例达到100%，得1分。</w:t>
            </w:r>
            <w:r>
              <w:rPr>
                <w:rFonts w:eastAsia="仿宋_GB2312"/>
                <w:bCs/>
                <w:color w:val="000000"/>
                <w:kern w:val="0"/>
                <w:szCs w:val="21"/>
              </w:rPr>
              <w:t>村内食品生产经营单位环境良好、符合食品安全相关标准，得1分。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continue"/>
            <w:tcBorders>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bCs/>
                <w:color w:val="000000"/>
                <w:kern w:val="0"/>
                <w:szCs w:val="21"/>
              </w:rPr>
            </w:pPr>
            <w:r>
              <w:rPr>
                <w:rFonts w:eastAsia="仿宋_GB2312"/>
                <w:bCs/>
                <w:color w:val="000000"/>
                <w:kern w:val="0"/>
                <w:szCs w:val="21"/>
              </w:rPr>
              <w:t>村庄声环境良好。</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所到村庄各处，感官上未听见噪声，得1分。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1</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人文环境</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有固定健身场所和基本的健身设备，设备定期维护以保证正常使用，有安全提示。</w:t>
            </w:r>
          </w:p>
        </w:tc>
        <w:tc>
          <w:tcPr>
            <w:tcW w:w="1638" w:type="pct"/>
            <w:tcBorders>
              <w:top w:val="nil"/>
              <w:left w:val="nil"/>
              <w:bottom w:val="single" w:color="auto" w:sz="4" w:space="0"/>
              <w:right w:val="single" w:color="auto" w:sz="4" w:space="0"/>
            </w:tcBorders>
            <w:vAlign w:val="center"/>
          </w:tcPr>
          <w:p>
            <w:pPr>
              <w:widowControl/>
              <w:spacing w:line="440" w:lineRule="exact"/>
              <w:rPr>
                <w:rFonts w:hint="eastAsia" w:eastAsia="仿宋_GB2312"/>
                <w:color w:val="000000"/>
                <w:kern w:val="0"/>
                <w:szCs w:val="21"/>
                <w:lang w:eastAsia="zh-CN"/>
              </w:rPr>
            </w:pPr>
            <w:r>
              <w:rPr>
                <w:rFonts w:eastAsia="仿宋_GB2312"/>
                <w:color w:val="000000"/>
                <w:kern w:val="0"/>
                <w:szCs w:val="21"/>
              </w:rPr>
              <w:t>有固定健身场所和基本的健身设备，得1分。</w:t>
            </w:r>
          </w:p>
          <w:p>
            <w:pPr>
              <w:widowControl/>
              <w:spacing w:line="440" w:lineRule="exact"/>
              <w:rPr>
                <w:rFonts w:eastAsia="仿宋_GB2312"/>
                <w:color w:val="000000"/>
                <w:kern w:val="0"/>
                <w:szCs w:val="21"/>
              </w:rPr>
            </w:pPr>
            <w:r>
              <w:rPr>
                <w:rFonts w:eastAsia="仿宋_GB2312"/>
                <w:color w:val="000000"/>
                <w:kern w:val="0"/>
                <w:szCs w:val="21"/>
              </w:rPr>
              <w:t>健身设备无健康隐患，周边有安全提示，得1分。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38" w:type="pct"/>
            <w:tcBorders>
              <w:top w:val="nil"/>
              <w:left w:val="nil"/>
              <w:bottom w:val="single" w:color="auto" w:sz="4" w:space="0"/>
              <w:right w:val="single" w:color="auto" w:sz="4" w:space="0"/>
            </w:tcBorders>
            <w:vAlign w:val="center"/>
          </w:tcPr>
          <w:p>
            <w:pPr>
              <w:spacing w:line="440" w:lineRule="exact"/>
              <w:rPr>
                <w:rFonts w:eastAsia="仿宋_GB2312"/>
                <w:color w:val="000000"/>
                <w:szCs w:val="21"/>
              </w:rPr>
            </w:pPr>
            <w:r>
              <w:rPr>
                <w:rFonts w:eastAsia="仿宋_GB2312"/>
                <w:color w:val="000000"/>
                <w:kern w:val="0"/>
                <w:szCs w:val="21"/>
              </w:rPr>
              <w:t>有健康文化场所，提供健康教育资料，提供交流环境。</w:t>
            </w:r>
            <w:r>
              <w:rPr>
                <w:rFonts w:eastAsia="仿宋_GB2312"/>
                <w:bCs/>
                <w:color w:val="000000"/>
                <w:szCs w:val="21"/>
              </w:rPr>
              <w:t>倡导文明、健康、绿色、环保等理念和要求。</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有开展健康文化的场所，得1分。该场所提供健康教育资料，定期组织健康交流，得1分。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对弱势群体有健康帮扶措施。</w:t>
            </w:r>
            <w:r>
              <w:rPr>
                <w:rFonts w:eastAsia="仿宋_GB2312"/>
                <w:bCs/>
                <w:color w:val="000000"/>
                <w:kern w:val="0"/>
                <w:szCs w:val="21"/>
              </w:rPr>
              <w:t>社区建设无障碍设施。</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对弱势群体有健康帮扶措施，得1分。有</w:t>
            </w:r>
            <w:r>
              <w:rPr>
                <w:rFonts w:eastAsia="仿宋_GB2312"/>
                <w:bCs/>
                <w:color w:val="000000"/>
                <w:kern w:val="0"/>
                <w:szCs w:val="21"/>
              </w:rPr>
              <w:t>无障碍设施，得1分。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624" w:hRule="atLeast"/>
        </w:trPr>
        <w:tc>
          <w:tcPr>
            <w:tcW w:w="391" w:type="pct"/>
            <w:vMerge w:val="restart"/>
            <w:tcBorders>
              <w:top w:val="nil"/>
              <w:left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三、健康服务（30分）</w:t>
            </w:r>
          </w:p>
        </w:tc>
        <w:tc>
          <w:tcPr>
            <w:tcW w:w="390" w:type="pct"/>
            <w:vMerge w:val="restart"/>
            <w:tcBorders>
              <w:top w:val="nil"/>
              <w:left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基本医疗卫生服务</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bCs/>
                <w:color w:val="000000"/>
                <w:kern w:val="0"/>
                <w:szCs w:val="21"/>
              </w:rPr>
              <w:t>村卫生室提供预防、保健、健康教育和常见病、多发病的诊疗等基本医疗卫生服务。</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bCs/>
                <w:color w:val="000000"/>
                <w:kern w:val="0"/>
                <w:szCs w:val="21"/>
              </w:rPr>
              <w:t>建有标准化的卫生室，得3分。规范提供各类诊疗服务，得4分。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7</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left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continue"/>
            <w:tcBorders>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bCs/>
                <w:color w:val="000000"/>
                <w:kern w:val="0"/>
                <w:szCs w:val="21"/>
              </w:rPr>
            </w:pPr>
            <w:r>
              <w:rPr>
                <w:rFonts w:eastAsia="仿宋_GB2312"/>
                <w:bCs/>
                <w:color w:val="000000"/>
                <w:kern w:val="0"/>
                <w:szCs w:val="21"/>
              </w:rPr>
              <w:t>规范开展家庭医生签约服务，推广应用中医药适宜技术。</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bCs/>
                <w:color w:val="000000"/>
                <w:kern w:val="0"/>
                <w:szCs w:val="21"/>
              </w:rPr>
              <w:t>开展家庭医生签约服务，得2分。推广应用中医药适宜技术，得3分。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5</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left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心理健康等社会服务</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bCs/>
                <w:color w:val="000000"/>
                <w:kern w:val="0"/>
                <w:szCs w:val="21"/>
              </w:rPr>
            </w:pPr>
            <w:r>
              <w:rPr>
                <w:rFonts w:eastAsia="仿宋_GB2312"/>
                <w:bCs/>
                <w:color w:val="000000"/>
                <w:kern w:val="0"/>
                <w:szCs w:val="21"/>
              </w:rPr>
              <w:t>依托相关专业机构和社会组织等为村民提供心理咨询、矛盾调解等服务。</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设置心理咨询室和矛盾调解室，得2分。有相关工作记录，得2分。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4</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left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重点人群服务</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bCs/>
                <w:color w:val="000000"/>
                <w:kern w:val="0"/>
                <w:szCs w:val="21"/>
              </w:rPr>
            </w:pPr>
            <w:r>
              <w:rPr>
                <w:rFonts w:eastAsia="仿宋_GB2312"/>
                <w:bCs/>
                <w:color w:val="000000"/>
                <w:kern w:val="0"/>
                <w:szCs w:val="21"/>
              </w:rPr>
              <w:t>关注留守儿童和妇女、老年人以及残疾失能人员和计划生育特殊家庭人员，采取多种形式为老人和儿童提供日间照料服务，村医或其他医务人员为行动不便老年人提供上门巡诊等服务，推进农村互助性养老。</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bCs/>
                <w:color w:val="000000"/>
                <w:kern w:val="0"/>
                <w:szCs w:val="21"/>
              </w:rPr>
            </w:pPr>
            <w:r>
              <w:rPr>
                <w:rFonts w:eastAsia="仿宋_GB2312"/>
                <w:color w:val="000000"/>
                <w:kern w:val="0"/>
                <w:szCs w:val="21"/>
              </w:rPr>
              <w:t>能提供</w:t>
            </w:r>
            <w:r>
              <w:rPr>
                <w:rFonts w:eastAsia="仿宋_GB2312"/>
                <w:bCs/>
                <w:color w:val="000000"/>
                <w:kern w:val="0"/>
                <w:szCs w:val="21"/>
              </w:rPr>
              <w:t>老人和儿童日间照料服务，得2分。</w:t>
            </w:r>
          </w:p>
          <w:p>
            <w:pPr>
              <w:widowControl/>
              <w:spacing w:line="440" w:lineRule="exact"/>
              <w:rPr>
                <w:rFonts w:eastAsia="仿宋_GB2312"/>
                <w:color w:val="000000"/>
                <w:kern w:val="0"/>
                <w:szCs w:val="21"/>
              </w:rPr>
            </w:pPr>
            <w:r>
              <w:rPr>
                <w:rFonts w:eastAsia="仿宋_GB2312"/>
                <w:bCs/>
                <w:color w:val="000000"/>
                <w:kern w:val="0"/>
                <w:szCs w:val="21"/>
              </w:rPr>
              <w:t>医务人员为行动不便老年人提供上门巡诊服务，得2分。实施农村互助性养老，得1分。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5</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left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卫生应急服务</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bCs/>
                <w:color w:val="000000"/>
                <w:kern w:val="0"/>
                <w:szCs w:val="21"/>
              </w:rPr>
            </w:pPr>
            <w:r>
              <w:rPr>
                <w:rFonts w:eastAsia="仿宋_GB2312"/>
                <w:bCs/>
                <w:color w:val="000000"/>
                <w:kern w:val="0"/>
                <w:szCs w:val="21"/>
              </w:rPr>
              <w:t>建立突发公共卫生事件和重大疫情防控预案，排查风险点，储备疫情防控物资。</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bCs/>
                <w:color w:val="000000"/>
                <w:kern w:val="0"/>
                <w:szCs w:val="21"/>
              </w:rPr>
            </w:pPr>
            <w:r>
              <w:rPr>
                <w:rFonts w:eastAsia="仿宋_GB2312"/>
                <w:color w:val="000000"/>
                <w:kern w:val="0"/>
                <w:szCs w:val="21"/>
              </w:rPr>
              <w:t>制定</w:t>
            </w:r>
            <w:r>
              <w:rPr>
                <w:rFonts w:eastAsia="仿宋_GB2312"/>
                <w:bCs/>
                <w:color w:val="000000"/>
                <w:kern w:val="0"/>
                <w:szCs w:val="21"/>
              </w:rPr>
              <w:t>突发公共卫生事件和重大疫情防控预案，得2分。储备疫情防控物资，得2分。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4</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健康自测服务</w:t>
            </w: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bCs/>
                <w:color w:val="000000"/>
                <w:kern w:val="0"/>
                <w:szCs w:val="21"/>
              </w:rPr>
            </w:pPr>
            <w:r>
              <w:rPr>
                <w:rFonts w:eastAsia="仿宋_GB2312"/>
                <w:color w:val="000000"/>
                <w:kern w:val="0"/>
                <w:szCs w:val="21"/>
              </w:rPr>
              <w:t>为居民提供健康自测和健康指导，如健康小屋、健康加油站等。</w:t>
            </w:r>
          </w:p>
        </w:tc>
        <w:tc>
          <w:tcPr>
            <w:tcW w:w="1638" w:type="pct"/>
            <w:tcBorders>
              <w:top w:val="nil"/>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设置健康自测点，得2分。为居民提供健康自测和健康指导，得3分。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5</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restart"/>
            <w:tcBorders>
              <w:top w:val="nil"/>
              <w:left w:val="single" w:color="auto" w:sz="4" w:space="0"/>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四、健康文化（30分）</w:t>
            </w:r>
          </w:p>
        </w:tc>
        <w:tc>
          <w:tcPr>
            <w:tcW w:w="390" w:type="pct"/>
            <w:vMerge w:val="restart"/>
            <w:tcBorders>
              <w:top w:val="single" w:color="auto" w:sz="4" w:space="0"/>
              <w:left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健康家庭</w:t>
            </w:r>
          </w:p>
        </w:tc>
        <w:tc>
          <w:tcPr>
            <w:tcW w:w="1638" w:type="pct"/>
            <w:tcBorders>
              <w:top w:val="single" w:color="auto" w:sz="4" w:space="0"/>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配合有关部门，组织村民参加健康家庭评选活动。</w:t>
            </w:r>
          </w:p>
        </w:tc>
        <w:tc>
          <w:tcPr>
            <w:tcW w:w="1638" w:type="pct"/>
            <w:tcBorders>
              <w:top w:val="single" w:color="auto" w:sz="4" w:space="0"/>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有健康家庭评选工作计划和总结、具体步骤和流程，得2分。开展针对家庭健康活动，得2分。</w:t>
            </w:r>
          </w:p>
        </w:tc>
        <w:tc>
          <w:tcPr>
            <w:tcW w:w="266"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4</w:t>
            </w:r>
          </w:p>
        </w:tc>
        <w:tc>
          <w:tcPr>
            <w:tcW w:w="266" w:type="pct"/>
            <w:tcBorders>
              <w:top w:val="single" w:color="auto" w:sz="4" w:space="0"/>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single" w:color="auto" w:sz="4" w:space="0"/>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vMerge w:val="continue"/>
            <w:tcBorders>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38" w:type="pct"/>
            <w:tcBorders>
              <w:top w:val="single" w:color="auto" w:sz="4" w:space="0"/>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选出的健康家庭符合健康家庭标准，对辖区其他家庭起到示范带头作用。</w:t>
            </w:r>
          </w:p>
        </w:tc>
        <w:tc>
          <w:tcPr>
            <w:tcW w:w="1638" w:type="pct"/>
            <w:tcBorders>
              <w:top w:val="single" w:color="auto" w:sz="4" w:space="0"/>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现场进入一个健康家庭，家庭环境清洁得1分；有健康标识和健康材料得1分；无人吸烟得1分；家庭关系和邻里关系和谐得1分。</w:t>
            </w:r>
          </w:p>
        </w:tc>
        <w:tc>
          <w:tcPr>
            <w:tcW w:w="266"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4</w:t>
            </w:r>
          </w:p>
        </w:tc>
        <w:tc>
          <w:tcPr>
            <w:tcW w:w="266" w:type="pct"/>
            <w:tcBorders>
              <w:top w:val="single" w:color="auto" w:sz="4" w:space="0"/>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single" w:color="auto" w:sz="4" w:space="0"/>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tcBorders>
              <w:top w:val="single" w:color="auto" w:sz="4" w:space="0"/>
              <w:left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健康教育活动</w:t>
            </w:r>
          </w:p>
        </w:tc>
        <w:tc>
          <w:tcPr>
            <w:tcW w:w="1638" w:type="pct"/>
            <w:tcBorders>
              <w:top w:val="single" w:color="auto" w:sz="4" w:space="0"/>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村卫生室联合辖区多部门开展健康教育活动，活动质量和频次符合基本公共卫生服务项目要求。</w:t>
            </w:r>
          </w:p>
        </w:tc>
        <w:tc>
          <w:tcPr>
            <w:tcW w:w="1638" w:type="pct"/>
            <w:tcBorders>
              <w:top w:val="single" w:color="auto" w:sz="4" w:space="0"/>
              <w:left w:val="nil"/>
              <w:bottom w:val="single" w:color="auto" w:sz="4" w:space="0"/>
              <w:right w:val="single" w:color="auto" w:sz="4" w:space="0"/>
            </w:tcBorders>
            <w:vAlign w:val="center"/>
          </w:tcPr>
          <w:p>
            <w:pPr>
              <w:widowControl/>
              <w:spacing w:line="440" w:lineRule="exact"/>
              <w:jc w:val="left"/>
              <w:rPr>
                <w:rFonts w:hint="eastAsia" w:eastAsia="仿宋_GB2312"/>
                <w:color w:val="000000"/>
                <w:kern w:val="0"/>
                <w:szCs w:val="21"/>
                <w:lang w:eastAsia="zh-CN"/>
              </w:rPr>
            </w:pPr>
            <w:r>
              <w:rPr>
                <w:rFonts w:eastAsia="仿宋_GB2312"/>
                <w:color w:val="000000"/>
                <w:kern w:val="0"/>
                <w:szCs w:val="21"/>
              </w:rPr>
              <w:t>有开展健康教育工作的计划和总结，得2分。</w:t>
            </w:r>
          </w:p>
          <w:p>
            <w:pPr>
              <w:widowControl/>
              <w:spacing w:line="440" w:lineRule="exact"/>
              <w:jc w:val="left"/>
              <w:rPr>
                <w:rFonts w:hint="eastAsia" w:eastAsia="仿宋_GB2312"/>
                <w:color w:val="000000"/>
                <w:kern w:val="0"/>
                <w:szCs w:val="21"/>
                <w:lang w:eastAsia="zh-CN"/>
              </w:rPr>
            </w:pPr>
            <w:r>
              <w:rPr>
                <w:rFonts w:eastAsia="仿宋_GB2312"/>
                <w:color w:val="000000"/>
                <w:kern w:val="0"/>
                <w:szCs w:val="21"/>
              </w:rPr>
              <w:t>每年开展6次健康教育讲座，要有中医药内容，得3分。没有中医药内容扣0.5分。</w:t>
            </w:r>
          </w:p>
          <w:p>
            <w:pPr>
              <w:widowControl/>
              <w:spacing w:line="440" w:lineRule="exact"/>
              <w:jc w:val="left"/>
              <w:rPr>
                <w:rFonts w:hint="eastAsia" w:eastAsia="仿宋_GB2312"/>
                <w:color w:val="000000"/>
                <w:kern w:val="0"/>
                <w:szCs w:val="21"/>
                <w:lang w:eastAsia="zh-CN"/>
              </w:rPr>
            </w:pPr>
            <w:r>
              <w:rPr>
                <w:rFonts w:eastAsia="仿宋_GB2312"/>
                <w:color w:val="000000"/>
                <w:kern w:val="0"/>
                <w:szCs w:val="21"/>
              </w:rPr>
              <w:t>每年开展健康咨询，得2分。</w:t>
            </w:r>
          </w:p>
          <w:p>
            <w:pPr>
              <w:widowControl/>
              <w:spacing w:line="440" w:lineRule="exact"/>
              <w:jc w:val="left"/>
              <w:rPr>
                <w:rFonts w:hint="eastAsia" w:eastAsia="仿宋_GB2312"/>
                <w:color w:val="000000"/>
                <w:kern w:val="0"/>
                <w:szCs w:val="21"/>
                <w:lang w:eastAsia="zh-CN"/>
              </w:rPr>
            </w:pPr>
            <w:r>
              <w:rPr>
                <w:rFonts w:eastAsia="仿宋_GB2312"/>
                <w:color w:val="000000"/>
                <w:kern w:val="0"/>
                <w:szCs w:val="21"/>
              </w:rPr>
              <w:t>建有健康教育宣传栏，每年更新6次，要有中医药内容 ，得3分。没有中医药内容扣0.5分。</w:t>
            </w:r>
          </w:p>
          <w:p>
            <w:pPr>
              <w:widowControl/>
              <w:spacing w:line="440" w:lineRule="exact"/>
              <w:jc w:val="left"/>
              <w:rPr>
                <w:rFonts w:eastAsia="仿宋_GB2312"/>
                <w:color w:val="000000"/>
                <w:kern w:val="0"/>
                <w:szCs w:val="21"/>
              </w:rPr>
            </w:pPr>
            <w:r>
              <w:rPr>
                <w:rFonts w:eastAsia="仿宋_GB2312"/>
                <w:color w:val="000000"/>
                <w:kern w:val="0"/>
                <w:szCs w:val="21"/>
              </w:rPr>
              <w:t>定期发放健康教育材料，至少要有一种中医药健康教育资料，得2分。没有中医药内容扣0.5分。</w:t>
            </w:r>
          </w:p>
        </w:tc>
        <w:tc>
          <w:tcPr>
            <w:tcW w:w="266"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12</w:t>
            </w:r>
          </w:p>
        </w:tc>
        <w:tc>
          <w:tcPr>
            <w:tcW w:w="266" w:type="pct"/>
            <w:tcBorders>
              <w:top w:val="single" w:color="auto" w:sz="4" w:space="0"/>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single" w:color="auto" w:sz="4" w:space="0"/>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390" w:type="pct"/>
            <w:tcBorders>
              <w:left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38"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辖区每年举办2次以上、面向辖区村民的集体活动。（</w:t>
            </w:r>
            <w:r>
              <w:rPr>
                <w:rFonts w:eastAsia="仿宋_GB2312"/>
                <w:bCs/>
                <w:color w:val="000000"/>
                <w:kern w:val="0"/>
                <w:szCs w:val="21"/>
              </w:rPr>
              <w:t>如地方戏、广场舞大赛、工间操比赛、健康知识竞赛、健康演讲比赛、戒烟竞赛、健康展览展示等活动。</w:t>
            </w:r>
            <w:r>
              <w:rPr>
                <w:rFonts w:eastAsia="仿宋_GB2312"/>
                <w:color w:val="000000"/>
                <w:kern w:val="0"/>
                <w:szCs w:val="21"/>
              </w:rPr>
              <w:t>）</w:t>
            </w:r>
          </w:p>
        </w:tc>
        <w:tc>
          <w:tcPr>
            <w:tcW w:w="1638" w:type="pct"/>
            <w:tcBorders>
              <w:top w:val="nil"/>
              <w:left w:val="nil"/>
              <w:bottom w:val="single" w:color="auto" w:sz="4" w:space="0"/>
              <w:right w:val="single" w:color="auto" w:sz="4" w:space="0"/>
            </w:tcBorders>
            <w:vAlign w:val="center"/>
          </w:tcPr>
          <w:p>
            <w:pPr>
              <w:widowControl/>
              <w:spacing w:line="440" w:lineRule="exact"/>
              <w:jc w:val="left"/>
              <w:rPr>
                <w:rFonts w:eastAsia="仿宋_GB2312"/>
                <w:bCs/>
                <w:color w:val="000000"/>
                <w:kern w:val="0"/>
                <w:szCs w:val="21"/>
              </w:rPr>
            </w:pPr>
            <w:r>
              <w:rPr>
                <w:rFonts w:eastAsia="仿宋_GB2312"/>
                <w:bCs/>
                <w:color w:val="000000"/>
                <w:kern w:val="0"/>
                <w:szCs w:val="21"/>
              </w:rPr>
              <w:t>每年举办2次及以上、30个以上村民参与的集体活动，得10分，1次得5分。</w:t>
            </w:r>
          </w:p>
        </w:tc>
        <w:tc>
          <w:tcPr>
            <w:tcW w:w="266"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10</w:t>
            </w:r>
          </w:p>
        </w:tc>
        <w:tc>
          <w:tcPr>
            <w:tcW w:w="26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391" w:type="pct"/>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合计</w:t>
            </w:r>
          </w:p>
        </w:tc>
        <w:tc>
          <w:tcPr>
            <w:tcW w:w="390" w:type="pct"/>
            <w:tcBorders>
              <w:top w:val="single" w:color="auto" w:sz="4" w:space="0"/>
              <w:left w:val="nil"/>
              <w:bottom w:val="single" w:color="auto" w:sz="4" w:space="0"/>
              <w:right w:val="single" w:color="auto" w:sz="4" w:space="0"/>
            </w:tcBorders>
            <w:vAlign w:val="center"/>
          </w:tcPr>
          <w:p>
            <w:pPr>
              <w:widowControl/>
              <w:spacing w:line="440" w:lineRule="exact"/>
              <w:jc w:val="left"/>
              <w:rPr>
                <w:rFonts w:eastAsia="仿宋_GB2312"/>
                <w:kern w:val="0"/>
                <w:sz w:val="20"/>
                <w:szCs w:val="20"/>
              </w:rPr>
            </w:pPr>
          </w:p>
        </w:tc>
        <w:tc>
          <w:tcPr>
            <w:tcW w:w="1638" w:type="pct"/>
            <w:tcBorders>
              <w:top w:val="single" w:color="auto" w:sz="4" w:space="0"/>
              <w:left w:val="nil"/>
              <w:bottom w:val="single" w:color="auto" w:sz="4" w:space="0"/>
              <w:right w:val="single" w:color="auto" w:sz="4" w:space="0"/>
            </w:tcBorders>
            <w:vAlign w:val="center"/>
          </w:tcPr>
          <w:p>
            <w:pPr>
              <w:widowControl/>
              <w:spacing w:line="440" w:lineRule="exact"/>
              <w:jc w:val="left"/>
              <w:rPr>
                <w:rFonts w:eastAsia="仿宋_GB2312"/>
                <w:color w:val="000000"/>
                <w:kern w:val="0"/>
                <w:sz w:val="20"/>
                <w:szCs w:val="20"/>
              </w:rPr>
            </w:pPr>
          </w:p>
        </w:tc>
        <w:tc>
          <w:tcPr>
            <w:tcW w:w="1638" w:type="pct"/>
            <w:tcBorders>
              <w:top w:val="single" w:color="auto" w:sz="4" w:space="0"/>
              <w:left w:val="nil"/>
              <w:bottom w:val="single" w:color="auto" w:sz="4" w:space="0"/>
              <w:right w:val="single" w:color="auto" w:sz="4" w:space="0"/>
            </w:tcBorders>
            <w:vAlign w:val="center"/>
          </w:tcPr>
          <w:p>
            <w:pPr>
              <w:widowControl/>
              <w:spacing w:line="440" w:lineRule="exact"/>
              <w:jc w:val="left"/>
              <w:rPr>
                <w:rFonts w:eastAsia="仿宋_GB2312"/>
                <w:color w:val="000000"/>
                <w:kern w:val="0"/>
                <w:sz w:val="20"/>
                <w:szCs w:val="20"/>
              </w:rPr>
            </w:pPr>
          </w:p>
        </w:tc>
        <w:tc>
          <w:tcPr>
            <w:tcW w:w="266"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100</w:t>
            </w:r>
          </w:p>
        </w:tc>
        <w:tc>
          <w:tcPr>
            <w:tcW w:w="266" w:type="pct"/>
            <w:tcBorders>
              <w:top w:val="single" w:color="auto" w:sz="4" w:space="0"/>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10" w:type="pct"/>
            <w:tcBorders>
              <w:top w:val="single" w:color="auto" w:sz="4" w:space="0"/>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bl>
    <w:p>
      <w:pPr>
        <w:rPr>
          <w:rFonts w:eastAsia="仿宋_GB2312"/>
          <w:color w:val="000000"/>
          <w:kern w:val="0"/>
          <w:szCs w:val="21"/>
        </w:rPr>
      </w:pPr>
    </w:p>
    <w:p>
      <w:pPr>
        <w:rPr>
          <w:rFonts w:eastAsia="仿宋_GB2312"/>
          <w:color w:val="000000"/>
          <w:kern w:val="0"/>
          <w:szCs w:val="21"/>
        </w:rPr>
      </w:pPr>
      <w:r>
        <w:rPr>
          <w:rFonts w:eastAsia="仿宋_GB2312"/>
          <w:color w:val="000000"/>
          <w:kern w:val="0"/>
          <w:szCs w:val="21"/>
        </w:rPr>
        <w:t>说明：评估细则采取百分制，现场评估达到70分及以上，认为达到健康村标准。</w:t>
      </w:r>
    </w:p>
    <w:p>
      <w:pPr>
        <w:rPr>
          <w:rFonts w:eastAsia="仿宋_GB2312"/>
          <w:sz w:val="32"/>
          <w:szCs w:val="32"/>
        </w:rPr>
      </w:pPr>
    </w:p>
    <w:p>
      <w:pPr>
        <w:widowControl/>
        <w:jc w:val="center"/>
        <w:rPr>
          <w:rFonts w:eastAsia="仿宋_GB2312"/>
          <w:sz w:val="36"/>
          <w:szCs w:val="36"/>
        </w:rPr>
      </w:pPr>
    </w:p>
    <w:p>
      <w:pPr>
        <w:widowControl/>
        <w:rPr>
          <w:rFonts w:eastAsia="仿宋_GB2312"/>
          <w:sz w:val="36"/>
          <w:szCs w:val="36"/>
        </w:rPr>
      </w:pPr>
    </w:p>
    <w:p>
      <w:pPr>
        <w:widowControl/>
        <w:jc w:val="center"/>
        <w:rPr>
          <w:rFonts w:eastAsia="仿宋_GB2312"/>
          <w:sz w:val="36"/>
          <w:szCs w:val="36"/>
        </w:rPr>
      </w:pPr>
      <w:r>
        <w:rPr>
          <w:rFonts w:eastAsia="仿宋_GB2312"/>
          <w:sz w:val="36"/>
          <w:szCs w:val="36"/>
        </w:rPr>
        <w:t>健康社区评估细则（2023版）</w:t>
      </w:r>
    </w:p>
    <w:p>
      <w:pPr>
        <w:widowControl/>
        <w:jc w:val="left"/>
        <w:rPr>
          <w:rFonts w:eastAsia="仿宋_GB2312"/>
          <w:szCs w:val="21"/>
          <w:u w:val="single"/>
        </w:rPr>
      </w:pPr>
      <w:r>
        <w:rPr>
          <w:rFonts w:eastAsia="仿宋_GB2312"/>
          <w:sz w:val="22"/>
          <w:szCs w:val="22"/>
        </w:rPr>
        <w:t xml:space="preserve"> </w:t>
      </w:r>
      <w:r>
        <w:rPr>
          <w:rFonts w:eastAsia="仿宋_GB2312"/>
          <w:szCs w:val="21"/>
        </w:rPr>
        <w:t>省份：</w:t>
      </w:r>
      <w:r>
        <w:rPr>
          <w:rFonts w:eastAsia="仿宋_GB2312"/>
          <w:szCs w:val="21"/>
          <w:u w:val="single"/>
        </w:rPr>
        <w:t xml:space="preserve">              </w:t>
      </w:r>
      <w:r>
        <w:rPr>
          <w:rFonts w:eastAsia="仿宋_GB2312"/>
          <w:szCs w:val="21"/>
        </w:rPr>
        <w:t xml:space="preserve">  市级：</w:t>
      </w:r>
      <w:r>
        <w:rPr>
          <w:rFonts w:eastAsia="仿宋_GB2312"/>
          <w:szCs w:val="21"/>
          <w:u w:val="single"/>
        </w:rPr>
        <w:t xml:space="preserve">               </w:t>
      </w:r>
      <w:r>
        <w:rPr>
          <w:rFonts w:eastAsia="仿宋_GB2312"/>
          <w:szCs w:val="21"/>
        </w:rPr>
        <w:t xml:space="preserve">   县（区）： </w:t>
      </w:r>
      <w:r>
        <w:rPr>
          <w:rFonts w:eastAsia="仿宋_GB2312"/>
          <w:szCs w:val="21"/>
          <w:u w:val="single"/>
        </w:rPr>
        <w:t xml:space="preserve">               </w:t>
      </w:r>
      <w:r>
        <w:rPr>
          <w:rFonts w:eastAsia="仿宋_GB2312"/>
          <w:szCs w:val="21"/>
        </w:rPr>
        <w:t xml:space="preserve">   社区：</w:t>
      </w:r>
      <w:r>
        <w:rPr>
          <w:rFonts w:eastAsia="仿宋_GB2312"/>
          <w:szCs w:val="21"/>
          <w:u w:val="single"/>
        </w:rPr>
        <w:t xml:space="preserve">               </w:t>
      </w:r>
      <w:r>
        <w:rPr>
          <w:rFonts w:eastAsia="仿宋_GB2312"/>
          <w:szCs w:val="21"/>
        </w:rPr>
        <w:t xml:space="preserve">   时间：</w:t>
      </w:r>
      <w:r>
        <w:rPr>
          <w:rFonts w:eastAsia="仿宋_GB2312"/>
          <w:szCs w:val="21"/>
          <w:u w:val="single"/>
        </w:rPr>
        <w:t xml:space="preserve">                   </w:t>
      </w:r>
      <w:r>
        <w:rPr>
          <w:rFonts w:eastAsia="仿宋_GB2312"/>
          <w:b/>
          <w:szCs w:val="21"/>
          <w:u w:val="single"/>
        </w:rPr>
        <w:t xml:space="preserve"> </w:t>
      </w:r>
    </w:p>
    <w:tbl>
      <w:tblPr>
        <w:tblStyle w:val="4"/>
        <w:tblW w:w="5000" w:type="pct"/>
        <w:tblInd w:w="0" w:type="dxa"/>
        <w:tblLayout w:type="autofit"/>
        <w:tblCellMar>
          <w:top w:w="0" w:type="dxa"/>
          <w:left w:w="108" w:type="dxa"/>
          <w:bottom w:w="0" w:type="dxa"/>
          <w:right w:w="108" w:type="dxa"/>
        </w:tblCellMar>
      </w:tblPr>
      <w:tblGrid>
        <w:gridCol w:w="734"/>
        <w:gridCol w:w="732"/>
        <w:gridCol w:w="2951"/>
        <w:gridCol w:w="2962"/>
        <w:gridCol w:w="531"/>
        <w:gridCol w:w="475"/>
        <w:gridCol w:w="731"/>
      </w:tblGrid>
      <w:tr>
        <w:tblPrEx>
          <w:tblCellMar>
            <w:top w:w="0" w:type="dxa"/>
            <w:left w:w="108" w:type="dxa"/>
            <w:bottom w:w="0" w:type="dxa"/>
            <w:right w:w="108" w:type="dxa"/>
          </w:tblCellMar>
        </w:tblPrEx>
        <w:trPr>
          <w:trHeight w:val="20" w:hRule="atLeast"/>
          <w:tblHeader/>
        </w:trPr>
        <w:tc>
          <w:tcPr>
            <w:tcW w:w="407"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eastAsia="仿宋_GB2312"/>
                <w:b/>
                <w:bCs/>
                <w:kern w:val="0"/>
                <w:szCs w:val="21"/>
              </w:rPr>
            </w:pPr>
            <w:r>
              <w:rPr>
                <w:rFonts w:eastAsia="仿宋_GB2312"/>
                <w:b/>
                <w:bCs/>
                <w:kern w:val="0"/>
                <w:szCs w:val="21"/>
              </w:rPr>
              <w:t>一级指标</w:t>
            </w:r>
          </w:p>
        </w:tc>
        <w:tc>
          <w:tcPr>
            <w:tcW w:w="406" w:type="pct"/>
            <w:tcBorders>
              <w:top w:val="single" w:color="auto" w:sz="4" w:space="0"/>
              <w:left w:val="nil"/>
              <w:bottom w:val="single" w:color="auto" w:sz="4" w:space="0"/>
              <w:right w:val="single" w:color="auto" w:sz="4" w:space="0"/>
            </w:tcBorders>
            <w:vAlign w:val="center"/>
          </w:tcPr>
          <w:p>
            <w:pPr>
              <w:widowControl/>
              <w:spacing w:line="276" w:lineRule="auto"/>
              <w:jc w:val="center"/>
              <w:rPr>
                <w:rFonts w:eastAsia="仿宋_GB2312"/>
                <w:b/>
                <w:bCs/>
                <w:kern w:val="0"/>
                <w:szCs w:val="21"/>
              </w:rPr>
            </w:pPr>
            <w:r>
              <w:rPr>
                <w:rFonts w:eastAsia="仿宋_GB2312"/>
                <w:b/>
                <w:bCs/>
                <w:kern w:val="0"/>
                <w:szCs w:val="21"/>
              </w:rPr>
              <w:t>二级指标</w:t>
            </w:r>
          </w:p>
        </w:tc>
        <w:tc>
          <w:tcPr>
            <w:tcW w:w="1623" w:type="pct"/>
            <w:tcBorders>
              <w:top w:val="single" w:color="auto" w:sz="4" w:space="0"/>
              <w:left w:val="nil"/>
              <w:bottom w:val="single" w:color="auto" w:sz="4" w:space="0"/>
              <w:right w:val="single" w:color="auto" w:sz="4" w:space="0"/>
            </w:tcBorders>
            <w:vAlign w:val="center"/>
          </w:tcPr>
          <w:p>
            <w:pPr>
              <w:widowControl/>
              <w:spacing w:line="276" w:lineRule="auto"/>
              <w:jc w:val="center"/>
              <w:rPr>
                <w:rFonts w:eastAsia="仿宋_GB2312"/>
                <w:b/>
                <w:bCs/>
                <w:kern w:val="0"/>
                <w:szCs w:val="21"/>
              </w:rPr>
            </w:pPr>
            <w:r>
              <w:rPr>
                <w:rFonts w:eastAsia="仿宋_GB2312"/>
                <w:b/>
                <w:bCs/>
                <w:kern w:val="0"/>
                <w:szCs w:val="21"/>
              </w:rPr>
              <w:t>指标解释</w:t>
            </w:r>
          </w:p>
        </w:tc>
        <w:tc>
          <w:tcPr>
            <w:tcW w:w="1629" w:type="pct"/>
            <w:tcBorders>
              <w:top w:val="single" w:color="auto" w:sz="4" w:space="0"/>
              <w:left w:val="nil"/>
              <w:bottom w:val="single" w:color="auto" w:sz="4" w:space="0"/>
              <w:right w:val="single" w:color="auto" w:sz="4" w:space="0"/>
            </w:tcBorders>
            <w:vAlign w:val="center"/>
          </w:tcPr>
          <w:p>
            <w:pPr>
              <w:widowControl/>
              <w:spacing w:line="276" w:lineRule="auto"/>
              <w:jc w:val="center"/>
              <w:rPr>
                <w:rFonts w:eastAsia="仿宋_GB2312"/>
                <w:b/>
                <w:bCs/>
                <w:kern w:val="0"/>
                <w:szCs w:val="21"/>
              </w:rPr>
            </w:pPr>
            <w:r>
              <w:rPr>
                <w:rFonts w:eastAsia="仿宋_GB2312"/>
                <w:b/>
                <w:bCs/>
                <w:kern w:val="0"/>
                <w:szCs w:val="21"/>
              </w:rPr>
              <w:t>评分标准</w:t>
            </w:r>
          </w:p>
        </w:tc>
        <w:tc>
          <w:tcPr>
            <w:tcW w:w="265" w:type="pct"/>
            <w:tcBorders>
              <w:top w:val="single" w:color="auto" w:sz="4" w:space="0"/>
              <w:left w:val="nil"/>
              <w:bottom w:val="single" w:color="auto" w:sz="4" w:space="0"/>
              <w:right w:val="single" w:color="auto" w:sz="4" w:space="0"/>
            </w:tcBorders>
            <w:vAlign w:val="center"/>
          </w:tcPr>
          <w:p>
            <w:pPr>
              <w:widowControl/>
              <w:spacing w:line="276" w:lineRule="auto"/>
              <w:jc w:val="center"/>
              <w:rPr>
                <w:rFonts w:eastAsia="仿宋_GB2312"/>
                <w:b/>
                <w:bCs/>
                <w:kern w:val="0"/>
                <w:szCs w:val="21"/>
              </w:rPr>
            </w:pPr>
            <w:r>
              <w:rPr>
                <w:rFonts w:eastAsia="仿宋_GB2312"/>
                <w:b/>
                <w:bCs/>
                <w:kern w:val="0"/>
                <w:szCs w:val="21"/>
              </w:rPr>
              <w:t>分值</w:t>
            </w:r>
          </w:p>
        </w:tc>
        <w:tc>
          <w:tcPr>
            <w:tcW w:w="265" w:type="pct"/>
            <w:tcBorders>
              <w:top w:val="single" w:color="auto" w:sz="4" w:space="0"/>
              <w:left w:val="nil"/>
              <w:bottom w:val="single" w:color="auto" w:sz="4" w:space="0"/>
              <w:right w:val="single" w:color="auto" w:sz="4" w:space="0"/>
            </w:tcBorders>
          </w:tcPr>
          <w:p>
            <w:pPr>
              <w:widowControl/>
              <w:spacing w:line="276" w:lineRule="auto"/>
              <w:jc w:val="center"/>
              <w:rPr>
                <w:rFonts w:eastAsia="仿宋_GB2312"/>
                <w:b/>
                <w:bCs/>
                <w:kern w:val="0"/>
                <w:szCs w:val="21"/>
              </w:rPr>
            </w:pPr>
            <w:r>
              <w:rPr>
                <w:rFonts w:eastAsia="仿宋_GB2312"/>
                <w:b/>
                <w:bCs/>
                <w:kern w:val="0"/>
                <w:szCs w:val="21"/>
              </w:rPr>
              <w:t>得分</w:t>
            </w:r>
          </w:p>
        </w:tc>
        <w:tc>
          <w:tcPr>
            <w:tcW w:w="405" w:type="pct"/>
            <w:tcBorders>
              <w:top w:val="single" w:color="auto" w:sz="4" w:space="0"/>
              <w:left w:val="nil"/>
              <w:bottom w:val="single" w:color="auto" w:sz="4" w:space="0"/>
              <w:right w:val="single" w:color="auto" w:sz="4" w:space="0"/>
            </w:tcBorders>
          </w:tcPr>
          <w:p>
            <w:pPr>
              <w:widowControl/>
              <w:spacing w:line="276" w:lineRule="auto"/>
              <w:jc w:val="center"/>
              <w:rPr>
                <w:rFonts w:eastAsia="仿宋_GB2312"/>
                <w:b/>
                <w:bCs/>
                <w:kern w:val="0"/>
                <w:szCs w:val="21"/>
              </w:rPr>
            </w:pPr>
            <w:r>
              <w:rPr>
                <w:rFonts w:eastAsia="仿宋_GB2312"/>
                <w:b/>
                <w:bCs/>
                <w:kern w:val="0"/>
                <w:szCs w:val="21"/>
              </w:rPr>
              <w:t>扣分原因</w:t>
            </w:r>
          </w:p>
        </w:tc>
      </w:tr>
      <w:tr>
        <w:tblPrEx>
          <w:tblCellMar>
            <w:top w:w="0" w:type="dxa"/>
            <w:left w:w="108" w:type="dxa"/>
            <w:bottom w:w="0" w:type="dxa"/>
            <w:right w:w="108" w:type="dxa"/>
          </w:tblCellMar>
        </w:tblPrEx>
        <w:trPr>
          <w:trHeight w:val="20" w:hRule="atLeast"/>
        </w:trPr>
        <w:tc>
          <w:tcPr>
            <w:tcW w:w="407" w:type="pct"/>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hint="eastAsia" w:eastAsia="仿宋_GB2312"/>
                <w:kern w:val="0"/>
                <w:szCs w:val="21"/>
                <w:lang w:eastAsia="zh-CN"/>
              </w:rPr>
            </w:pPr>
            <w:r>
              <w:rPr>
                <w:rFonts w:eastAsia="仿宋_GB2312"/>
                <w:kern w:val="0"/>
                <w:szCs w:val="21"/>
              </w:rPr>
              <w:t>一、组织管理</w:t>
            </w:r>
          </w:p>
          <w:p>
            <w:pPr>
              <w:widowControl/>
              <w:spacing w:line="276" w:lineRule="auto"/>
              <w:jc w:val="center"/>
              <w:rPr>
                <w:rFonts w:eastAsia="仿宋_GB2312"/>
                <w:kern w:val="0"/>
                <w:szCs w:val="21"/>
              </w:rPr>
            </w:pPr>
            <w:r>
              <w:rPr>
                <w:rFonts w:eastAsia="仿宋_GB2312"/>
                <w:kern w:val="0"/>
                <w:szCs w:val="21"/>
              </w:rPr>
              <w:t>（20分）</w:t>
            </w:r>
          </w:p>
        </w:tc>
        <w:tc>
          <w:tcPr>
            <w:tcW w:w="406" w:type="pct"/>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承诺倡导</w:t>
            </w: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社区居委会承诺建设健康社区。</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社区居委会采取签署承诺书等形式，承诺开展健康社区建设工作，得2分。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406" w:type="pct"/>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采取召开全体居民大会、倡议书入户、户外公共牌等形式，倡导辖区各单位和家庭户积极参与健康社区建设。</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采取召开全体居民大会、倡议书入户、户外公共牌等形式，动员辖区各单位、社区组织、志愿者和居民积极参与健康社区建设，得3分。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406" w:type="pct"/>
            <w:vMerge w:val="restart"/>
            <w:tcBorders>
              <w:top w:val="nil"/>
              <w:left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协调机制</w:t>
            </w: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成立社区主要负责同志参加的健康社区领导小组，明确职责分工。</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成立主要领导牵头的领导小组得2分。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406"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 xml:space="preserve">每季度召开工作例会，讨论社区主要健康问题并提出具体应对措施。 </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每年召开工作例会4次得2分，2次得1分。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406" w:type="pct"/>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建立健全公共卫生委员会。</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设立公共卫生委员会，社区卫生服务中心设置预防保健室，至少配备1名公共卫生医师。</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1</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406" w:type="pct"/>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规章制度</w:t>
            </w: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将健康社区建设纳入社区工作计划，制定居民公约。</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纳入社区工作计划，得2分，制定居民公约，得   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406" w:type="pct"/>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制定促进社区健康的规章制度和相关措施，如改善社区环境卫生、落实公共场所无烟、促进居民采取健康生活方式、预防控制重大疾病和突发公共卫生事件、困难家庭健康帮扶措施等。</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制定促进社区健康的规章制度和措施，每制定一条得1分，累计不超过3分。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406" w:type="pct"/>
            <w:vMerge w:val="restart"/>
            <w:tcBorders>
              <w:top w:val="nil"/>
              <w:left w:val="single" w:color="auto" w:sz="4" w:space="0"/>
              <w:bottom w:val="single" w:color="000000"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组织实施</w:t>
            </w: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有专人负责健康社区建设工作，定期接受健康促进培训。</w:t>
            </w:r>
          </w:p>
        </w:tc>
        <w:tc>
          <w:tcPr>
            <w:tcW w:w="1629" w:type="pct"/>
            <w:tcBorders>
              <w:top w:val="nil"/>
              <w:left w:val="nil"/>
              <w:bottom w:val="single" w:color="auto" w:sz="4" w:space="0"/>
              <w:right w:val="single" w:color="auto" w:sz="4" w:space="0"/>
            </w:tcBorders>
            <w:vAlign w:val="center"/>
          </w:tcPr>
          <w:p>
            <w:pPr>
              <w:widowControl/>
              <w:spacing w:line="276" w:lineRule="auto"/>
              <w:rPr>
                <w:rFonts w:hint="eastAsia" w:eastAsia="仿宋_GB2312"/>
                <w:kern w:val="0"/>
                <w:szCs w:val="21"/>
                <w:lang w:eastAsia="zh-CN"/>
              </w:rPr>
            </w:pPr>
            <w:r>
              <w:rPr>
                <w:rFonts w:eastAsia="仿宋_GB2312"/>
                <w:kern w:val="0"/>
                <w:szCs w:val="21"/>
              </w:rPr>
              <w:t>有专人负责健康社区建设工作，得1分。</w:t>
            </w:r>
          </w:p>
          <w:p>
            <w:pPr>
              <w:widowControl/>
              <w:spacing w:line="276" w:lineRule="auto"/>
              <w:rPr>
                <w:rFonts w:eastAsia="仿宋_GB2312"/>
                <w:kern w:val="0"/>
                <w:szCs w:val="21"/>
              </w:rPr>
            </w:pPr>
            <w:r>
              <w:rPr>
                <w:rFonts w:eastAsia="仿宋_GB2312"/>
                <w:kern w:val="0"/>
                <w:szCs w:val="21"/>
              </w:rPr>
              <w:t>每年接受健康促进培训达2次得1分，1次得0.5分。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406" w:type="pct"/>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根据社区居民存在的主要健康问题，制定健康社区建设工作计划，并对工作内容进行适时优化调整。资料齐全，整理规范。</w:t>
            </w:r>
          </w:p>
        </w:tc>
        <w:tc>
          <w:tcPr>
            <w:tcW w:w="1629" w:type="pct"/>
            <w:tcBorders>
              <w:top w:val="nil"/>
              <w:left w:val="nil"/>
              <w:bottom w:val="single" w:color="auto" w:sz="4" w:space="0"/>
              <w:right w:val="single" w:color="auto" w:sz="4" w:space="0"/>
            </w:tcBorders>
            <w:vAlign w:val="center"/>
          </w:tcPr>
          <w:p>
            <w:pPr>
              <w:widowControl/>
              <w:spacing w:line="276" w:lineRule="auto"/>
              <w:rPr>
                <w:rFonts w:hint="eastAsia" w:eastAsia="仿宋_GB2312"/>
                <w:kern w:val="0"/>
                <w:szCs w:val="21"/>
                <w:lang w:eastAsia="zh-CN"/>
              </w:rPr>
            </w:pPr>
            <w:r>
              <w:rPr>
                <w:rFonts w:eastAsia="仿宋_GB2312"/>
                <w:kern w:val="0"/>
                <w:szCs w:val="21"/>
              </w:rPr>
              <w:t>有社区居民健康状况及影响因素的现况调查，有健康社区建设工作方案或计划，工作内容明确，措施具体，责任分工合理，得1分。</w:t>
            </w:r>
          </w:p>
          <w:p>
            <w:pPr>
              <w:widowControl/>
              <w:spacing w:line="276" w:lineRule="auto"/>
              <w:rPr>
                <w:rFonts w:eastAsia="仿宋_GB2312"/>
                <w:kern w:val="0"/>
                <w:szCs w:val="21"/>
              </w:rPr>
            </w:pPr>
            <w:r>
              <w:rPr>
                <w:rFonts w:eastAsia="仿宋_GB2312"/>
                <w:kern w:val="0"/>
                <w:szCs w:val="21"/>
              </w:rPr>
              <w:t>档案资料齐全并及时更新，定期整理，得2分。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hint="eastAsia" w:eastAsia="仿宋_GB2312"/>
                <w:kern w:val="0"/>
                <w:szCs w:val="21"/>
                <w:lang w:eastAsia="zh-CN"/>
              </w:rPr>
            </w:pPr>
            <w:r>
              <w:rPr>
                <w:rFonts w:eastAsia="仿宋_GB2312"/>
                <w:kern w:val="0"/>
                <w:szCs w:val="21"/>
              </w:rPr>
              <w:t>二、健康环境</w:t>
            </w:r>
          </w:p>
          <w:p>
            <w:pPr>
              <w:widowControl/>
              <w:spacing w:line="276" w:lineRule="auto"/>
              <w:jc w:val="center"/>
              <w:rPr>
                <w:rFonts w:eastAsia="仿宋_GB2312"/>
                <w:kern w:val="0"/>
                <w:szCs w:val="21"/>
              </w:rPr>
            </w:pPr>
            <w:r>
              <w:rPr>
                <w:rFonts w:eastAsia="仿宋_GB2312"/>
                <w:kern w:val="0"/>
                <w:szCs w:val="21"/>
              </w:rPr>
              <w:t>（30分）</w:t>
            </w:r>
          </w:p>
        </w:tc>
        <w:tc>
          <w:tcPr>
            <w:tcW w:w="406" w:type="pct"/>
            <w:vMerge w:val="restart"/>
            <w:tcBorders>
              <w:top w:val="nil"/>
              <w:left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市容环境</w:t>
            </w: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道路功能完善，整洁有序，车辆停放有序，建筑立面、楼道干净整洁，公共设施能满足居民需求。</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道路及附属设施定期养护、容貌整洁，车辆停放有序得1分；建筑立面整洁完好、定期修饰，得1分；公园、绿道、绿地等公共设施能满足居民休闲、运动需求，得1分。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生活垃圾分类收运、密闭存放、及时清运、整洁规范。</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建立生活垃圾分类制度，垃圾分类收运、分类处理，合理布局相应设施设备，垃圾日产日清。</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公厕配置合理完善，卫生达标。</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在居民集中活动场所附近有公共厕所，公共厕所建设和管理达到相关要求，并免费开放。</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vMerge w:val="continue"/>
            <w:tcBorders>
              <w:left w:val="single" w:color="auto" w:sz="4" w:space="0"/>
              <w:bottom w:val="single" w:color="auto" w:sz="4" w:space="0"/>
              <w:right w:val="single" w:color="auto" w:sz="4" w:space="0"/>
            </w:tcBorders>
            <w:vAlign w:val="center"/>
          </w:tcPr>
          <w:p>
            <w:pPr>
              <w:widowControl/>
              <w:spacing w:line="276" w:lineRule="auto"/>
              <w:jc w:val="center"/>
              <w:rPr>
                <w:rFonts w:eastAsia="仿宋_GB2312"/>
                <w:kern w:val="0"/>
                <w:szCs w:val="21"/>
              </w:rPr>
            </w:pP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畜禽和野生动物饲养符合规定。</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畜禽需饲养合法，宠物饲养文明规范，畜禽粪污有效处置；</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tcBorders>
              <w:top w:val="nil"/>
              <w:left w:val="single" w:color="auto" w:sz="4" w:space="0"/>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生活饮用水卫生</w:t>
            </w: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官网末梢水的水质达到生活饮用水国家标准要求。</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官网末梢水的水质达到生活饮用水国家标准要求。</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vMerge w:val="restart"/>
            <w:tcBorders>
              <w:top w:val="nil"/>
              <w:left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生态环境</w:t>
            </w: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餐饮单位内外环境卫生整洁，油烟净化符合要求，推广明厨亮灶。</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食品生产经营单位内外环境卫生整洁，安装使用油烟净化装置并达标排放，推广明厨亮灶。</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vMerge w:val="continue"/>
            <w:tcBorders>
              <w:left w:val="single" w:color="auto" w:sz="4" w:space="0"/>
              <w:bottom w:val="single" w:color="auto" w:sz="4" w:space="0"/>
              <w:right w:val="single" w:color="auto" w:sz="4" w:space="0"/>
            </w:tcBorders>
            <w:vAlign w:val="center"/>
          </w:tcPr>
          <w:p>
            <w:pPr>
              <w:widowControl/>
              <w:spacing w:line="276" w:lineRule="auto"/>
              <w:jc w:val="center"/>
              <w:rPr>
                <w:rFonts w:eastAsia="仿宋_GB2312"/>
                <w:kern w:val="0"/>
                <w:szCs w:val="21"/>
              </w:rPr>
            </w:pP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声环境良好，无噪音扰民。</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无固定噪声源干扰周围生活环境。</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tcBorders>
              <w:left w:val="single" w:color="auto" w:sz="4" w:space="0"/>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食品生产经营</w:t>
            </w: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食品采购、贮存、加工、销售符合要求，对流动商贩实行统一管理，无贩卖、制售、食用野生动物现象。</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食品采购、贮存、加工、销售符合要求，基本信息公示，得2分。对流动商贩实行统一管理，无贩卖、制售、食用野生动物现象，得1分。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安全设施</w:t>
            </w: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消防设施齐全、完好，消防道路通畅；在易发生伤害的区域设置安全标志和保护设施，定期组织防震减灾和急救培训。</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消防设施齐全、完好，消防道路通畅，得1分；在易发生伤害的区域设置安全标志和保护设施，定期组织防震减灾和急救培训，得2分。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tcBorders>
              <w:top w:val="nil"/>
              <w:left w:val="single" w:color="auto" w:sz="4" w:space="0"/>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无障碍设施</w:t>
            </w: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加强无障碍设施建设，开展居家适老化改造。鼓励建设托育服务设施。</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加强无障碍设施建设，得1分，如盲道、无障碍卫生间、出入口无障碍设施、低位服务设施等；开展居家适老化改造；鼓励建设托育服务设施，得1分。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tcBorders>
              <w:top w:val="nil"/>
              <w:left w:val="single" w:color="auto" w:sz="4" w:space="0"/>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病媒生物防制</w:t>
            </w: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对蚊、蝇孳生地进行有效管理、病媒生物密度达到国家病媒生物密度控制水平。</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制定孳生地治理或管理方案，开展病媒生物防制。</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restart"/>
            <w:tcBorders>
              <w:top w:val="single" w:color="auto" w:sz="4" w:space="0"/>
              <w:left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三、健康文化（25分）</w:t>
            </w:r>
          </w:p>
        </w:tc>
        <w:tc>
          <w:tcPr>
            <w:tcW w:w="406" w:type="pct"/>
            <w:vMerge w:val="restart"/>
            <w:tcBorders>
              <w:top w:val="single" w:color="auto" w:sz="4" w:space="0"/>
              <w:left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无烟文化</w:t>
            </w: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社区党组织、居民委员会成员带头践行文明健康绿色环保生活方式，遵守控烟规定。</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社区党组织、居民委员会成员带头践行文明健康绿色环保生活方式，遵守控烟规定。</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5</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vMerge w:val="continue"/>
            <w:tcBorders>
              <w:left w:val="single" w:color="auto" w:sz="4" w:space="0"/>
              <w:bottom w:val="single" w:color="auto" w:sz="4" w:space="0"/>
              <w:right w:val="single" w:color="auto" w:sz="4" w:space="0"/>
            </w:tcBorders>
            <w:vAlign w:val="center"/>
          </w:tcPr>
          <w:p>
            <w:pPr>
              <w:widowControl/>
              <w:spacing w:line="276" w:lineRule="auto"/>
              <w:jc w:val="center"/>
              <w:rPr>
                <w:rFonts w:eastAsia="仿宋_GB2312"/>
                <w:kern w:val="0"/>
                <w:szCs w:val="21"/>
              </w:rPr>
            </w:pP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辖区内所有室内公共场所、工作场所禁止吸烟，社区主要建筑物入口处、电梯、楼梯、公共厕所灯有明显的控烟标识，社区内无烟草广告和促销，不得向未成年人销售烟酒。</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居委会办公室、会议室、电梯、楼梯、主要道路没有发现烟头或者吸烟现象，得3分。主要建筑物入口处、电梯、公共厕所、会议室有禁烟标识和健康提示。无烟草广告和促销，得2分。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5</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tcBorders>
              <w:left w:val="single" w:color="auto" w:sz="4" w:space="0"/>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全民健身文化</w:t>
            </w: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配备公共健身设施，组织开展群众性健身活动。</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设置公共健身设施，设施完好，定期维护，组织开展群众性健身活动。</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5</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中医药文化</w:t>
            </w:r>
          </w:p>
        </w:tc>
        <w:tc>
          <w:tcPr>
            <w:tcW w:w="1623"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普及中医药养生保健知识和方法。</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开展中医药养生保健科普活动。</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5</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文明健康绿色环保文化</w:t>
            </w: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推广分餐制和公筷制，倡导“光盘行动”；鼓励节约能源，减少使用塑料制品、包装产品、一次性用品。</w:t>
            </w:r>
          </w:p>
        </w:tc>
        <w:tc>
          <w:tcPr>
            <w:tcW w:w="1629"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推广分餐制和公筷制，倡导“光盘行动”；鼓励节约能源，减少使用塑料制品、包装产品、一次性用品。</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5</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restart"/>
            <w:tcBorders>
              <w:top w:val="single" w:color="auto" w:sz="4" w:space="0"/>
              <w:left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四、健康服务（25分）</w:t>
            </w:r>
          </w:p>
        </w:tc>
        <w:tc>
          <w:tcPr>
            <w:tcW w:w="406" w:type="pc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基本医疗卫生服务</w:t>
            </w: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建有标准化的社区卫生服务站，提供基本医疗卫生服务；推进家庭医生签约服务，探索设立健康自助监测点或健康小屋。</w:t>
            </w:r>
          </w:p>
        </w:tc>
        <w:tc>
          <w:tcPr>
            <w:tcW w:w="1629"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建有标准化的社区卫生服务站，提供基本医疗卫生服务；推进家庭医生签约服务，探索设立健康自助监测点或健康小屋。</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4</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基本健康教育服务</w:t>
            </w:r>
          </w:p>
        </w:tc>
        <w:tc>
          <w:tcPr>
            <w:tcW w:w="1623" w:type="pct"/>
            <w:tcBorders>
              <w:top w:val="single" w:color="auto" w:sz="4" w:space="0"/>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配合基层医疗卫生机构开展健康教育活动，活动质量和频次符合基本公共卫生服务项目要求。</w:t>
            </w:r>
          </w:p>
        </w:tc>
        <w:tc>
          <w:tcPr>
            <w:tcW w:w="1629" w:type="pct"/>
            <w:tcBorders>
              <w:top w:val="nil"/>
              <w:left w:val="nil"/>
              <w:bottom w:val="single" w:color="auto" w:sz="4" w:space="0"/>
              <w:right w:val="single" w:color="auto" w:sz="4" w:space="0"/>
            </w:tcBorders>
            <w:vAlign w:val="center"/>
          </w:tcPr>
          <w:p>
            <w:pPr>
              <w:widowControl/>
              <w:spacing w:line="276" w:lineRule="auto"/>
              <w:jc w:val="left"/>
              <w:rPr>
                <w:rFonts w:hint="eastAsia" w:eastAsia="仿宋_GB2312"/>
                <w:kern w:val="0"/>
                <w:szCs w:val="21"/>
                <w:lang w:eastAsia="zh-CN"/>
              </w:rPr>
            </w:pPr>
            <w:r>
              <w:rPr>
                <w:rFonts w:eastAsia="仿宋_GB2312"/>
                <w:kern w:val="0"/>
                <w:szCs w:val="21"/>
              </w:rPr>
              <w:t>有开展健康教育工作的计划和总结，得1分。</w:t>
            </w:r>
          </w:p>
          <w:p>
            <w:pPr>
              <w:widowControl/>
              <w:spacing w:line="276" w:lineRule="auto"/>
              <w:jc w:val="left"/>
              <w:rPr>
                <w:rFonts w:hint="eastAsia" w:eastAsia="仿宋_GB2312"/>
                <w:kern w:val="0"/>
                <w:szCs w:val="21"/>
                <w:lang w:eastAsia="zh-CN"/>
              </w:rPr>
            </w:pPr>
            <w:r>
              <w:rPr>
                <w:rFonts w:eastAsia="仿宋_GB2312"/>
                <w:kern w:val="0"/>
                <w:szCs w:val="21"/>
              </w:rPr>
              <w:t>每年开展4次以上健康教育讲座，得1分。</w:t>
            </w:r>
          </w:p>
          <w:p>
            <w:pPr>
              <w:widowControl/>
              <w:spacing w:line="276" w:lineRule="auto"/>
              <w:jc w:val="left"/>
              <w:rPr>
                <w:rFonts w:hint="eastAsia" w:eastAsia="仿宋_GB2312"/>
                <w:kern w:val="0"/>
                <w:szCs w:val="21"/>
                <w:lang w:eastAsia="zh-CN"/>
              </w:rPr>
            </w:pPr>
            <w:r>
              <w:rPr>
                <w:rFonts w:eastAsia="仿宋_GB2312"/>
                <w:kern w:val="0"/>
                <w:szCs w:val="21"/>
              </w:rPr>
              <w:t>建有健康教育宣传栏并定期更新，得1分。</w:t>
            </w:r>
          </w:p>
          <w:p>
            <w:pPr>
              <w:widowControl/>
              <w:spacing w:line="276" w:lineRule="auto"/>
              <w:jc w:val="left"/>
              <w:rPr>
                <w:rFonts w:eastAsia="仿宋_GB2312"/>
                <w:kern w:val="0"/>
                <w:szCs w:val="21"/>
              </w:rPr>
            </w:pPr>
            <w:r>
              <w:rPr>
                <w:rFonts w:eastAsia="仿宋_GB2312"/>
                <w:kern w:val="0"/>
                <w:szCs w:val="21"/>
              </w:rPr>
              <w:t>定期发放健康教育材料，得1分。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4</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社区养老和医养结合服务</w:t>
            </w:r>
          </w:p>
        </w:tc>
        <w:tc>
          <w:tcPr>
            <w:tcW w:w="1623" w:type="pct"/>
            <w:tcBorders>
              <w:top w:val="single" w:color="auto" w:sz="4" w:space="0"/>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为老年人提供健康养老服务，保障特殊困难老年人的养老服务需求，为居家老年人提供上门医疗服务，为特殊儿童群体提供照护服务和医育结合服务。</w:t>
            </w:r>
          </w:p>
        </w:tc>
        <w:tc>
          <w:tcPr>
            <w:tcW w:w="1629"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为老年人提供健康养老服务，保障特殊困难老年人的养老服务需求，为居家老年人提供上门医疗服务，为特殊儿童群体提供照护服务和医育结合服务。提供一项得2分。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tcBorders>
              <w:left w:val="single" w:color="auto" w:sz="4" w:space="0"/>
              <w:right w:val="single" w:color="auto" w:sz="4" w:space="0"/>
            </w:tcBorders>
            <w:vAlign w:val="center"/>
          </w:tcPr>
          <w:p>
            <w:pPr>
              <w:widowControl/>
              <w:spacing w:line="276" w:lineRule="auto"/>
              <w:rPr>
                <w:rFonts w:eastAsia="仿宋_GB2312"/>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公共卫生应急</w:t>
            </w:r>
          </w:p>
        </w:tc>
        <w:tc>
          <w:tcPr>
            <w:tcW w:w="1623" w:type="pct"/>
            <w:tcBorders>
              <w:top w:val="single" w:color="auto" w:sz="4" w:space="0"/>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建立健全突发公共卫生事件和中达疫情防控机制、疫情防控物资储备制度。</w:t>
            </w:r>
          </w:p>
        </w:tc>
        <w:tc>
          <w:tcPr>
            <w:tcW w:w="1629"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建立健全突发公共卫生事件和中达疫情防控机制、疫情防控物资储备制度。</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3</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restart"/>
            <w:tcBorders>
              <w:left w:val="single" w:color="auto" w:sz="4" w:space="0"/>
              <w:right w:val="single" w:color="auto" w:sz="4" w:space="0"/>
            </w:tcBorders>
            <w:vAlign w:val="center"/>
          </w:tcPr>
          <w:p>
            <w:pPr>
              <w:widowControl/>
              <w:spacing w:line="276" w:lineRule="auto"/>
              <w:jc w:val="center"/>
              <w:rPr>
                <w:rFonts w:eastAsia="仿宋_GB2312"/>
                <w:kern w:val="0"/>
                <w:szCs w:val="21"/>
              </w:rPr>
            </w:pPr>
          </w:p>
        </w:tc>
        <w:tc>
          <w:tcPr>
            <w:tcW w:w="406"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健康家庭</w:t>
            </w: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配合有关部门，组织社区居民参加健康家庭评选活动。</w:t>
            </w:r>
          </w:p>
        </w:tc>
        <w:tc>
          <w:tcPr>
            <w:tcW w:w="1629"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有健康家庭评选工作计划和总结，有具体步骤和流程，得2分。动员、组织辖区居民参加健康家庭评选，得2分。开展针对家庭的健康活动，得2分。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选出的健康家庭符合健康家庭标准，对辖区其他家庭起到示范带头作用。</w:t>
            </w:r>
          </w:p>
        </w:tc>
        <w:tc>
          <w:tcPr>
            <w:tcW w:w="1629"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现场进入一个健康家庭，家庭环境清洁得1分；有健康标识和健康材料得1分；无人吸烟得1分；家庭关系和邻里关系和谐得1分。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4</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06"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目标人群主题活动</w:t>
            </w: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社区每年自发组织4次以上健康讲座。（讲座主题在辖区健康教育机构的业务指导下确定。可包括以下内容：科学就医、合理用药、传染病预防、安全急救；合理膳食、适量运动、戒烟限酒、心理平衡；母婴保健、科学育儿、健康老龄等。）</w:t>
            </w:r>
          </w:p>
        </w:tc>
        <w:tc>
          <w:tcPr>
            <w:tcW w:w="1629"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每年开展4次及以上健康讲座或咨询得2分，2-3次得1分。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right w:val="single" w:color="auto" w:sz="4" w:space="0"/>
            </w:tcBorders>
            <w:vAlign w:val="center"/>
          </w:tcPr>
          <w:p>
            <w:pPr>
              <w:widowControl/>
              <w:jc w:val="left"/>
              <w:rPr>
                <w:rFonts w:eastAsia="仿宋_GB2312"/>
                <w:kern w:val="0"/>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每年举办2次以上、面向辖区居民的集体活动。（如健康知识竞赛、健康演讲比赛、戒烟竞赛、健康展览展示、社区体育活动等。）</w:t>
            </w:r>
          </w:p>
        </w:tc>
        <w:tc>
          <w:tcPr>
            <w:tcW w:w="1629" w:type="pct"/>
            <w:tcBorders>
              <w:top w:val="nil"/>
              <w:left w:val="nil"/>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每年举办2次及以上、50个以上居民参与的集体活动，得2分，1次得1分。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623" w:type="pct"/>
            <w:tcBorders>
              <w:top w:val="nil"/>
              <w:left w:val="nil"/>
              <w:bottom w:val="single" w:color="auto" w:sz="4" w:space="0"/>
              <w:right w:val="single" w:color="auto" w:sz="4" w:space="0"/>
            </w:tcBorders>
            <w:vAlign w:val="center"/>
          </w:tcPr>
          <w:p>
            <w:pPr>
              <w:widowControl/>
              <w:spacing w:line="276" w:lineRule="auto"/>
              <w:rPr>
                <w:rFonts w:eastAsia="仿宋_GB2312"/>
                <w:kern w:val="0"/>
                <w:szCs w:val="21"/>
              </w:rPr>
            </w:pPr>
            <w:r>
              <w:rPr>
                <w:rFonts w:eastAsia="仿宋_GB2312"/>
                <w:kern w:val="0"/>
                <w:szCs w:val="21"/>
              </w:rPr>
              <w:t>开展有特色的健康教育活动，为居民提供健康自测和技术指导。（如健康加油站、健康餐厅、健康一条街、健康俱乐部等。）</w:t>
            </w:r>
          </w:p>
        </w:tc>
        <w:tc>
          <w:tcPr>
            <w:tcW w:w="1629" w:type="pct"/>
            <w:tcBorders>
              <w:top w:val="nil"/>
              <w:left w:val="nil"/>
              <w:bottom w:val="single" w:color="auto" w:sz="4" w:space="0"/>
              <w:right w:val="single" w:color="auto" w:sz="4" w:space="0"/>
            </w:tcBorders>
            <w:vAlign w:val="center"/>
          </w:tcPr>
          <w:p>
            <w:pPr>
              <w:widowControl/>
              <w:spacing w:line="276" w:lineRule="auto"/>
              <w:jc w:val="left"/>
              <w:rPr>
                <w:rFonts w:hint="eastAsia" w:eastAsia="仿宋_GB2312"/>
                <w:kern w:val="0"/>
                <w:szCs w:val="21"/>
                <w:lang w:eastAsia="zh-CN"/>
              </w:rPr>
            </w:pPr>
            <w:r>
              <w:rPr>
                <w:rFonts w:eastAsia="仿宋_GB2312"/>
                <w:kern w:val="0"/>
                <w:szCs w:val="21"/>
              </w:rPr>
              <w:t>开展有特色的健康教育活动，得1分。</w:t>
            </w:r>
          </w:p>
          <w:p>
            <w:pPr>
              <w:widowControl/>
              <w:spacing w:line="276" w:lineRule="auto"/>
              <w:jc w:val="left"/>
              <w:rPr>
                <w:rFonts w:eastAsia="仿宋_GB2312"/>
                <w:kern w:val="0"/>
                <w:szCs w:val="21"/>
              </w:rPr>
            </w:pPr>
            <w:r>
              <w:rPr>
                <w:rFonts w:eastAsia="仿宋_GB2312"/>
                <w:kern w:val="0"/>
                <w:szCs w:val="21"/>
              </w:rPr>
              <w:t>采取某种形式，为居民提供健康自测和健康指导，得1分。</w:t>
            </w:r>
          </w:p>
        </w:tc>
        <w:tc>
          <w:tcPr>
            <w:tcW w:w="265" w:type="pct"/>
            <w:tcBorders>
              <w:top w:val="nil"/>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2</w:t>
            </w:r>
          </w:p>
        </w:tc>
        <w:tc>
          <w:tcPr>
            <w:tcW w:w="26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nil"/>
              <w:left w:val="nil"/>
              <w:bottom w:val="single" w:color="auto" w:sz="4" w:space="0"/>
              <w:right w:val="single" w:color="auto" w:sz="4" w:space="0"/>
            </w:tcBorders>
          </w:tcPr>
          <w:p>
            <w:pPr>
              <w:widowControl/>
              <w:spacing w:line="276" w:lineRule="auto"/>
              <w:jc w:val="center"/>
              <w:rPr>
                <w:rFonts w:eastAsia="仿宋_GB2312"/>
                <w:kern w:val="0"/>
                <w:szCs w:val="21"/>
              </w:rPr>
            </w:pPr>
          </w:p>
        </w:tc>
      </w:tr>
      <w:tr>
        <w:tblPrEx>
          <w:tblCellMar>
            <w:top w:w="0" w:type="dxa"/>
            <w:left w:w="108" w:type="dxa"/>
            <w:bottom w:w="0" w:type="dxa"/>
            <w:right w:w="108" w:type="dxa"/>
          </w:tblCellMar>
        </w:tblPrEx>
        <w:trPr>
          <w:trHeight w:val="20" w:hRule="atLeast"/>
        </w:trPr>
        <w:tc>
          <w:tcPr>
            <w:tcW w:w="407"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eastAsia="仿宋_GB2312"/>
                <w:kern w:val="0"/>
                <w:szCs w:val="21"/>
              </w:rPr>
            </w:pPr>
            <w:r>
              <w:rPr>
                <w:rFonts w:eastAsia="仿宋_GB2312"/>
                <w:kern w:val="0"/>
                <w:szCs w:val="21"/>
              </w:rPr>
              <w:t>合计</w:t>
            </w:r>
          </w:p>
        </w:tc>
        <w:tc>
          <w:tcPr>
            <w:tcW w:w="406" w:type="pct"/>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p>
        </w:tc>
        <w:tc>
          <w:tcPr>
            <w:tcW w:w="1623" w:type="pct"/>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p>
        </w:tc>
        <w:tc>
          <w:tcPr>
            <w:tcW w:w="1629" w:type="pct"/>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p>
        </w:tc>
        <w:tc>
          <w:tcPr>
            <w:tcW w:w="265" w:type="pct"/>
            <w:tcBorders>
              <w:top w:val="single" w:color="auto" w:sz="4" w:space="0"/>
              <w:left w:val="nil"/>
              <w:bottom w:val="single" w:color="auto" w:sz="4" w:space="0"/>
              <w:right w:val="single" w:color="auto" w:sz="4" w:space="0"/>
            </w:tcBorders>
            <w:vAlign w:val="center"/>
          </w:tcPr>
          <w:p>
            <w:pPr>
              <w:widowControl/>
              <w:spacing w:line="276" w:lineRule="auto"/>
              <w:jc w:val="center"/>
              <w:rPr>
                <w:rFonts w:eastAsia="仿宋_GB2312"/>
                <w:kern w:val="0"/>
                <w:szCs w:val="21"/>
              </w:rPr>
            </w:pPr>
            <w:r>
              <w:rPr>
                <w:rFonts w:eastAsia="仿宋_GB2312"/>
                <w:kern w:val="0"/>
                <w:szCs w:val="21"/>
              </w:rPr>
              <w:t xml:space="preserve">100 </w:t>
            </w:r>
          </w:p>
        </w:tc>
        <w:tc>
          <w:tcPr>
            <w:tcW w:w="265" w:type="pct"/>
            <w:tcBorders>
              <w:top w:val="single" w:color="auto" w:sz="4" w:space="0"/>
              <w:left w:val="nil"/>
              <w:bottom w:val="single" w:color="auto" w:sz="4" w:space="0"/>
              <w:right w:val="single" w:color="auto" w:sz="4" w:space="0"/>
            </w:tcBorders>
          </w:tcPr>
          <w:p>
            <w:pPr>
              <w:widowControl/>
              <w:spacing w:line="276" w:lineRule="auto"/>
              <w:jc w:val="center"/>
              <w:rPr>
                <w:rFonts w:eastAsia="仿宋_GB2312"/>
                <w:kern w:val="0"/>
                <w:szCs w:val="21"/>
              </w:rPr>
            </w:pPr>
          </w:p>
        </w:tc>
        <w:tc>
          <w:tcPr>
            <w:tcW w:w="405" w:type="pct"/>
            <w:tcBorders>
              <w:top w:val="single" w:color="auto" w:sz="4" w:space="0"/>
              <w:left w:val="nil"/>
              <w:bottom w:val="single" w:color="auto" w:sz="4" w:space="0"/>
              <w:right w:val="single" w:color="auto" w:sz="4" w:space="0"/>
            </w:tcBorders>
          </w:tcPr>
          <w:p>
            <w:pPr>
              <w:widowControl/>
              <w:spacing w:line="276" w:lineRule="auto"/>
              <w:jc w:val="center"/>
              <w:rPr>
                <w:rFonts w:eastAsia="仿宋_GB2312"/>
                <w:kern w:val="0"/>
                <w:szCs w:val="21"/>
              </w:rPr>
            </w:pPr>
          </w:p>
        </w:tc>
      </w:tr>
    </w:tbl>
    <w:p>
      <w:pPr>
        <w:rPr>
          <w:rFonts w:eastAsia="仿宋_GB2312"/>
          <w:color w:val="000000"/>
          <w:kern w:val="0"/>
          <w:szCs w:val="21"/>
        </w:rPr>
      </w:pPr>
    </w:p>
    <w:p>
      <w:pPr>
        <w:rPr>
          <w:rFonts w:eastAsia="仿宋_GB2312"/>
          <w:color w:val="000000"/>
          <w:kern w:val="0"/>
          <w:szCs w:val="21"/>
        </w:rPr>
      </w:pPr>
      <w:r>
        <w:rPr>
          <w:rFonts w:eastAsia="仿宋_GB2312"/>
          <w:color w:val="000000"/>
          <w:kern w:val="0"/>
          <w:szCs w:val="21"/>
        </w:rPr>
        <w:t>说明：评估细则采取百分制，现场评估达到70分及以上，认为达到健康社区标准。</w:t>
      </w: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r>
        <w:rPr>
          <w:rFonts w:hint="eastAsia" w:eastAsia="仿宋_GB2312"/>
          <w:sz w:val="32"/>
          <w:szCs w:val="32"/>
        </w:rPr>
        <w:t>附件4</w:t>
      </w:r>
    </w:p>
    <w:p>
      <w:pPr>
        <w:jc w:val="center"/>
        <w:rPr>
          <w:rFonts w:eastAsia="仿宋_GB2312"/>
          <w:sz w:val="44"/>
          <w:szCs w:val="44"/>
        </w:rPr>
      </w:pPr>
    </w:p>
    <w:p>
      <w:pPr>
        <w:jc w:val="center"/>
        <w:rPr>
          <w:rFonts w:eastAsia="仿宋_GB2312"/>
          <w:sz w:val="44"/>
          <w:szCs w:val="44"/>
        </w:rPr>
      </w:pPr>
      <w:r>
        <w:rPr>
          <w:rFonts w:hint="eastAsia" w:eastAsia="仿宋_GB2312"/>
          <w:sz w:val="44"/>
          <w:szCs w:val="44"/>
        </w:rPr>
        <w:t>健康家庭评价标准（试行）</w:t>
      </w:r>
    </w:p>
    <w:p>
      <w:pPr>
        <w:rPr>
          <w:rFonts w:eastAsia="仿宋_GB2312"/>
          <w:sz w:val="32"/>
          <w:szCs w:val="32"/>
        </w:rPr>
      </w:pPr>
    </w:p>
    <w:p>
      <w:pPr>
        <w:ind w:firstLine="640" w:firstLineChars="200"/>
        <w:rPr>
          <w:rFonts w:eastAsia="仿宋_GB2312"/>
          <w:sz w:val="32"/>
          <w:szCs w:val="32"/>
        </w:rPr>
      </w:pPr>
      <w:r>
        <w:rPr>
          <w:rFonts w:hint="eastAsia" w:eastAsia="仿宋_GB2312"/>
          <w:sz w:val="32"/>
          <w:szCs w:val="32"/>
        </w:rPr>
        <w:t xml:space="preserve">    1.家庭卫生整洁，光线充足，通风良好。</w:t>
      </w:r>
    </w:p>
    <w:p>
      <w:pPr>
        <w:ind w:firstLine="640" w:firstLineChars="200"/>
        <w:rPr>
          <w:rFonts w:eastAsia="仿宋_GB2312"/>
          <w:sz w:val="32"/>
          <w:szCs w:val="32"/>
        </w:rPr>
      </w:pPr>
      <w:r>
        <w:rPr>
          <w:rFonts w:hint="eastAsia" w:eastAsia="仿宋_GB2312"/>
          <w:sz w:val="32"/>
          <w:szCs w:val="32"/>
        </w:rPr>
        <w:t xml:space="preserve">    2.厕所卫生，垃圾定点投放，文明饲养禽畜宠物。</w:t>
      </w:r>
    </w:p>
    <w:p>
      <w:pPr>
        <w:ind w:firstLine="640" w:firstLineChars="200"/>
        <w:rPr>
          <w:rFonts w:eastAsia="仿宋_GB2312"/>
          <w:sz w:val="32"/>
          <w:szCs w:val="32"/>
        </w:rPr>
      </w:pPr>
      <w:r>
        <w:rPr>
          <w:rFonts w:hint="eastAsia" w:eastAsia="仿宋_GB2312"/>
          <w:sz w:val="32"/>
          <w:szCs w:val="32"/>
        </w:rPr>
        <w:t xml:space="preserve">    3.主动学习健康知识，树立健康理念。</w:t>
      </w:r>
    </w:p>
    <w:p>
      <w:pPr>
        <w:ind w:firstLine="640" w:firstLineChars="200"/>
        <w:rPr>
          <w:rFonts w:eastAsia="仿宋_GB2312"/>
          <w:sz w:val="32"/>
          <w:szCs w:val="32"/>
        </w:rPr>
      </w:pPr>
      <w:r>
        <w:rPr>
          <w:rFonts w:hint="eastAsia" w:eastAsia="仿宋_GB2312"/>
          <w:sz w:val="32"/>
          <w:szCs w:val="32"/>
        </w:rPr>
        <w:t xml:space="preserve">    4.养成良好生活习惯，讲究个人卫生。</w:t>
      </w:r>
    </w:p>
    <w:p>
      <w:pPr>
        <w:ind w:firstLine="640" w:firstLineChars="200"/>
        <w:rPr>
          <w:rFonts w:eastAsia="仿宋_GB2312"/>
          <w:sz w:val="32"/>
          <w:szCs w:val="32"/>
        </w:rPr>
      </w:pPr>
      <w:r>
        <w:rPr>
          <w:rFonts w:hint="eastAsia" w:eastAsia="仿宋_GB2312"/>
          <w:sz w:val="32"/>
          <w:szCs w:val="32"/>
        </w:rPr>
        <w:t xml:space="preserve">    5.合理膳食，戒烟限酒。</w:t>
      </w:r>
    </w:p>
    <w:p>
      <w:pPr>
        <w:ind w:firstLine="640" w:firstLineChars="200"/>
        <w:rPr>
          <w:rFonts w:eastAsia="仿宋_GB2312"/>
          <w:sz w:val="32"/>
          <w:szCs w:val="32"/>
        </w:rPr>
      </w:pPr>
      <w:r>
        <w:rPr>
          <w:rFonts w:hint="eastAsia" w:eastAsia="仿宋_GB2312"/>
          <w:sz w:val="32"/>
          <w:szCs w:val="32"/>
        </w:rPr>
        <w:t xml:space="preserve">    6.适量运动，心理平衡。</w:t>
      </w:r>
    </w:p>
    <w:p>
      <w:pPr>
        <w:ind w:firstLine="640" w:firstLineChars="200"/>
        <w:rPr>
          <w:rFonts w:eastAsia="仿宋_GB2312"/>
          <w:sz w:val="32"/>
          <w:szCs w:val="32"/>
        </w:rPr>
      </w:pPr>
      <w:r>
        <w:rPr>
          <w:rFonts w:hint="eastAsia" w:eastAsia="仿宋_GB2312"/>
          <w:sz w:val="32"/>
          <w:szCs w:val="32"/>
        </w:rPr>
        <w:t xml:space="preserve">    7.定期体检，科学就医。</w:t>
      </w:r>
    </w:p>
    <w:p>
      <w:pPr>
        <w:ind w:firstLine="640" w:firstLineChars="200"/>
        <w:rPr>
          <w:rFonts w:eastAsia="仿宋_GB2312"/>
          <w:sz w:val="32"/>
          <w:szCs w:val="32"/>
        </w:rPr>
      </w:pPr>
      <w:r>
        <w:rPr>
          <w:rFonts w:hint="eastAsia" w:eastAsia="仿宋_GB2312"/>
          <w:sz w:val="32"/>
          <w:szCs w:val="32"/>
        </w:rPr>
        <w:t xml:space="preserve">    8.优生优育，爱老敬老。</w:t>
      </w:r>
    </w:p>
    <w:p>
      <w:pPr>
        <w:ind w:firstLine="640" w:firstLineChars="200"/>
        <w:rPr>
          <w:rFonts w:eastAsia="仿宋_GB2312"/>
          <w:sz w:val="32"/>
          <w:szCs w:val="32"/>
        </w:rPr>
      </w:pPr>
      <w:r>
        <w:rPr>
          <w:rFonts w:hint="eastAsia" w:eastAsia="仿宋_GB2312"/>
          <w:sz w:val="32"/>
          <w:szCs w:val="32"/>
        </w:rPr>
        <w:t xml:space="preserve">    9.家庭和谐，崇尚公德。</w:t>
      </w:r>
    </w:p>
    <w:p>
      <w:pPr>
        <w:ind w:firstLine="640" w:firstLineChars="200"/>
        <w:rPr>
          <w:rFonts w:eastAsia="仿宋_GB2312"/>
          <w:sz w:val="32"/>
          <w:szCs w:val="32"/>
        </w:rPr>
      </w:pPr>
      <w:r>
        <w:rPr>
          <w:rFonts w:hint="eastAsia" w:eastAsia="仿宋_GB2312"/>
          <w:sz w:val="32"/>
          <w:szCs w:val="32"/>
        </w:rPr>
        <w:t xml:space="preserve">    10.邻里互助，支持公益。</w:t>
      </w: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rPr>
          <w:rFonts w:eastAsia="仿宋_GB2312"/>
          <w:sz w:val="32"/>
          <w:szCs w:val="32"/>
        </w:rPr>
      </w:pPr>
    </w:p>
    <w:p>
      <w:pPr>
        <w:widowControl/>
        <w:jc w:val="center"/>
        <w:rPr>
          <w:rFonts w:eastAsia="仿宋_GB2312"/>
          <w:sz w:val="36"/>
          <w:szCs w:val="36"/>
        </w:rPr>
      </w:pPr>
      <w:r>
        <w:rPr>
          <w:rFonts w:eastAsia="仿宋_GB2312"/>
          <w:sz w:val="36"/>
          <w:szCs w:val="36"/>
        </w:rPr>
        <w:t>健康家庭评估细则（2023版）</w:t>
      </w:r>
    </w:p>
    <w:p>
      <w:pPr>
        <w:widowControl/>
        <w:jc w:val="left"/>
        <w:rPr>
          <w:rFonts w:eastAsia="仿宋_GB2312"/>
          <w:szCs w:val="21"/>
          <w:u w:val="single"/>
        </w:rPr>
      </w:pPr>
      <w:r>
        <w:rPr>
          <w:rFonts w:eastAsia="仿宋_GB2312"/>
          <w:sz w:val="22"/>
          <w:szCs w:val="22"/>
        </w:rPr>
        <w:t xml:space="preserve"> </w:t>
      </w:r>
      <w:r>
        <w:rPr>
          <w:rFonts w:eastAsia="仿宋_GB2312"/>
          <w:szCs w:val="21"/>
        </w:rPr>
        <w:t>省份：</w:t>
      </w:r>
      <w:r>
        <w:rPr>
          <w:rFonts w:eastAsia="仿宋_GB2312"/>
          <w:szCs w:val="21"/>
          <w:u w:val="single"/>
        </w:rPr>
        <w:t xml:space="preserve">              </w:t>
      </w:r>
      <w:r>
        <w:rPr>
          <w:rFonts w:eastAsia="仿宋_GB2312"/>
          <w:szCs w:val="21"/>
        </w:rPr>
        <w:t xml:space="preserve">  市级：</w:t>
      </w:r>
      <w:r>
        <w:rPr>
          <w:rFonts w:eastAsia="仿宋_GB2312"/>
          <w:szCs w:val="21"/>
          <w:u w:val="single"/>
        </w:rPr>
        <w:t xml:space="preserve">               </w:t>
      </w:r>
      <w:r>
        <w:rPr>
          <w:rFonts w:eastAsia="仿宋_GB2312"/>
          <w:szCs w:val="21"/>
        </w:rPr>
        <w:t xml:space="preserve">   县（区）： </w:t>
      </w:r>
      <w:r>
        <w:rPr>
          <w:rFonts w:eastAsia="仿宋_GB2312"/>
          <w:szCs w:val="21"/>
          <w:u w:val="single"/>
        </w:rPr>
        <w:t xml:space="preserve">               </w:t>
      </w:r>
      <w:r>
        <w:rPr>
          <w:rFonts w:eastAsia="仿宋_GB2312"/>
          <w:szCs w:val="21"/>
        </w:rPr>
        <w:t xml:space="preserve">   家庭：</w:t>
      </w:r>
      <w:r>
        <w:rPr>
          <w:rFonts w:eastAsia="仿宋_GB2312"/>
          <w:szCs w:val="21"/>
          <w:u w:val="single"/>
        </w:rPr>
        <w:t xml:space="preserve">               </w:t>
      </w:r>
      <w:r>
        <w:rPr>
          <w:rFonts w:eastAsia="仿宋_GB2312"/>
          <w:szCs w:val="21"/>
        </w:rPr>
        <w:t xml:space="preserve">   时间：</w:t>
      </w:r>
      <w:r>
        <w:rPr>
          <w:rFonts w:eastAsia="仿宋_GB2312"/>
          <w:szCs w:val="21"/>
          <w:u w:val="single"/>
        </w:rPr>
        <w:t xml:space="preserve">                   </w:t>
      </w:r>
      <w:r>
        <w:rPr>
          <w:rFonts w:eastAsia="仿宋_GB2312"/>
          <w:b/>
          <w:szCs w:val="21"/>
          <w:u w:val="single"/>
        </w:rPr>
        <w:t xml:space="preserve"> </w:t>
      </w:r>
    </w:p>
    <w:tbl>
      <w:tblPr>
        <w:tblStyle w:val="4"/>
        <w:tblW w:w="4999" w:type="pct"/>
        <w:tblInd w:w="0" w:type="dxa"/>
        <w:tblLayout w:type="autofit"/>
        <w:tblCellMar>
          <w:top w:w="0" w:type="dxa"/>
          <w:left w:w="108" w:type="dxa"/>
          <w:bottom w:w="0" w:type="dxa"/>
          <w:right w:w="108" w:type="dxa"/>
        </w:tblCellMar>
      </w:tblPr>
      <w:tblGrid>
        <w:gridCol w:w="846"/>
        <w:gridCol w:w="3381"/>
        <w:gridCol w:w="3223"/>
        <w:gridCol w:w="531"/>
        <w:gridCol w:w="446"/>
        <w:gridCol w:w="687"/>
      </w:tblGrid>
      <w:tr>
        <w:tblPrEx>
          <w:tblCellMar>
            <w:top w:w="0" w:type="dxa"/>
            <w:left w:w="108" w:type="dxa"/>
            <w:bottom w:w="0" w:type="dxa"/>
            <w:right w:w="108" w:type="dxa"/>
          </w:tblCellMar>
        </w:tblPrEx>
        <w:trPr>
          <w:trHeight w:val="227" w:hRule="atLeast"/>
          <w:tblHeader/>
        </w:trPr>
        <w:tc>
          <w:tcPr>
            <w:tcW w:w="400"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eastAsia="仿宋_GB2312"/>
                <w:b/>
                <w:bCs/>
                <w:kern w:val="0"/>
                <w:szCs w:val="21"/>
              </w:rPr>
            </w:pPr>
            <w:r>
              <w:rPr>
                <w:rFonts w:eastAsia="仿宋_GB2312"/>
                <w:b/>
                <w:bCs/>
                <w:kern w:val="0"/>
                <w:szCs w:val="21"/>
              </w:rPr>
              <w:t>指标</w:t>
            </w:r>
          </w:p>
        </w:tc>
        <w:tc>
          <w:tcPr>
            <w:tcW w:w="1877"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b/>
                <w:bCs/>
                <w:kern w:val="0"/>
                <w:szCs w:val="21"/>
              </w:rPr>
            </w:pPr>
            <w:r>
              <w:rPr>
                <w:rFonts w:eastAsia="仿宋_GB2312"/>
                <w:b/>
                <w:bCs/>
                <w:kern w:val="0"/>
                <w:szCs w:val="21"/>
              </w:rPr>
              <w:t>指标解释</w:t>
            </w:r>
          </w:p>
        </w:tc>
        <w:tc>
          <w:tcPr>
            <w:tcW w:w="1790"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b/>
                <w:bCs/>
                <w:kern w:val="0"/>
                <w:szCs w:val="21"/>
              </w:rPr>
            </w:pPr>
            <w:r>
              <w:rPr>
                <w:rFonts w:eastAsia="仿宋_GB2312"/>
                <w:b/>
                <w:bCs/>
                <w:kern w:val="0"/>
                <w:szCs w:val="21"/>
              </w:rPr>
              <w:t>评分标准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b/>
                <w:bCs/>
                <w:kern w:val="0"/>
                <w:szCs w:val="21"/>
              </w:rPr>
            </w:pPr>
            <w:r>
              <w:rPr>
                <w:rFonts w:eastAsia="仿宋_GB2312"/>
                <w:b/>
                <w:bCs/>
                <w:kern w:val="0"/>
                <w:szCs w:val="21"/>
              </w:rPr>
              <w:t>分值</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eastAsia="仿宋_GB2312"/>
                <w:b/>
                <w:bCs/>
                <w:kern w:val="0"/>
                <w:szCs w:val="21"/>
              </w:rPr>
            </w:pPr>
            <w:r>
              <w:rPr>
                <w:rFonts w:eastAsia="仿宋_GB2312"/>
                <w:b/>
                <w:bCs/>
                <w:kern w:val="0"/>
                <w:szCs w:val="21"/>
              </w:rPr>
              <w:t>得分</w:t>
            </w: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eastAsia="仿宋_GB2312"/>
                <w:b/>
                <w:bCs/>
                <w:kern w:val="0"/>
                <w:szCs w:val="21"/>
              </w:rPr>
            </w:pPr>
            <w:r>
              <w:rPr>
                <w:rFonts w:eastAsia="仿宋_GB2312"/>
                <w:b/>
                <w:bCs/>
                <w:kern w:val="0"/>
                <w:szCs w:val="21"/>
              </w:rPr>
              <w:t>扣分原因</w:t>
            </w:r>
          </w:p>
        </w:tc>
      </w:tr>
      <w:tr>
        <w:tblPrEx>
          <w:tblCellMar>
            <w:top w:w="0" w:type="dxa"/>
            <w:left w:w="108" w:type="dxa"/>
            <w:bottom w:w="0" w:type="dxa"/>
            <w:right w:w="108" w:type="dxa"/>
          </w:tblCellMar>
        </w:tblPrEx>
        <w:trPr>
          <w:trHeight w:val="1281" w:hRule="atLeast"/>
        </w:trPr>
        <w:tc>
          <w:tcPr>
            <w:tcW w:w="400" w:type="pct"/>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一、家庭环境（25分）</w:t>
            </w: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家庭环境整洁卫生、绿化环保，空气新鲜，安祥幽静。（室内整洁、无污垢、积尘、异味，物品摆放整齐，庭院、阳台绿化，建筑、装饰材料符合环保，室内温、湿度适宜，噪音≤55分贝）</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实地查看，环境欠整洁扣2分，无绿化扣1分，装饰材料不符合环保要求扣1分，噪音＞55分贝扣1分。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6</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987"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家庭居住面积宽敞，光线充足，通风良好，无乱涂乱贴、乱堆乱放、乱搭乱建现象。（人均住房面积≥30平方米/人，日照、通风、照明良好）</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实地查看，人均住房面积＜30平方米/人扣1分，光线、通风不良扣2分，乱涂乱贴扣1分，乱堆乱放扣1分、乱搭乱建扣1分。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6</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585"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根据需要进行适老化改造。</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实地查看，家中有符合条件的老人未进行适老化改造扣3分。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3</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358"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家庭饮用安全卫生自来水，厕所清洁卫生。</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实地查看，未使用自来水扣2分，厕所有异味扣2分。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4</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264"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垃圾袋装定点投放，逐步实行分类投放。</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实地查看，垃圾未袋装扣2分，未定点投放扣1分。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3</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652"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文明饲养禽畜、宠物，积极灭除老鼠、蚊子、苍蝇、蟑螂。</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实地查看，违章饲养禽畜、宠物扣1分；有“四害”孳生地扣1分，有蟑迹、鼠迹扣1分。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3</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840" w:hRule="atLeast"/>
        </w:trPr>
        <w:tc>
          <w:tcPr>
            <w:tcW w:w="400" w:type="pct"/>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二、家庭氛围（15）</w:t>
            </w: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家庭成员平等和睦，家庭内部经常沟通交流，保持平和心态，正确应对矛盾，及时疏导不良情绪。孝敬和赡养老人。</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实地查看并调查走访，家庭不和睦扣2分，不孝敬和赡养老人扣3分。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1275"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家庭成员拥有健康的人格、心态，适应社会的发展，合理安全使用互联网，避免网络成瘾，控制孩子使用电子屏幕的时间。（家庭成员遵守法规和社会公德，不信邪教，无网络成瘾情况等）</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实地查看并调查走访，家庭成员有违规违纪行为扣3分，不能合理安全使用互联网，存在网络成瘾情况扣2分。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835"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邻里团结、互助互爱、乐善好施、乐于助人，关爱妇女儿童和弱势群体，积极参与社区公益活动，拥有良好的社会形象。</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实地查看并调查走访，邻里关系不融洽扣2分，不关爱妇女儿童和弱势群体扣1分，未参与社区公益活动扣2分。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733" w:hRule="atLeast"/>
        </w:trPr>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三、健康生活（40）</w:t>
            </w:r>
          </w:p>
          <w:p>
            <w:pPr>
              <w:widowControl/>
              <w:spacing w:line="460" w:lineRule="exact"/>
              <w:jc w:val="center"/>
              <w:rPr>
                <w:rFonts w:eastAsia="仿宋_GB2312"/>
                <w:kern w:val="0"/>
                <w:szCs w:val="21"/>
              </w:rPr>
            </w:pPr>
          </w:p>
        </w:tc>
        <w:tc>
          <w:tcPr>
            <w:tcW w:w="1877" w:type="pct"/>
            <w:tcBorders>
              <w:top w:val="single" w:color="auto" w:sz="4" w:space="0"/>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家庭每周至少全面清理一次居室内外卫生，经常参加公共环境和楼道卫生清洁活动。</w:t>
            </w:r>
          </w:p>
        </w:tc>
        <w:tc>
          <w:tcPr>
            <w:tcW w:w="1790" w:type="pct"/>
            <w:tcBorders>
              <w:top w:val="single" w:color="auto" w:sz="4" w:space="0"/>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实地查看并询问，未一周开展一次大扫除扣3分，从未参加公共环境和楼道卫生清洁活动扣2分。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1200" w:hRule="atLeast"/>
        </w:trPr>
        <w:tc>
          <w:tcPr>
            <w:tcW w:w="400" w:type="pct"/>
            <w:vMerge w:val="continue"/>
            <w:tcBorders>
              <w:top w:val="single" w:color="auto" w:sz="4" w:space="0"/>
              <w:left w:val="single" w:color="auto" w:sz="4" w:space="0"/>
              <w:right w:val="single" w:color="auto" w:sz="4" w:space="0"/>
            </w:tcBorders>
            <w:vAlign w:val="center"/>
          </w:tcPr>
          <w:p>
            <w:pPr>
              <w:widowControl/>
              <w:spacing w:line="460" w:lineRule="exact"/>
              <w:jc w:val="left"/>
              <w:rPr>
                <w:rFonts w:eastAsia="仿宋_GB2312"/>
                <w:color w:val="FF0000"/>
                <w:kern w:val="0"/>
                <w:szCs w:val="21"/>
              </w:rPr>
            </w:pPr>
          </w:p>
        </w:tc>
        <w:tc>
          <w:tcPr>
            <w:tcW w:w="1877" w:type="pct"/>
            <w:tcBorders>
              <w:top w:val="single" w:color="auto" w:sz="4" w:space="0"/>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膳食合理，谷类为主，多果蔬、奶类、大豆，适量吃鱼、禽、蛋、瘦肉，控制烟油糖，少吃烟熏、腌制食品，烹制时生熟分开，不食用野生动物，不采食野菌。倡导健康消费理念，不购买假冒伪劣食品。践行光盘行动。</w:t>
            </w:r>
          </w:p>
        </w:tc>
        <w:tc>
          <w:tcPr>
            <w:tcW w:w="1790" w:type="pct"/>
            <w:tcBorders>
              <w:top w:val="single" w:color="auto" w:sz="4" w:space="0"/>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实地查看并询问，家庭膳食结构不合理扣2分，烹制过程中未生熟分开扣1分，食用野生动物或采食野菌扣1分，购买假冒伪劣食品扣1分，未践行光盘行动扣1分。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6</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681" w:hRule="atLeast"/>
        </w:trPr>
        <w:tc>
          <w:tcPr>
            <w:tcW w:w="400" w:type="pct"/>
            <w:vMerge w:val="continue"/>
            <w:tcBorders>
              <w:left w:val="single" w:color="auto" w:sz="4" w:space="0"/>
              <w:right w:val="single" w:color="auto" w:sz="4" w:space="0"/>
            </w:tcBorders>
            <w:vAlign w:val="center"/>
          </w:tcPr>
          <w:p>
            <w:pPr>
              <w:widowControl/>
              <w:spacing w:line="460" w:lineRule="exact"/>
              <w:jc w:val="center"/>
              <w:rPr>
                <w:rFonts w:eastAsia="仿宋_GB2312"/>
                <w:kern w:val="0"/>
                <w:szCs w:val="21"/>
              </w:rPr>
            </w:pPr>
          </w:p>
        </w:tc>
        <w:tc>
          <w:tcPr>
            <w:tcW w:w="1877" w:type="pct"/>
            <w:tcBorders>
              <w:top w:val="single" w:color="auto" w:sz="4" w:space="0"/>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家庭成员养成良好的个人卫生习惯。勤洗手、早晚刷牙，外出就餐使用公勺公筷，不随地吐痰。</w:t>
            </w:r>
          </w:p>
        </w:tc>
        <w:tc>
          <w:tcPr>
            <w:tcW w:w="1790" w:type="pct"/>
            <w:tcBorders>
              <w:top w:val="single" w:color="auto" w:sz="4" w:space="0"/>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实地查看并询问，有一名家庭成员未养成良好的个人卫生习惯扣2分，5分扣完为止。</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706" w:hRule="atLeast"/>
        </w:trPr>
        <w:tc>
          <w:tcPr>
            <w:tcW w:w="400" w:type="pct"/>
            <w:vMerge w:val="continue"/>
            <w:tcBorders>
              <w:left w:val="single" w:color="auto" w:sz="4" w:space="0"/>
              <w:right w:val="single" w:color="auto" w:sz="4" w:space="0"/>
            </w:tcBorders>
            <w:vAlign w:val="center"/>
          </w:tcPr>
          <w:p>
            <w:pPr>
              <w:widowControl/>
              <w:spacing w:line="460" w:lineRule="exact"/>
              <w:jc w:val="left"/>
              <w:rPr>
                <w:rFonts w:eastAsia="仿宋_GB2312"/>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家庭成员洗漱用具要做到一人一刷一巾二盆。洗脸、洗脚盆分开。</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实地查看并询问，洗漱用具未按照要求配备使用扣4分。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4</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844" w:hRule="atLeast"/>
        </w:trPr>
        <w:tc>
          <w:tcPr>
            <w:tcW w:w="400" w:type="pct"/>
            <w:vMerge w:val="continue"/>
            <w:tcBorders>
              <w:left w:val="single" w:color="auto" w:sz="4" w:space="0"/>
              <w:right w:val="single" w:color="auto" w:sz="4" w:space="0"/>
            </w:tcBorders>
            <w:vAlign w:val="center"/>
          </w:tcPr>
          <w:p>
            <w:pPr>
              <w:widowControl/>
              <w:spacing w:line="460" w:lineRule="exact"/>
              <w:jc w:val="left"/>
              <w:rPr>
                <w:rFonts w:eastAsia="仿宋_GB2312"/>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家庭成员不吸烟，吸烟者尽早戒烟，提倡安全性行为，无赌博、酗酒、吸毒等不良行为。</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实地查看并现场询问，家庭成员吸烟扣2分，有不安全性行为，赌博、酗酒和吸毒等不良行为各扣1分，3分扣完为止。</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900" w:hRule="atLeast"/>
        </w:trPr>
        <w:tc>
          <w:tcPr>
            <w:tcW w:w="400" w:type="pct"/>
            <w:vMerge w:val="continue"/>
            <w:tcBorders>
              <w:left w:val="single" w:color="auto" w:sz="4" w:space="0"/>
              <w:right w:val="single" w:color="auto" w:sz="4" w:space="0"/>
            </w:tcBorders>
            <w:vAlign w:val="center"/>
          </w:tcPr>
          <w:p>
            <w:pPr>
              <w:widowControl/>
              <w:spacing w:line="460" w:lineRule="exact"/>
              <w:jc w:val="left"/>
              <w:rPr>
                <w:rFonts w:eastAsia="仿宋_GB2312"/>
                <w:color w:val="FF0000"/>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家庭成员定期参加健康教育培训，主动学习健康知识，树立健康理念。</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查阅资料、实地查看并询问，家庭成员未定期参加健康教育培训扣3分，未学习健康知识扣2分。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975" w:hRule="atLeast"/>
        </w:trPr>
        <w:tc>
          <w:tcPr>
            <w:tcW w:w="400" w:type="pct"/>
            <w:vMerge w:val="continue"/>
            <w:tcBorders>
              <w:left w:val="single" w:color="auto" w:sz="4" w:space="0"/>
              <w:right w:val="single" w:color="auto" w:sz="4" w:space="0"/>
            </w:tcBorders>
            <w:vAlign w:val="center"/>
          </w:tcPr>
          <w:p>
            <w:pPr>
              <w:widowControl/>
              <w:spacing w:line="460" w:lineRule="exact"/>
              <w:jc w:val="left"/>
              <w:rPr>
                <w:rFonts w:eastAsia="仿宋_GB2312"/>
                <w:color w:val="FF0000"/>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家庭成员经常参与户外健身活动，坚持健身≥3次/周。外出优先选择步行、自行车或公共交通等出行方式。作息规律，保证充足睡眠。</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现场询问，家庭成员参与户外健身活动＜3次/周扣2分，出行方式不符合要求扣1分，作息不规律扣2分。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703" w:hRule="atLeast"/>
        </w:trPr>
        <w:tc>
          <w:tcPr>
            <w:tcW w:w="400" w:type="pct"/>
            <w:vMerge w:val="continue"/>
            <w:tcBorders>
              <w:left w:val="single" w:color="auto" w:sz="4" w:space="0"/>
              <w:bottom w:val="single" w:color="auto" w:sz="4" w:space="0"/>
              <w:right w:val="single" w:color="auto" w:sz="4" w:space="0"/>
            </w:tcBorders>
            <w:vAlign w:val="center"/>
          </w:tcPr>
          <w:p>
            <w:pPr>
              <w:widowControl/>
              <w:spacing w:line="460" w:lineRule="exact"/>
              <w:jc w:val="left"/>
              <w:rPr>
                <w:rFonts w:eastAsia="仿宋_GB2312"/>
                <w:color w:val="FF0000"/>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倡导优生优育，促进儿童早期发展和健康成长，婴儿尽可能母乳喂养。</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实地查看并调查走访，家庭成员未进行孕前、孕期和产前检查扣3分，婴儿未母乳喂养扣2分。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5</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996" w:hRule="atLeast"/>
        </w:trPr>
        <w:tc>
          <w:tcPr>
            <w:tcW w:w="400" w:type="pct"/>
            <w:vMerge w:val="restart"/>
            <w:tcBorders>
              <w:top w:val="nil"/>
              <w:left w:val="single" w:color="auto" w:sz="4" w:space="0"/>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四、健康保障（20分）</w:t>
            </w: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家庭备有体温计、体重秤、血压计等健康自测设备，定期体检，积极签约家庭医生，主动到辖区基层医疗卫生机构建立健康档案。</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听汇报、实地查看并现场询问，无家庭健康自测设备扣2分，未定期体检扣2分，未建立健康档案扣1分，未签约家庭医生扣1分。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6</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839"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家庭成员无重大疾病，或有慢性疾病通过积极保健得到有效控制。</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查阅资料并现场询问，家庭成员有重大疾病患者扣3分，有慢性疾病患者未得到有效控制扣1分。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4</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696"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家庭成员具有医疗保障（含商业保险、合作医疗、居民医保）。</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查阅资料并现场询问，有一名家庭成员无相关医疗保障扣2分，4分扣完为止。</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4</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692"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家中定期排查水、电、煤气等安全隐患，适量储备应急物品和药品。</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实地查看并现场询问，未定期排查安全隐患扣2分，未储备应急物品和药品扣2分。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4</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702" w:hRule="atLeast"/>
        </w:trPr>
        <w:tc>
          <w:tcPr>
            <w:tcW w:w="400" w:type="pct"/>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1877"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家庭有一套健康支持工具（控油壶、限盐勺、腰围尺等），有两种以上的健康宣传资料或书籍。</w:t>
            </w:r>
          </w:p>
        </w:tc>
        <w:tc>
          <w:tcPr>
            <w:tcW w:w="1790" w:type="pct"/>
            <w:tcBorders>
              <w:top w:val="nil"/>
              <w:left w:val="nil"/>
              <w:bottom w:val="single" w:color="auto" w:sz="4" w:space="0"/>
              <w:right w:val="single" w:color="auto" w:sz="4" w:space="0"/>
            </w:tcBorders>
            <w:vAlign w:val="center"/>
          </w:tcPr>
          <w:p>
            <w:pPr>
              <w:widowControl/>
              <w:spacing w:line="460" w:lineRule="exact"/>
              <w:rPr>
                <w:rFonts w:eastAsia="仿宋_GB2312"/>
                <w:kern w:val="0"/>
                <w:szCs w:val="21"/>
              </w:rPr>
            </w:pPr>
            <w:r>
              <w:rPr>
                <w:rFonts w:eastAsia="仿宋_GB2312"/>
                <w:kern w:val="0"/>
                <w:szCs w:val="21"/>
              </w:rPr>
              <w:t>实地查看家庭无一套健康支持工具扣1分，无两种以上的健康宣传资料或书籍扣1分。</w:t>
            </w: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kern w:val="0"/>
                <w:szCs w:val="21"/>
              </w:rPr>
            </w:pPr>
            <w:r>
              <w:rPr>
                <w:rFonts w:eastAsia="仿宋_GB2312"/>
                <w:kern w:val="0"/>
                <w:szCs w:val="21"/>
              </w:rPr>
              <w:t>2</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kern w:val="0"/>
                <w:szCs w:val="21"/>
              </w:rPr>
            </w:pPr>
          </w:p>
        </w:tc>
      </w:tr>
      <w:tr>
        <w:tblPrEx>
          <w:tblCellMar>
            <w:top w:w="0" w:type="dxa"/>
            <w:left w:w="108" w:type="dxa"/>
            <w:bottom w:w="0" w:type="dxa"/>
            <w:right w:w="108" w:type="dxa"/>
          </w:tblCellMar>
        </w:tblPrEx>
        <w:trPr>
          <w:trHeight w:val="323" w:hRule="atLeast"/>
        </w:trPr>
        <w:tc>
          <w:tcPr>
            <w:tcW w:w="400"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_GB2312"/>
                <w:color w:val="000000"/>
                <w:kern w:val="0"/>
                <w:szCs w:val="21"/>
              </w:rPr>
            </w:pPr>
            <w:r>
              <w:rPr>
                <w:rFonts w:eastAsia="仿宋_GB2312"/>
                <w:color w:val="000000"/>
                <w:kern w:val="0"/>
                <w:szCs w:val="21"/>
              </w:rPr>
              <w:t>合计</w:t>
            </w:r>
          </w:p>
        </w:tc>
        <w:tc>
          <w:tcPr>
            <w:tcW w:w="1877" w:type="pct"/>
            <w:tcBorders>
              <w:top w:val="single" w:color="auto" w:sz="4" w:space="0"/>
              <w:left w:val="nil"/>
              <w:bottom w:val="single" w:color="auto" w:sz="4" w:space="0"/>
              <w:right w:val="single" w:color="auto" w:sz="4" w:space="0"/>
            </w:tcBorders>
            <w:vAlign w:val="center"/>
          </w:tcPr>
          <w:p>
            <w:pPr>
              <w:widowControl/>
              <w:spacing w:line="460" w:lineRule="exact"/>
              <w:jc w:val="left"/>
              <w:rPr>
                <w:rFonts w:eastAsia="仿宋_GB2312"/>
                <w:color w:val="000000"/>
                <w:kern w:val="0"/>
                <w:szCs w:val="21"/>
              </w:rPr>
            </w:pPr>
            <w:r>
              <w:rPr>
                <w:rFonts w:eastAsia="仿宋_GB2312"/>
                <w:color w:val="000000"/>
                <w:kern w:val="0"/>
                <w:szCs w:val="21"/>
              </w:rPr>
              <w:t>　</w:t>
            </w:r>
          </w:p>
        </w:tc>
        <w:tc>
          <w:tcPr>
            <w:tcW w:w="1790" w:type="pct"/>
            <w:tcBorders>
              <w:top w:val="single" w:color="auto" w:sz="4" w:space="0"/>
              <w:left w:val="nil"/>
              <w:bottom w:val="single" w:color="auto" w:sz="4" w:space="0"/>
              <w:right w:val="single" w:color="auto" w:sz="4" w:space="0"/>
            </w:tcBorders>
            <w:vAlign w:val="center"/>
          </w:tcPr>
          <w:p>
            <w:pPr>
              <w:widowControl/>
              <w:spacing w:line="460" w:lineRule="exact"/>
              <w:rPr>
                <w:rFonts w:eastAsia="仿宋_GB2312"/>
                <w:color w:val="000000"/>
                <w:kern w:val="0"/>
                <w:szCs w:val="21"/>
              </w:rPr>
            </w:pPr>
          </w:p>
        </w:tc>
        <w:tc>
          <w:tcPr>
            <w:tcW w:w="266" w:type="pct"/>
            <w:tcBorders>
              <w:top w:val="single" w:color="auto" w:sz="4" w:space="0"/>
              <w:left w:val="nil"/>
              <w:bottom w:val="single" w:color="auto" w:sz="4" w:space="0"/>
              <w:right w:val="single" w:color="auto" w:sz="4" w:space="0"/>
            </w:tcBorders>
            <w:vAlign w:val="center"/>
          </w:tcPr>
          <w:p>
            <w:pPr>
              <w:widowControl/>
              <w:spacing w:line="460" w:lineRule="exact"/>
              <w:rPr>
                <w:rFonts w:eastAsia="仿宋_GB2312"/>
                <w:color w:val="000000"/>
                <w:kern w:val="0"/>
                <w:szCs w:val="21"/>
              </w:rPr>
            </w:pPr>
            <w:r>
              <w:rPr>
                <w:rFonts w:eastAsia="仿宋_GB2312"/>
                <w:color w:val="000000"/>
                <w:kern w:val="0"/>
                <w:szCs w:val="21"/>
              </w:rPr>
              <w:t>100</w:t>
            </w:r>
          </w:p>
        </w:tc>
        <w:tc>
          <w:tcPr>
            <w:tcW w:w="267"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eastAsia="仿宋_GB2312"/>
                <w:color w:val="000000"/>
                <w:kern w:val="0"/>
                <w:szCs w:val="21"/>
              </w:rPr>
            </w:pPr>
          </w:p>
        </w:tc>
        <w:tc>
          <w:tcPr>
            <w:tcW w:w="399" w:type="pct"/>
            <w:tcBorders>
              <w:top w:val="single" w:color="auto" w:sz="4" w:space="0"/>
              <w:left w:val="nil"/>
              <w:bottom w:val="single" w:color="auto" w:sz="4" w:space="0"/>
              <w:right w:val="single" w:color="auto" w:sz="4" w:space="0"/>
            </w:tcBorders>
          </w:tcPr>
          <w:p>
            <w:pPr>
              <w:widowControl/>
              <w:spacing w:line="460" w:lineRule="exact"/>
              <w:jc w:val="center"/>
              <w:rPr>
                <w:rFonts w:eastAsia="仿宋_GB2312"/>
                <w:color w:val="000000"/>
                <w:kern w:val="0"/>
                <w:szCs w:val="21"/>
              </w:rPr>
            </w:pPr>
          </w:p>
        </w:tc>
      </w:tr>
    </w:tbl>
    <w:p>
      <w:pPr>
        <w:rPr>
          <w:rFonts w:eastAsia="仿宋_GB2312"/>
          <w:color w:val="000000"/>
          <w:kern w:val="0"/>
          <w:szCs w:val="21"/>
        </w:rPr>
      </w:pPr>
    </w:p>
    <w:p>
      <w:pPr>
        <w:rPr>
          <w:rFonts w:eastAsia="仿宋_GB2312"/>
          <w:kern w:val="0"/>
          <w:sz w:val="27"/>
          <w:szCs w:val="27"/>
        </w:rPr>
      </w:pPr>
      <w:r>
        <w:rPr>
          <w:rFonts w:eastAsia="仿宋_GB2312"/>
          <w:color w:val="000000"/>
          <w:kern w:val="0"/>
          <w:szCs w:val="21"/>
        </w:rPr>
        <w:t>说明：评估细则采取百分制，现场评估达到70分及以上，认为达到健康家庭标准。</w:t>
      </w:r>
      <w:r>
        <w:rPr>
          <w:rFonts w:eastAsia="仿宋_GB2312"/>
          <w:kern w:val="0"/>
          <w:sz w:val="32"/>
          <w:szCs w:val="32"/>
        </w:rPr>
        <w:br w:type="page"/>
      </w:r>
      <w:r>
        <w:rPr>
          <w:rFonts w:hint="eastAsia" w:eastAsia="仿宋_GB2312"/>
          <w:kern w:val="0"/>
          <w:sz w:val="32"/>
          <w:szCs w:val="32"/>
        </w:rPr>
        <w:t>附件5</w:t>
      </w:r>
    </w:p>
    <w:p>
      <w:pPr>
        <w:shd w:val="clear" w:color="auto" w:fill="FFFFFF"/>
        <w:spacing w:line="600" w:lineRule="exact"/>
        <w:jc w:val="center"/>
        <w:rPr>
          <w:rFonts w:eastAsia="仿宋_GB2312" w:cs="宋体"/>
          <w:kern w:val="0"/>
          <w:sz w:val="44"/>
          <w:szCs w:val="44"/>
        </w:rPr>
      </w:pPr>
    </w:p>
    <w:p>
      <w:pPr>
        <w:shd w:val="clear" w:color="auto" w:fill="FFFFFF"/>
        <w:spacing w:line="600" w:lineRule="exact"/>
        <w:jc w:val="center"/>
        <w:rPr>
          <w:rFonts w:eastAsia="仿宋_GB2312" w:cs="宋体"/>
          <w:kern w:val="0"/>
          <w:sz w:val="44"/>
          <w:szCs w:val="44"/>
        </w:rPr>
      </w:pPr>
      <w:r>
        <w:rPr>
          <w:rFonts w:hint="eastAsia" w:eastAsia="仿宋_GB2312" w:cs="宋体"/>
          <w:kern w:val="0"/>
          <w:sz w:val="44"/>
          <w:szCs w:val="44"/>
        </w:rPr>
        <w:t>健康学校评价标准（试行）</w:t>
      </w:r>
    </w:p>
    <w:p>
      <w:pPr>
        <w:shd w:val="clear" w:color="auto" w:fill="FFFFFF"/>
        <w:spacing w:line="600" w:lineRule="exact"/>
        <w:jc w:val="center"/>
        <w:rPr>
          <w:rFonts w:eastAsia="仿宋_GB2312" w:cs="宋体"/>
          <w:kern w:val="0"/>
          <w:sz w:val="44"/>
          <w:szCs w:val="44"/>
        </w:rPr>
      </w:pPr>
    </w:p>
    <w:p>
      <w:pPr>
        <w:shd w:val="clear" w:color="auto" w:fill="FFFFFF"/>
        <w:spacing w:line="600" w:lineRule="exact"/>
        <w:ind w:firstLine="562"/>
        <w:jc w:val="left"/>
        <w:rPr>
          <w:rFonts w:eastAsia="仿宋_GB2312" w:cs="宋体"/>
          <w:kern w:val="0"/>
          <w:sz w:val="27"/>
          <w:szCs w:val="27"/>
        </w:rPr>
      </w:pPr>
      <w:r>
        <w:rPr>
          <w:rFonts w:hint="eastAsia" w:eastAsia="仿宋_GB2312" w:cs="宋体"/>
          <w:kern w:val="0"/>
          <w:sz w:val="32"/>
          <w:szCs w:val="32"/>
        </w:rPr>
        <w:t>前提条件：开设健康教育课、符合无烟学校标准、无集体性食物中毒和安全事故发生。</w:t>
      </w:r>
    </w:p>
    <w:p>
      <w:pPr>
        <w:shd w:val="clear" w:color="auto" w:fill="FFFFFF"/>
        <w:spacing w:line="600" w:lineRule="exact"/>
        <w:ind w:firstLine="640"/>
        <w:jc w:val="left"/>
        <w:rPr>
          <w:rFonts w:eastAsia="仿宋_GB2312" w:cs="宋体"/>
          <w:kern w:val="0"/>
          <w:sz w:val="27"/>
          <w:szCs w:val="27"/>
        </w:rPr>
      </w:pPr>
      <w:r>
        <w:rPr>
          <w:rFonts w:hint="eastAsia" w:eastAsia="仿宋_GB2312" w:cs="宋体"/>
          <w:kern w:val="0"/>
          <w:sz w:val="32"/>
          <w:szCs w:val="32"/>
        </w:rPr>
        <w:t>1.将健康学校工作纳入学校重点工作，公开承诺并呼吁全体师生共同参与健康学校建设。</w:t>
      </w:r>
    </w:p>
    <w:p>
      <w:pPr>
        <w:shd w:val="clear" w:color="auto" w:fill="FFFFFF"/>
        <w:spacing w:line="600" w:lineRule="exact"/>
        <w:ind w:firstLine="608"/>
        <w:jc w:val="left"/>
        <w:rPr>
          <w:rFonts w:eastAsia="仿宋_GB2312" w:cs="宋体"/>
          <w:kern w:val="0"/>
          <w:sz w:val="27"/>
          <w:szCs w:val="27"/>
        </w:rPr>
      </w:pPr>
      <w:r>
        <w:rPr>
          <w:rFonts w:hint="eastAsia" w:eastAsia="仿宋_GB2312" w:cs="宋体"/>
          <w:spacing w:val="-8"/>
          <w:kern w:val="0"/>
          <w:sz w:val="32"/>
          <w:szCs w:val="32"/>
        </w:rPr>
        <w:t>2.成立健康学校工作领导小组，校长是第一责任人，明确相关职能部门职责。设专人负责，定期接受培训，做好计划和总结。</w:t>
      </w:r>
    </w:p>
    <w:p>
      <w:pPr>
        <w:shd w:val="clear" w:color="auto" w:fill="FFFFFF"/>
        <w:spacing w:line="600" w:lineRule="exact"/>
        <w:ind w:firstLine="640"/>
        <w:jc w:val="left"/>
        <w:rPr>
          <w:rFonts w:eastAsia="仿宋_GB2312" w:cs="宋体"/>
          <w:kern w:val="0"/>
          <w:sz w:val="27"/>
          <w:szCs w:val="27"/>
        </w:rPr>
      </w:pPr>
      <w:r>
        <w:rPr>
          <w:rFonts w:hint="eastAsia" w:eastAsia="仿宋_GB2312" w:cs="宋体"/>
          <w:kern w:val="0"/>
          <w:sz w:val="32"/>
          <w:szCs w:val="32"/>
        </w:rPr>
        <w:t>3.制定促进师生健康的政策、规章制度和管理措施，包括校内禁烟、饮水和食品安全、健康教育课、体育活动、体检和预防接种、健康帮扶等内容。</w:t>
      </w:r>
    </w:p>
    <w:p>
      <w:pPr>
        <w:shd w:val="clear" w:color="auto" w:fill="FFFFFF"/>
        <w:spacing w:line="600" w:lineRule="exact"/>
        <w:ind w:firstLine="640"/>
        <w:jc w:val="left"/>
        <w:rPr>
          <w:rFonts w:eastAsia="仿宋_GB2312" w:cs="宋体"/>
          <w:kern w:val="0"/>
          <w:sz w:val="27"/>
          <w:szCs w:val="27"/>
        </w:rPr>
      </w:pPr>
      <w:r>
        <w:rPr>
          <w:rFonts w:hint="eastAsia" w:eastAsia="仿宋_GB2312" w:cs="宋体"/>
          <w:kern w:val="0"/>
          <w:sz w:val="32"/>
          <w:szCs w:val="32"/>
        </w:rPr>
        <w:t>4.学校设立卫生室或保健室，配备专业技术人员或保健教师，定期接受培训。</w:t>
      </w:r>
    </w:p>
    <w:p>
      <w:pPr>
        <w:shd w:val="clear" w:color="auto" w:fill="FFFFFF"/>
        <w:spacing w:line="600" w:lineRule="exact"/>
        <w:ind w:firstLine="640"/>
        <w:jc w:val="left"/>
        <w:rPr>
          <w:rFonts w:eastAsia="仿宋_GB2312" w:cs="宋体"/>
          <w:kern w:val="0"/>
          <w:sz w:val="27"/>
          <w:szCs w:val="27"/>
        </w:rPr>
      </w:pPr>
      <w:r>
        <w:rPr>
          <w:rFonts w:hint="eastAsia" w:eastAsia="仿宋_GB2312" w:cs="宋体"/>
          <w:kern w:val="0"/>
          <w:sz w:val="32"/>
          <w:szCs w:val="32"/>
        </w:rPr>
        <w:t>5.开设高质量的健康教育课程，保障学生体育锻炼时间和强度，开展健康教育主题活动，提高师生健康素养和身体素质。</w:t>
      </w:r>
    </w:p>
    <w:p>
      <w:pPr>
        <w:shd w:val="clear" w:color="auto" w:fill="FFFFFF"/>
        <w:spacing w:line="600" w:lineRule="exact"/>
        <w:ind w:firstLine="640"/>
        <w:jc w:val="left"/>
        <w:rPr>
          <w:rFonts w:eastAsia="仿宋_GB2312" w:cs="宋体"/>
          <w:kern w:val="0"/>
          <w:sz w:val="27"/>
          <w:szCs w:val="27"/>
        </w:rPr>
      </w:pPr>
      <w:r>
        <w:rPr>
          <w:rFonts w:hint="eastAsia" w:eastAsia="仿宋_GB2312" w:cs="宋体"/>
          <w:kern w:val="0"/>
          <w:sz w:val="32"/>
          <w:szCs w:val="32"/>
        </w:rPr>
        <w:t>6.为学生提供充足卫生的饮水和合理的营养膳食。</w:t>
      </w:r>
    </w:p>
    <w:p>
      <w:pPr>
        <w:shd w:val="clear" w:color="auto" w:fill="FFFFFF"/>
        <w:spacing w:line="600" w:lineRule="exact"/>
        <w:ind w:firstLine="640"/>
        <w:jc w:val="left"/>
        <w:rPr>
          <w:rFonts w:eastAsia="仿宋_GB2312" w:cs="宋体"/>
          <w:kern w:val="0"/>
          <w:sz w:val="27"/>
          <w:szCs w:val="27"/>
        </w:rPr>
      </w:pPr>
      <w:r>
        <w:rPr>
          <w:rFonts w:hint="eastAsia" w:eastAsia="仿宋_GB2312" w:cs="宋体"/>
          <w:kern w:val="0"/>
          <w:sz w:val="32"/>
          <w:szCs w:val="32"/>
        </w:rPr>
        <w:t>7.开展健康管理和疾病防控工作，定期组织体检，对传染病、学生常见疾病和多发疾病开展监测和管理。</w:t>
      </w:r>
    </w:p>
    <w:p>
      <w:pPr>
        <w:shd w:val="clear" w:color="auto" w:fill="FFFFFF"/>
        <w:spacing w:line="600" w:lineRule="exact"/>
        <w:ind w:firstLine="640"/>
        <w:jc w:val="left"/>
        <w:rPr>
          <w:rFonts w:eastAsia="仿宋_GB2312" w:cs="宋体"/>
          <w:kern w:val="0"/>
          <w:sz w:val="27"/>
          <w:szCs w:val="27"/>
        </w:rPr>
      </w:pPr>
      <w:r>
        <w:rPr>
          <w:rFonts w:hint="eastAsia" w:eastAsia="仿宋_GB2312" w:cs="宋体"/>
          <w:kern w:val="0"/>
          <w:sz w:val="32"/>
          <w:szCs w:val="32"/>
        </w:rPr>
        <w:t>8.校园环境符合无烟学校参考标准，教学和生活建筑质量、教室黑板和课桌椅设置符合国家有关标准，有足够使用的卫生厕所和洗手设施。</w:t>
      </w:r>
    </w:p>
    <w:p>
      <w:pPr>
        <w:shd w:val="clear" w:color="auto" w:fill="FFFFFF"/>
        <w:spacing w:line="600" w:lineRule="exact"/>
        <w:ind w:firstLine="640"/>
        <w:jc w:val="left"/>
        <w:rPr>
          <w:rFonts w:eastAsia="仿宋_GB2312" w:cs="宋体"/>
          <w:kern w:val="0"/>
          <w:sz w:val="27"/>
          <w:szCs w:val="27"/>
        </w:rPr>
      </w:pPr>
      <w:r>
        <w:rPr>
          <w:rFonts w:hint="eastAsia" w:eastAsia="仿宋_GB2312" w:cs="宋体"/>
          <w:kern w:val="0"/>
          <w:sz w:val="32"/>
          <w:szCs w:val="32"/>
        </w:rPr>
        <w:t>9.师生互尊互爱，开展心理健康主题活动，促进学生潜能发展，营造良好的社会人文环境。</w:t>
      </w:r>
    </w:p>
    <w:p>
      <w:pPr>
        <w:shd w:val="clear" w:color="auto" w:fill="FFFFFF"/>
        <w:spacing w:line="600" w:lineRule="exact"/>
        <w:ind w:firstLine="640"/>
        <w:jc w:val="left"/>
        <w:rPr>
          <w:rFonts w:eastAsia="仿宋_GB2312" w:cs="宋体"/>
          <w:kern w:val="0"/>
          <w:sz w:val="32"/>
          <w:szCs w:val="32"/>
        </w:rPr>
      </w:pPr>
      <w:r>
        <w:rPr>
          <w:rFonts w:hint="eastAsia" w:eastAsia="仿宋_GB2312" w:cs="宋体"/>
          <w:kern w:val="0"/>
          <w:sz w:val="32"/>
          <w:szCs w:val="32"/>
        </w:rPr>
        <w:t>10.加强学校与家庭的健康互动，积极争取当地政府对学校健康工作支持。</w:t>
      </w:r>
    </w:p>
    <w:p>
      <w:pPr>
        <w:shd w:val="clear" w:color="auto" w:fill="FFFFFF"/>
        <w:spacing w:line="600" w:lineRule="exact"/>
        <w:ind w:firstLine="640"/>
        <w:jc w:val="left"/>
        <w:rPr>
          <w:rFonts w:eastAsia="仿宋_GB2312" w:cs="宋体"/>
          <w:kern w:val="0"/>
          <w:sz w:val="32"/>
          <w:szCs w:val="32"/>
        </w:rPr>
      </w:pPr>
    </w:p>
    <w:p>
      <w:pPr>
        <w:shd w:val="clear" w:color="auto" w:fill="FFFFFF"/>
        <w:spacing w:line="600" w:lineRule="exact"/>
        <w:ind w:firstLine="640"/>
        <w:jc w:val="left"/>
        <w:rPr>
          <w:rFonts w:eastAsia="仿宋_GB2312" w:cs="宋体"/>
          <w:kern w:val="0"/>
          <w:sz w:val="32"/>
          <w:szCs w:val="32"/>
        </w:rPr>
      </w:pPr>
    </w:p>
    <w:p>
      <w:pPr>
        <w:shd w:val="clear" w:color="auto" w:fill="FFFFFF"/>
        <w:spacing w:line="600" w:lineRule="exact"/>
        <w:ind w:firstLine="640"/>
        <w:jc w:val="left"/>
        <w:rPr>
          <w:rFonts w:eastAsia="仿宋_GB2312" w:cs="宋体"/>
          <w:kern w:val="0"/>
          <w:sz w:val="32"/>
          <w:szCs w:val="32"/>
        </w:rPr>
      </w:pPr>
    </w:p>
    <w:p>
      <w:pPr>
        <w:shd w:val="clear" w:color="auto" w:fill="FFFFFF"/>
        <w:spacing w:line="600" w:lineRule="exact"/>
        <w:ind w:firstLine="640"/>
        <w:jc w:val="left"/>
        <w:rPr>
          <w:rFonts w:eastAsia="仿宋_GB2312" w:cs="宋体"/>
          <w:kern w:val="0"/>
          <w:sz w:val="32"/>
          <w:szCs w:val="32"/>
        </w:rPr>
      </w:pPr>
    </w:p>
    <w:p>
      <w:pPr>
        <w:shd w:val="clear" w:color="auto" w:fill="FFFFFF"/>
        <w:spacing w:line="600" w:lineRule="exact"/>
        <w:ind w:firstLine="640"/>
        <w:jc w:val="left"/>
        <w:rPr>
          <w:rFonts w:eastAsia="仿宋_GB2312" w:cs="宋体"/>
          <w:kern w:val="0"/>
          <w:sz w:val="32"/>
          <w:szCs w:val="32"/>
        </w:rPr>
      </w:pPr>
    </w:p>
    <w:p>
      <w:pPr>
        <w:shd w:val="clear" w:color="auto" w:fill="FFFFFF"/>
        <w:spacing w:line="600" w:lineRule="exact"/>
        <w:ind w:firstLine="640"/>
        <w:jc w:val="left"/>
        <w:rPr>
          <w:rFonts w:eastAsia="仿宋_GB2312" w:cs="宋体"/>
          <w:kern w:val="0"/>
          <w:sz w:val="32"/>
          <w:szCs w:val="32"/>
        </w:rPr>
      </w:pPr>
    </w:p>
    <w:p>
      <w:pPr>
        <w:shd w:val="clear" w:color="auto" w:fill="FFFFFF"/>
        <w:spacing w:line="600" w:lineRule="exact"/>
        <w:ind w:firstLine="640"/>
        <w:jc w:val="left"/>
        <w:rPr>
          <w:rFonts w:eastAsia="仿宋_GB2312" w:cs="宋体"/>
          <w:kern w:val="0"/>
          <w:sz w:val="32"/>
          <w:szCs w:val="32"/>
        </w:rPr>
      </w:pPr>
    </w:p>
    <w:p>
      <w:pPr>
        <w:shd w:val="clear" w:color="auto" w:fill="FFFFFF"/>
        <w:spacing w:line="600" w:lineRule="exact"/>
        <w:ind w:firstLine="640"/>
        <w:jc w:val="left"/>
        <w:rPr>
          <w:rFonts w:eastAsia="仿宋_GB2312" w:cs="宋体"/>
          <w:kern w:val="0"/>
          <w:sz w:val="32"/>
          <w:szCs w:val="32"/>
        </w:rPr>
      </w:pPr>
    </w:p>
    <w:p>
      <w:pPr>
        <w:shd w:val="clear" w:color="auto" w:fill="FFFFFF"/>
        <w:spacing w:line="600" w:lineRule="exact"/>
        <w:ind w:firstLine="640"/>
        <w:jc w:val="left"/>
        <w:rPr>
          <w:rFonts w:eastAsia="仿宋_GB2312" w:cs="宋体"/>
          <w:kern w:val="0"/>
          <w:sz w:val="32"/>
          <w:szCs w:val="32"/>
        </w:rPr>
      </w:pPr>
    </w:p>
    <w:p>
      <w:pPr>
        <w:shd w:val="clear" w:color="auto" w:fill="FFFFFF"/>
        <w:spacing w:line="600" w:lineRule="exact"/>
        <w:jc w:val="left"/>
        <w:rPr>
          <w:rFonts w:eastAsia="仿宋_GB2312" w:cs="宋体"/>
          <w:kern w:val="0"/>
          <w:sz w:val="32"/>
          <w:szCs w:val="32"/>
        </w:rPr>
      </w:pPr>
    </w:p>
    <w:p>
      <w:pPr>
        <w:shd w:val="clear" w:color="auto" w:fill="FFFFFF"/>
        <w:spacing w:line="600" w:lineRule="exact"/>
        <w:jc w:val="left"/>
        <w:rPr>
          <w:rFonts w:eastAsia="仿宋_GB2312" w:cs="宋体"/>
          <w:kern w:val="0"/>
          <w:sz w:val="32"/>
          <w:szCs w:val="32"/>
        </w:rPr>
      </w:pPr>
    </w:p>
    <w:p>
      <w:pPr>
        <w:shd w:val="clear" w:color="auto" w:fill="FFFFFF"/>
        <w:spacing w:line="600" w:lineRule="exact"/>
        <w:jc w:val="left"/>
        <w:rPr>
          <w:rFonts w:eastAsia="仿宋_GB2312" w:cs="宋体"/>
          <w:kern w:val="0"/>
          <w:sz w:val="32"/>
          <w:szCs w:val="32"/>
        </w:rPr>
      </w:pPr>
    </w:p>
    <w:p>
      <w:pPr>
        <w:shd w:val="clear" w:color="auto" w:fill="FFFFFF"/>
        <w:spacing w:line="600" w:lineRule="exact"/>
        <w:jc w:val="left"/>
        <w:rPr>
          <w:rFonts w:eastAsia="仿宋_GB2312" w:cs="宋体"/>
          <w:kern w:val="0"/>
          <w:sz w:val="32"/>
          <w:szCs w:val="32"/>
        </w:rPr>
      </w:pPr>
    </w:p>
    <w:p>
      <w:pPr>
        <w:shd w:val="clear" w:color="auto" w:fill="FFFFFF"/>
        <w:spacing w:line="600" w:lineRule="exact"/>
        <w:jc w:val="left"/>
        <w:rPr>
          <w:rFonts w:eastAsia="仿宋_GB2312" w:cs="宋体"/>
          <w:kern w:val="0"/>
          <w:sz w:val="32"/>
          <w:szCs w:val="32"/>
        </w:rPr>
      </w:pPr>
    </w:p>
    <w:p>
      <w:pPr>
        <w:shd w:val="clear" w:color="auto" w:fill="FFFFFF"/>
        <w:spacing w:line="600" w:lineRule="exact"/>
        <w:jc w:val="left"/>
        <w:rPr>
          <w:rFonts w:eastAsia="仿宋_GB2312" w:cs="宋体"/>
          <w:kern w:val="0"/>
          <w:sz w:val="32"/>
          <w:szCs w:val="32"/>
        </w:rPr>
      </w:pPr>
    </w:p>
    <w:p>
      <w:pPr>
        <w:shd w:val="clear" w:color="auto" w:fill="FFFFFF"/>
        <w:spacing w:line="600" w:lineRule="exact"/>
        <w:jc w:val="left"/>
        <w:rPr>
          <w:rFonts w:eastAsia="仿宋_GB2312" w:cs="宋体"/>
          <w:kern w:val="0"/>
          <w:sz w:val="32"/>
          <w:szCs w:val="32"/>
        </w:rPr>
      </w:pPr>
    </w:p>
    <w:p>
      <w:pPr>
        <w:shd w:val="clear" w:color="auto" w:fill="FFFFFF"/>
        <w:spacing w:line="600" w:lineRule="exact"/>
        <w:jc w:val="left"/>
        <w:rPr>
          <w:rFonts w:eastAsia="仿宋_GB2312" w:cs="宋体"/>
          <w:kern w:val="0"/>
          <w:sz w:val="32"/>
          <w:szCs w:val="32"/>
        </w:rPr>
      </w:pPr>
    </w:p>
    <w:p>
      <w:pPr>
        <w:widowControl/>
        <w:jc w:val="center"/>
        <w:rPr>
          <w:rFonts w:eastAsia="仿宋_GB2312"/>
          <w:sz w:val="36"/>
          <w:szCs w:val="36"/>
        </w:rPr>
      </w:pPr>
      <w:r>
        <w:rPr>
          <w:rFonts w:eastAsia="仿宋_GB2312"/>
          <w:sz w:val="36"/>
          <w:szCs w:val="36"/>
        </w:rPr>
        <w:t>健康学校评估细则（2023版）</w:t>
      </w:r>
    </w:p>
    <w:p>
      <w:pPr>
        <w:widowControl/>
        <w:jc w:val="left"/>
        <w:rPr>
          <w:rFonts w:eastAsia="仿宋_GB2312"/>
          <w:szCs w:val="21"/>
          <w:u w:val="single"/>
        </w:rPr>
      </w:pPr>
      <w:r>
        <w:rPr>
          <w:rFonts w:eastAsia="仿宋_GB2312"/>
          <w:sz w:val="22"/>
          <w:szCs w:val="22"/>
        </w:rPr>
        <w:t xml:space="preserve"> </w:t>
      </w:r>
      <w:r>
        <w:rPr>
          <w:rFonts w:eastAsia="仿宋_GB2312"/>
          <w:szCs w:val="21"/>
        </w:rPr>
        <w:t>省份：</w:t>
      </w:r>
      <w:r>
        <w:rPr>
          <w:rFonts w:eastAsia="仿宋_GB2312"/>
          <w:szCs w:val="21"/>
          <w:u w:val="single"/>
        </w:rPr>
        <w:t xml:space="preserve">              </w:t>
      </w:r>
      <w:r>
        <w:rPr>
          <w:rFonts w:eastAsia="仿宋_GB2312"/>
          <w:szCs w:val="21"/>
        </w:rPr>
        <w:t xml:space="preserve">  市级：</w:t>
      </w:r>
      <w:r>
        <w:rPr>
          <w:rFonts w:eastAsia="仿宋_GB2312"/>
          <w:szCs w:val="21"/>
          <w:u w:val="single"/>
        </w:rPr>
        <w:t xml:space="preserve">               </w:t>
      </w:r>
      <w:r>
        <w:rPr>
          <w:rFonts w:eastAsia="仿宋_GB2312"/>
          <w:szCs w:val="21"/>
        </w:rPr>
        <w:t xml:space="preserve">   县（区）： </w:t>
      </w:r>
      <w:r>
        <w:rPr>
          <w:rFonts w:eastAsia="仿宋_GB2312"/>
          <w:szCs w:val="21"/>
          <w:u w:val="single"/>
        </w:rPr>
        <w:t xml:space="preserve">               </w:t>
      </w:r>
      <w:r>
        <w:rPr>
          <w:rFonts w:eastAsia="仿宋_GB2312"/>
          <w:szCs w:val="21"/>
        </w:rPr>
        <w:t xml:space="preserve">   学校：</w:t>
      </w:r>
      <w:r>
        <w:rPr>
          <w:rFonts w:eastAsia="仿宋_GB2312"/>
          <w:szCs w:val="21"/>
          <w:u w:val="single"/>
        </w:rPr>
        <w:t xml:space="preserve">               </w:t>
      </w:r>
      <w:r>
        <w:rPr>
          <w:rFonts w:eastAsia="仿宋_GB2312"/>
          <w:szCs w:val="21"/>
        </w:rPr>
        <w:t xml:space="preserve">   时间：</w:t>
      </w:r>
      <w:r>
        <w:rPr>
          <w:rFonts w:eastAsia="仿宋_GB2312"/>
          <w:szCs w:val="21"/>
          <w:u w:val="single"/>
        </w:rPr>
        <w:t xml:space="preserve">                   </w:t>
      </w:r>
      <w:r>
        <w:rPr>
          <w:rFonts w:eastAsia="仿宋_GB2312"/>
          <w:b/>
          <w:szCs w:val="21"/>
          <w:u w:val="single"/>
        </w:rPr>
        <w:t xml:space="preserve"> </w:t>
      </w:r>
      <w:r>
        <w:rPr>
          <w:rFonts w:eastAsia="仿宋_GB2312"/>
          <w:b/>
          <w:sz w:val="22"/>
          <w:szCs w:val="22"/>
        </w:rPr>
        <w:t xml:space="preserve"> </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44"/>
        <w:gridCol w:w="2963"/>
        <w:gridCol w:w="2963"/>
        <w:gridCol w:w="481"/>
        <w:gridCol w:w="483"/>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07"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color w:val="000000"/>
                <w:kern w:val="0"/>
                <w:szCs w:val="21"/>
              </w:rPr>
            </w:pPr>
            <w:r>
              <w:rPr>
                <w:rFonts w:eastAsia="仿宋_GB2312"/>
                <w:b/>
                <w:color w:val="000000"/>
                <w:kern w:val="0"/>
                <w:szCs w:val="21"/>
              </w:rPr>
              <w:t>一级指标</w:t>
            </w:r>
          </w:p>
        </w:tc>
        <w:tc>
          <w:tcPr>
            <w:tcW w:w="408"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color w:val="000000"/>
                <w:kern w:val="0"/>
                <w:szCs w:val="21"/>
              </w:rPr>
            </w:pPr>
            <w:r>
              <w:rPr>
                <w:rFonts w:eastAsia="仿宋_GB2312"/>
                <w:b/>
                <w:color w:val="000000"/>
                <w:kern w:val="0"/>
                <w:szCs w:val="21"/>
              </w:rPr>
              <w:t>二级指标</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color w:val="000000"/>
                <w:kern w:val="0"/>
                <w:szCs w:val="21"/>
              </w:rPr>
            </w:pPr>
            <w:r>
              <w:rPr>
                <w:rFonts w:eastAsia="仿宋_GB2312"/>
                <w:b/>
                <w:color w:val="000000"/>
                <w:kern w:val="0"/>
                <w:szCs w:val="21"/>
              </w:rPr>
              <w:t>指标内容</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color w:val="000000"/>
                <w:kern w:val="0"/>
                <w:szCs w:val="21"/>
              </w:rPr>
            </w:pPr>
            <w:r>
              <w:rPr>
                <w:rFonts w:eastAsia="仿宋_GB2312"/>
                <w:b/>
                <w:color w:val="000000"/>
                <w:kern w:val="0"/>
                <w:szCs w:val="21"/>
              </w:rPr>
              <w:t>评分标准</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color w:val="000000"/>
                <w:kern w:val="0"/>
                <w:szCs w:val="21"/>
              </w:rPr>
            </w:pPr>
            <w:r>
              <w:rPr>
                <w:rFonts w:eastAsia="仿宋_GB2312"/>
                <w:b/>
                <w:color w:val="000000"/>
                <w:kern w:val="0"/>
                <w:szCs w:val="21"/>
              </w:rPr>
              <w:t>分值</w:t>
            </w:r>
          </w:p>
        </w:tc>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color w:val="000000"/>
                <w:kern w:val="0"/>
                <w:szCs w:val="21"/>
              </w:rPr>
            </w:pPr>
            <w:r>
              <w:rPr>
                <w:rFonts w:eastAsia="仿宋_GB2312"/>
                <w:b/>
                <w:color w:val="000000"/>
                <w:kern w:val="0"/>
                <w:szCs w:val="21"/>
              </w:rPr>
              <w:t>得分</w:t>
            </w:r>
          </w:p>
        </w:tc>
        <w:tc>
          <w:tcPr>
            <w:tcW w:w="406" w:type="pct"/>
            <w:tcBorders>
              <w:top w:val="single" w:color="auto" w:sz="4" w:space="0"/>
              <w:left w:val="single" w:color="auto" w:sz="4" w:space="0"/>
              <w:bottom w:val="single" w:color="auto" w:sz="4" w:space="0"/>
              <w:right w:val="single" w:color="auto" w:sz="4" w:space="0"/>
            </w:tcBorders>
          </w:tcPr>
          <w:p>
            <w:pPr>
              <w:widowControl/>
              <w:jc w:val="center"/>
              <w:rPr>
                <w:rFonts w:eastAsia="仿宋_GB2312"/>
                <w:b/>
                <w:color w:val="000000"/>
                <w:kern w:val="0"/>
                <w:szCs w:val="21"/>
              </w:rPr>
            </w:pPr>
            <w:r>
              <w:rPr>
                <w:rFonts w:eastAsia="仿宋_GB2312"/>
                <w:b/>
                <w:color w:val="000000"/>
                <w:kern w:val="0"/>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40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kern w:val="0"/>
                <w:szCs w:val="21"/>
              </w:rPr>
            </w:pPr>
            <w:r>
              <w:rPr>
                <w:rFonts w:eastAsia="仿宋_GB2312"/>
                <w:color w:val="000000"/>
                <w:kern w:val="0"/>
                <w:szCs w:val="21"/>
              </w:rPr>
              <w:t>一、组织管理(15分)</w:t>
            </w:r>
          </w:p>
        </w:tc>
        <w:tc>
          <w:tcPr>
            <w:tcW w:w="408" w:type="pct"/>
            <w:vMerge w:val="restart"/>
            <w:tcBorders>
              <w:top w:val="single" w:color="auto" w:sz="4" w:space="0"/>
              <w:left w:val="single" w:color="auto" w:sz="4" w:space="0"/>
              <w:right w:val="single" w:color="auto" w:sz="4" w:space="0"/>
            </w:tcBorders>
            <w:vAlign w:val="center"/>
          </w:tcPr>
          <w:p>
            <w:pPr>
              <w:jc w:val="left"/>
              <w:rPr>
                <w:rFonts w:eastAsia="仿宋_GB2312"/>
                <w:color w:val="000000"/>
                <w:kern w:val="0"/>
                <w:szCs w:val="21"/>
              </w:rPr>
            </w:pPr>
            <w:r>
              <w:rPr>
                <w:rFonts w:eastAsia="仿宋_GB2312"/>
                <w:color w:val="000000"/>
                <w:kern w:val="0"/>
                <w:szCs w:val="21"/>
              </w:rPr>
              <w:t>工作安排</w:t>
            </w:r>
          </w:p>
        </w:tc>
        <w:tc>
          <w:tcPr>
            <w:tcW w:w="1625" w:type="pct"/>
            <w:tcBorders>
              <w:top w:val="single" w:color="auto" w:sz="4" w:space="0"/>
              <w:left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成立校长或分管校长为组长的健康学校工作领导小组，明确学校各部门职责分工，定期召开例会。</w:t>
            </w:r>
          </w:p>
        </w:tc>
        <w:tc>
          <w:tcPr>
            <w:tcW w:w="1625" w:type="pct"/>
            <w:tcBorders>
              <w:top w:val="single" w:color="auto" w:sz="4" w:space="0"/>
              <w:left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校长为组长的领导小组得1分，副校长为组长的领导小组得0.5分；领导小组每学年召开例会讨论健康学校工作满2次得1分。</w:t>
            </w:r>
          </w:p>
        </w:tc>
        <w:tc>
          <w:tcPr>
            <w:tcW w:w="264" w:type="pct"/>
            <w:tcBorders>
              <w:top w:val="single" w:color="auto" w:sz="4" w:space="0"/>
              <w:left w:val="single" w:color="auto" w:sz="4" w:space="0"/>
              <w:right w:val="single" w:color="auto" w:sz="4" w:space="0"/>
            </w:tcBorders>
            <w:vAlign w:val="center"/>
          </w:tcPr>
          <w:p>
            <w:pPr>
              <w:widowControl/>
              <w:jc w:val="center"/>
              <w:rPr>
                <w:rFonts w:eastAsia="仿宋_GB2312"/>
                <w:b/>
                <w:color w:val="000000"/>
                <w:kern w:val="0"/>
                <w:szCs w:val="21"/>
              </w:rPr>
            </w:pPr>
            <w:r>
              <w:rPr>
                <w:rFonts w:eastAsia="仿宋_GB2312"/>
                <w:b/>
                <w:color w:val="000000"/>
                <w:kern w:val="0"/>
                <w:szCs w:val="21"/>
              </w:rPr>
              <w:t>2</w:t>
            </w:r>
          </w:p>
        </w:tc>
        <w:tc>
          <w:tcPr>
            <w:tcW w:w="265" w:type="pct"/>
            <w:tcBorders>
              <w:top w:val="single" w:color="auto" w:sz="4" w:space="0"/>
              <w:left w:val="single" w:color="auto" w:sz="4" w:space="0"/>
              <w:right w:val="single" w:color="auto" w:sz="4" w:space="0"/>
            </w:tcBorders>
            <w:vAlign w:val="center"/>
          </w:tcPr>
          <w:p>
            <w:pPr>
              <w:widowControl/>
              <w:jc w:val="center"/>
              <w:rPr>
                <w:rFonts w:eastAsia="仿宋_GB2312"/>
                <w:b/>
                <w:color w:val="000000"/>
                <w:kern w:val="0"/>
                <w:szCs w:val="21"/>
              </w:rPr>
            </w:pPr>
          </w:p>
        </w:tc>
        <w:tc>
          <w:tcPr>
            <w:tcW w:w="406" w:type="pct"/>
            <w:tcBorders>
              <w:top w:val="single" w:color="auto" w:sz="4" w:space="0"/>
              <w:left w:val="single" w:color="auto" w:sz="4" w:space="0"/>
              <w:right w:val="single" w:color="auto" w:sz="4" w:space="0"/>
            </w:tcBorders>
          </w:tcPr>
          <w:p>
            <w:pPr>
              <w:widowControl/>
              <w:jc w:val="center"/>
              <w:rPr>
                <w:rFonts w:eastAsia="仿宋_GB2312"/>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kern w:val="0"/>
                <w:szCs w:val="21"/>
              </w:rPr>
            </w:pPr>
          </w:p>
        </w:tc>
        <w:tc>
          <w:tcPr>
            <w:tcW w:w="408"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将健康学校建设纳入学校中长期发展规划，所需经费在学校公用经费中列支。</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学校年度工作计划体现健康学校工作得1分；</w:t>
            </w:r>
          </w:p>
          <w:p>
            <w:pPr>
              <w:widowControl/>
              <w:rPr>
                <w:rFonts w:eastAsia="仿宋_GB2312"/>
                <w:color w:val="000000"/>
                <w:kern w:val="0"/>
                <w:szCs w:val="21"/>
              </w:rPr>
            </w:pPr>
            <w:r>
              <w:rPr>
                <w:rFonts w:eastAsia="仿宋_GB2312"/>
                <w:color w:val="000000"/>
                <w:kern w:val="0"/>
                <w:szCs w:val="21"/>
              </w:rPr>
              <w:t>财务表显示有健康学校建设经费得1分。</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kern w:val="0"/>
                <w:szCs w:val="21"/>
              </w:rPr>
            </w:pPr>
          </w:p>
        </w:tc>
        <w:tc>
          <w:tcPr>
            <w:tcW w:w="408"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有专人负责健康学校工作，定期邀请专业机构开展专业培训，提高建设健康学校建设能力。</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有专人负责得1分。接受过健康学校培训得1分。</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4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kern w:val="0"/>
                <w:szCs w:val="21"/>
              </w:rPr>
            </w:pPr>
          </w:p>
        </w:tc>
        <w:tc>
          <w:tcPr>
            <w:tcW w:w="408" w:type="pct"/>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制定健康学校建设工作计划，根据学校特点和学生主要健康问题，选择合适的健康问题作为切入点。整理收集工作记录，完成年度工作总结。</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有健康学校计划得1分，计划合理、重点突出，得1分。有详细建设过程记录得1分，有年度健康促进学校工作总结得1分。</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4</w:t>
            </w:r>
          </w:p>
        </w:tc>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4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kern w:val="0"/>
                <w:szCs w:val="21"/>
              </w:rPr>
            </w:pPr>
          </w:p>
        </w:tc>
        <w:tc>
          <w:tcPr>
            <w:tcW w:w="408" w:type="pc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制度建设</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制订促进师生健康的管理制度和措施。包括建立完善学校环境卫生管理、教学过程卫生管理、健康教育课程、重大传染病与常见病防控、食品安全与饮用水卫生管理、师生健康体检、校园禁烟﹑校园欺凌防治﹑校园安全管理、网络安全与成瘾预防管理及校方责任险等制度。</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学校制定促进学生健康的管理制度和措施，每个得0.5分，最高5分。</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5</w:t>
            </w:r>
          </w:p>
        </w:tc>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0" w:hRule="atLeast"/>
          <w:jc w:val="center"/>
        </w:trPr>
        <w:tc>
          <w:tcPr>
            <w:tcW w:w="40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二、学习生活环境(25分)</w:t>
            </w:r>
          </w:p>
        </w:tc>
        <w:tc>
          <w:tcPr>
            <w:tcW w:w="408" w:type="pc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环境卫生</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学校环境整洁优美，无卫生死角，无安全隐患。使用卫生厕所并保持清洁。新建教学楼每层设厕所。女生15人一蹲位，男生30人一蹲位，有洗手设施。教室﹑宿舍、食堂、图书馆等重点区域鼠、蚊、蝇、嶂螂的密度达到国家病媒生物密度控制标准。</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校园无垃圾堆积，得1分。随机进入一个厕所，数量够用得1分，清洁卫生得1分。查看病媒生物记录报告，符合标准得1分。</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4</w:t>
            </w:r>
          </w:p>
        </w:tc>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4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8" w:type="pc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无烟环境</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符合无烟学校参考标准。校内无人吸烟，无烟头，无烟草销售和广告，有禁烟标识。</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有禁止吸烟标识得1分，学校内无人吸烟得2分，无烟头得1分，无烟草销售和广告得1分。</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5</w:t>
            </w:r>
          </w:p>
        </w:tc>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4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8" w:type="pc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教室设施</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教室人均使用面积小学不低于1.15平方米,中学不低于1.12 平方米；前排课桌前缘与黑板不低于2 米；桌椅每人一席；教室应配备9盏以上40瓦荧光灯。</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前排课桌前缘与黑板距离大于2米，得1分。学生一人一桌椅，得1分。教室灯光明亮，得1分。</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4</w:t>
            </w:r>
          </w:p>
        </w:tc>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4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8" w:type="pc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健康饮食</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提供安全、合理的营养膳食，提供充足、安全的饮用水。</w:t>
            </w:r>
          </w:p>
          <w:p>
            <w:pPr>
              <w:widowControl/>
              <w:rPr>
                <w:rFonts w:eastAsia="仿宋_GB2312"/>
                <w:color w:val="000000"/>
                <w:kern w:val="0"/>
                <w:szCs w:val="21"/>
              </w:rPr>
            </w:pPr>
            <w:r>
              <w:rPr>
                <w:rFonts w:eastAsia="仿宋_GB2312"/>
                <w:color w:val="000000"/>
                <w:kern w:val="0"/>
                <w:szCs w:val="21"/>
              </w:rPr>
              <w:t>学生食堂三证齐全，有洗刷、消毒池等清洗设施，生熟分开。非寄宿制学校原则上不得在校内设置出售食品的小卖部、超市、自动售卖机等。</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提供来源安全的饮食得2分，膳食结构合理得1分。提供充足、安全的饮用水得1分。学校食堂生熟分开得1分，厨房和就餐清洁卫生得1分。无出售食品的小卖部、超市、自动售卖机得1分。</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7</w:t>
            </w:r>
          </w:p>
        </w:tc>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4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8" w:type="pc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安全措施</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校园内安全、消防等设施符合国家相关标准,建立校园安全突发事件应急机制,配合有关部门综合治理校园周围环境、交通环境和治安环境,防止师生发生伤害。</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建设期间未发生重大安全事故得3分。建立校园安全突发事件应急机制得2分。</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5</w:t>
            </w:r>
          </w:p>
        </w:tc>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三、健康服务(25分)</w:t>
            </w:r>
          </w:p>
        </w:tc>
        <w:tc>
          <w:tcPr>
            <w:tcW w:w="40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卫生室/保健室和人员</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寄宿制学校必须设立卫生室，非寄宿制学校可视学校规模设立卫生室或保健室。</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寄宿制学校设立卫生室得3分，未设卫生室但有医院医生定点诊疗得2分。</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3</w:t>
            </w:r>
          </w:p>
        </w:tc>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4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寄宿制学校或600名学生以上的非寄宿制学校应配备卫生专业技术人员，600名学生以下的非寄宿制学校应配备保健教师。</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color w:val="000000"/>
                <w:kern w:val="0"/>
                <w:szCs w:val="21"/>
              </w:rPr>
            </w:pPr>
            <w:r>
              <w:rPr>
                <w:rFonts w:eastAsia="仿宋_GB2312"/>
                <w:color w:val="000000"/>
                <w:kern w:val="0"/>
                <w:szCs w:val="21"/>
              </w:rPr>
              <w:t>寄宿制学校或600名学生以上的非寄宿制学校，有卫生专业技术人员得3分，无专门人员但有医院医生定点定期来校诊疗得2分。600名学生以下的非寄宿制学校有配备保健教师得3分。</w:t>
            </w:r>
          </w:p>
        </w:tc>
        <w:tc>
          <w:tcPr>
            <w:tcW w:w="264" w:type="pct"/>
            <w:tcBorders>
              <w:top w:val="single" w:color="auto" w:sz="4" w:space="0"/>
              <w:left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3</w:t>
            </w:r>
          </w:p>
        </w:tc>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卫生专业技术人员和保健教师应定期接受专业培训，为学生提供健康教育、医疗服务和心理辅导。</w:t>
            </w:r>
          </w:p>
        </w:tc>
        <w:tc>
          <w:tcPr>
            <w:tcW w:w="1625" w:type="pct"/>
            <w:tcBorders>
              <w:top w:val="single" w:color="auto" w:sz="4" w:space="0"/>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定期接受培训得2分；定期为学生提供健康服务得1分。</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3</w:t>
            </w:r>
          </w:p>
        </w:tc>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tcPr>
          <w:p>
            <w:pPr>
              <w:widowControl/>
              <w:jc w:val="center"/>
              <w:rPr>
                <w:rFonts w:eastAsia="仿宋_GB2312"/>
                <w:color w:val="000000"/>
                <w:kern w:val="0"/>
                <w:szCs w:val="21"/>
              </w:rPr>
            </w:pPr>
          </w:p>
        </w:tc>
      </w:tr>
    </w:tbl>
    <w:p>
      <w:pPr>
        <w:spacing w:line="560" w:lineRule="atLeast"/>
        <w:jc w:val="left"/>
        <w:rPr>
          <w:rFonts w:eastAsia="仿宋_GB2312" w:cs="宋体"/>
          <w:kern w:val="0"/>
          <w:sz w:val="32"/>
          <w:szCs w:val="32"/>
        </w:rPr>
      </w:pPr>
    </w:p>
    <w:p>
      <w:pPr>
        <w:spacing w:line="560" w:lineRule="atLeast"/>
        <w:jc w:val="left"/>
        <w:rPr>
          <w:rFonts w:eastAsia="仿宋_GB2312" w:cs="宋体"/>
          <w:kern w:val="0"/>
          <w:sz w:val="32"/>
          <w:szCs w:val="32"/>
        </w:rPr>
      </w:pPr>
    </w:p>
    <w:p>
      <w:pPr>
        <w:spacing w:line="560" w:lineRule="atLeast"/>
        <w:jc w:val="left"/>
        <w:rPr>
          <w:rFonts w:eastAsia="仿宋_GB2312" w:cs="宋体"/>
          <w:kern w:val="0"/>
          <w:sz w:val="44"/>
          <w:szCs w:val="44"/>
        </w:rPr>
      </w:pPr>
      <w:r>
        <w:rPr>
          <w:rFonts w:hint="eastAsia" w:eastAsia="仿宋_GB2312" w:cs="宋体"/>
          <w:kern w:val="0"/>
          <w:sz w:val="32"/>
          <w:szCs w:val="32"/>
        </w:rPr>
        <w:t>附件6</w:t>
      </w:r>
    </w:p>
    <w:p>
      <w:pPr>
        <w:spacing w:line="600" w:lineRule="exact"/>
        <w:jc w:val="center"/>
        <w:rPr>
          <w:rFonts w:eastAsia="仿宋_GB2312" w:cs="宋体"/>
          <w:kern w:val="0"/>
          <w:sz w:val="44"/>
          <w:szCs w:val="44"/>
        </w:rPr>
      </w:pPr>
    </w:p>
    <w:p>
      <w:pPr>
        <w:spacing w:line="600" w:lineRule="exact"/>
        <w:jc w:val="center"/>
        <w:rPr>
          <w:rFonts w:eastAsia="仿宋_GB2312" w:cs="宋体"/>
          <w:kern w:val="0"/>
          <w:sz w:val="44"/>
          <w:szCs w:val="44"/>
        </w:rPr>
      </w:pPr>
      <w:r>
        <w:rPr>
          <w:rFonts w:hint="eastAsia" w:eastAsia="仿宋_GB2312" w:cs="宋体"/>
          <w:kern w:val="0"/>
          <w:sz w:val="44"/>
          <w:szCs w:val="44"/>
        </w:rPr>
        <w:t>健康机关评价标准（试行）</w:t>
      </w:r>
    </w:p>
    <w:p>
      <w:pPr>
        <w:spacing w:line="600" w:lineRule="exact"/>
        <w:jc w:val="center"/>
        <w:rPr>
          <w:rFonts w:eastAsia="仿宋_GB2312" w:cs="宋体"/>
          <w:kern w:val="0"/>
          <w:sz w:val="44"/>
          <w:szCs w:val="44"/>
        </w:rPr>
      </w:pPr>
    </w:p>
    <w:p>
      <w:pPr>
        <w:spacing w:line="560" w:lineRule="exact"/>
        <w:ind w:firstLine="641"/>
        <w:jc w:val="left"/>
        <w:rPr>
          <w:rFonts w:eastAsia="仿宋_GB2312" w:cs="宋体"/>
          <w:kern w:val="0"/>
          <w:sz w:val="24"/>
          <w:szCs w:val="32"/>
        </w:rPr>
      </w:pPr>
      <w:r>
        <w:rPr>
          <w:rFonts w:hint="eastAsia" w:eastAsia="仿宋_GB2312" w:cs="宋体"/>
          <w:kern w:val="0"/>
          <w:sz w:val="32"/>
          <w:szCs w:val="32"/>
        </w:rPr>
        <w:t>本标准所指机关是泛指，包括政府各组成部门、事业单位。无烟环境是健康机关的前提条件，相关标准如下：</w:t>
      </w:r>
    </w:p>
    <w:p>
      <w:pPr>
        <w:spacing w:line="560" w:lineRule="exact"/>
        <w:ind w:firstLine="641"/>
        <w:jc w:val="left"/>
        <w:rPr>
          <w:rFonts w:eastAsia="仿宋_GB2312" w:cs="宋体"/>
          <w:kern w:val="0"/>
          <w:sz w:val="27"/>
          <w:szCs w:val="27"/>
        </w:rPr>
      </w:pPr>
      <w:r>
        <w:rPr>
          <w:rFonts w:hint="eastAsia" w:eastAsia="仿宋_GB2312" w:cs="宋体"/>
          <w:kern w:val="0"/>
          <w:sz w:val="32"/>
          <w:szCs w:val="32"/>
        </w:rPr>
        <w:t>1.机关和事业单位公开承诺开展健康机关建设，倡导全体员工积极参与。</w:t>
      </w:r>
    </w:p>
    <w:p>
      <w:pPr>
        <w:spacing w:line="560" w:lineRule="exact"/>
        <w:ind w:firstLine="641"/>
        <w:jc w:val="left"/>
        <w:rPr>
          <w:rFonts w:eastAsia="仿宋_GB2312" w:cs="宋体"/>
          <w:kern w:val="0"/>
          <w:sz w:val="27"/>
          <w:szCs w:val="27"/>
        </w:rPr>
      </w:pPr>
      <w:r>
        <w:rPr>
          <w:rFonts w:hint="eastAsia" w:eastAsia="仿宋_GB2312" w:cs="宋体"/>
          <w:kern w:val="0"/>
          <w:sz w:val="32"/>
          <w:szCs w:val="32"/>
        </w:rPr>
        <w:t>2.将健康机关建设纳入机构发展规划，制定促进员工健康的规章制度和相关措施。</w:t>
      </w:r>
    </w:p>
    <w:p>
      <w:pPr>
        <w:spacing w:line="560" w:lineRule="exact"/>
        <w:ind w:firstLine="641"/>
        <w:jc w:val="left"/>
        <w:rPr>
          <w:rFonts w:eastAsia="仿宋_GB2312" w:cs="宋体"/>
          <w:kern w:val="0"/>
          <w:sz w:val="27"/>
          <w:szCs w:val="27"/>
        </w:rPr>
      </w:pPr>
      <w:r>
        <w:rPr>
          <w:rFonts w:hint="eastAsia" w:eastAsia="仿宋_GB2312" w:cs="宋体"/>
          <w:kern w:val="0"/>
          <w:sz w:val="32"/>
          <w:szCs w:val="32"/>
        </w:rPr>
        <w:t>3.成立主要负责同志参加的健康机关领导小组，明确职责分工。</w:t>
      </w:r>
    </w:p>
    <w:p>
      <w:pPr>
        <w:spacing w:line="560" w:lineRule="exact"/>
        <w:ind w:firstLine="641"/>
        <w:jc w:val="left"/>
        <w:rPr>
          <w:rFonts w:eastAsia="仿宋_GB2312" w:cs="宋体"/>
          <w:kern w:val="0"/>
          <w:sz w:val="27"/>
          <w:szCs w:val="27"/>
        </w:rPr>
      </w:pPr>
      <w:r>
        <w:rPr>
          <w:rFonts w:hint="eastAsia" w:eastAsia="仿宋_GB2312" w:cs="宋体"/>
          <w:kern w:val="0"/>
          <w:sz w:val="32"/>
          <w:szCs w:val="32"/>
        </w:rPr>
        <w:t>4.有专人负责健康相关工作，有健康机关的工作计划和总结，健康活动有记录。</w:t>
      </w:r>
    </w:p>
    <w:p>
      <w:pPr>
        <w:spacing w:line="560" w:lineRule="exact"/>
        <w:ind w:firstLine="641"/>
        <w:jc w:val="left"/>
        <w:rPr>
          <w:rFonts w:eastAsia="仿宋_GB2312" w:cs="宋体"/>
          <w:kern w:val="0"/>
          <w:sz w:val="27"/>
          <w:szCs w:val="27"/>
        </w:rPr>
      </w:pPr>
      <w:r>
        <w:rPr>
          <w:rFonts w:hint="eastAsia" w:eastAsia="仿宋_GB2312" w:cs="宋体"/>
          <w:kern w:val="0"/>
          <w:sz w:val="32"/>
          <w:szCs w:val="32"/>
        </w:rPr>
        <w:t>5.建设无烟环境，食堂膳食结构合理，厕所清洁卫生，洗手设施完善。</w:t>
      </w:r>
    </w:p>
    <w:p>
      <w:pPr>
        <w:spacing w:line="560" w:lineRule="exact"/>
        <w:ind w:firstLine="641"/>
        <w:jc w:val="left"/>
        <w:rPr>
          <w:rFonts w:eastAsia="仿宋_GB2312" w:cs="宋体"/>
          <w:kern w:val="0"/>
          <w:sz w:val="27"/>
          <w:szCs w:val="27"/>
        </w:rPr>
      </w:pPr>
      <w:r>
        <w:rPr>
          <w:rFonts w:hint="eastAsia" w:eastAsia="仿宋_GB2312" w:cs="宋体"/>
          <w:kern w:val="0"/>
          <w:sz w:val="32"/>
          <w:szCs w:val="32"/>
        </w:rPr>
        <w:t>6.给</w:t>
      </w:r>
      <w:r>
        <w:rPr>
          <w:rFonts w:hint="eastAsia" w:eastAsia="仿宋_GB2312" w:cs="宋体"/>
          <w:spacing w:val="-8"/>
          <w:kern w:val="0"/>
          <w:sz w:val="32"/>
          <w:szCs w:val="32"/>
        </w:rPr>
        <w:t>职工提供锻炼和阅读环境，营造促进健康的社会人文环境。</w:t>
      </w:r>
    </w:p>
    <w:p>
      <w:pPr>
        <w:spacing w:line="560" w:lineRule="exact"/>
        <w:ind w:firstLine="641"/>
        <w:jc w:val="left"/>
        <w:rPr>
          <w:rFonts w:eastAsia="仿宋_GB2312" w:cs="宋体"/>
          <w:kern w:val="0"/>
          <w:sz w:val="27"/>
          <w:szCs w:val="27"/>
        </w:rPr>
      </w:pPr>
      <w:r>
        <w:rPr>
          <w:rFonts w:hint="eastAsia" w:eastAsia="仿宋_GB2312" w:cs="宋体"/>
          <w:kern w:val="0"/>
          <w:sz w:val="32"/>
          <w:szCs w:val="32"/>
        </w:rPr>
        <w:t>7.配备急救医疗用品和药物，定期组织职工体检。</w:t>
      </w:r>
    </w:p>
    <w:p>
      <w:pPr>
        <w:spacing w:line="560" w:lineRule="exact"/>
        <w:ind w:firstLine="641"/>
        <w:jc w:val="left"/>
        <w:rPr>
          <w:rFonts w:eastAsia="仿宋_GB2312" w:cs="宋体"/>
          <w:kern w:val="0"/>
          <w:sz w:val="27"/>
          <w:szCs w:val="27"/>
        </w:rPr>
      </w:pPr>
      <w:r>
        <w:rPr>
          <w:rFonts w:hint="eastAsia" w:eastAsia="仿宋_GB2312" w:cs="宋体"/>
          <w:kern w:val="0"/>
          <w:sz w:val="32"/>
          <w:szCs w:val="32"/>
        </w:rPr>
        <w:t>8.定期邀请专家进入机构开展健康讲座。</w:t>
      </w:r>
    </w:p>
    <w:p>
      <w:pPr>
        <w:spacing w:line="560" w:lineRule="exact"/>
        <w:ind w:firstLine="641"/>
        <w:jc w:val="left"/>
        <w:rPr>
          <w:rFonts w:eastAsia="仿宋_GB2312" w:cs="宋体"/>
          <w:kern w:val="0"/>
          <w:sz w:val="27"/>
          <w:szCs w:val="27"/>
        </w:rPr>
      </w:pPr>
      <w:r>
        <w:rPr>
          <w:rFonts w:hint="eastAsia" w:eastAsia="仿宋_GB2312" w:cs="宋体"/>
          <w:kern w:val="0"/>
          <w:sz w:val="32"/>
          <w:szCs w:val="32"/>
        </w:rPr>
        <w:t>9.定期组织职工开展工间操、跑步、爬山、球类、游泳等体育活动，开展多种形式的健康主题活动，职工积极参与。</w:t>
      </w:r>
    </w:p>
    <w:p>
      <w:pPr>
        <w:spacing w:line="560" w:lineRule="exact"/>
        <w:ind w:firstLine="641"/>
        <w:jc w:val="left"/>
        <w:rPr>
          <w:rFonts w:eastAsia="仿宋_GB2312" w:cs="宋体"/>
          <w:kern w:val="0"/>
        </w:rPr>
        <w:sectPr>
          <w:pgSz w:w="11906" w:h="16838"/>
          <w:pgMar w:top="1701" w:right="1418" w:bottom="1531" w:left="1588" w:header="851" w:footer="851" w:gutter="0"/>
          <w:cols w:space="720" w:num="1"/>
          <w:docGrid w:type="lines" w:linePitch="312" w:charSpace="0"/>
        </w:sectPr>
      </w:pPr>
      <w:r>
        <w:rPr>
          <w:rFonts w:hint="eastAsia" w:eastAsia="仿宋_GB2312" w:cs="宋体"/>
          <w:kern w:val="0"/>
          <w:sz w:val="32"/>
          <w:szCs w:val="32"/>
        </w:rPr>
        <w:t>10.提高职工健康素养，体育锻炼率有所提高，吸烟率和肥胖率有所下降。</w:t>
      </w:r>
    </w:p>
    <w:p>
      <w:pPr>
        <w:widowControl/>
        <w:jc w:val="center"/>
        <w:rPr>
          <w:rFonts w:eastAsia="仿宋_GB2312"/>
          <w:sz w:val="36"/>
          <w:szCs w:val="36"/>
        </w:rPr>
      </w:pPr>
      <w:r>
        <w:rPr>
          <w:rFonts w:eastAsia="仿宋_GB2312"/>
          <w:sz w:val="36"/>
          <w:szCs w:val="36"/>
        </w:rPr>
        <w:t>健康机关评估细则（2023版）</w:t>
      </w:r>
    </w:p>
    <w:p>
      <w:pPr>
        <w:widowControl/>
        <w:jc w:val="left"/>
        <w:rPr>
          <w:rFonts w:eastAsia="仿宋_GB2312"/>
          <w:szCs w:val="21"/>
          <w:u w:val="single"/>
        </w:rPr>
      </w:pPr>
      <w:r>
        <w:rPr>
          <w:rFonts w:eastAsia="仿宋_GB2312"/>
          <w:sz w:val="22"/>
          <w:szCs w:val="22"/>
        </w:rPr>
        <w:t xml:space="preserve"> </w:t>
      </w:r>
      <w:r>
        <w:rPr>
          <w:rFonts w:eastAsia="仿宋_GB2312"/>
          <w:szCs w:val="21"/>
        </w:rPr>
        <w:t>省份：</w:t>
      </w:r>
      <w:r>
        <w:rPr>
          <w:rFonts w:eastAsia="仿宋_GB2312"/>
          <w:szCs w:val="21"/>
          <w:u w:val="single"/>
        </w:rPr>
        <w:t xml:space="preserve">              </w:t>
      </w:r>
      <w:r>
        <w:rPr>
          <w:rFonts w:eastAsia="仿宋_GB2312"/>
          <w:szCs w:val="21"/>
        </w:rPr>
        <w:t xml:space="preserve">  市级：</w:t>
      </w:r>
      <w:r>
        <w:rPr>
          <w:rFonts w:eastAsia="仿宋_GB2312"/>
          <w:szCs w:val="21"/>
          <w:u w:val="single"/>
        </w:rPr>
        <w:t xml:space="preserve">               </w:t>
      </w:r>
      <w:r>
        <w:rPr>
          <w:rFonts w:eastAsia="仿宋_GB2312"/>
          <w:szCs w:val="21"/>
        </w:rPr>
        <w:t xml:space="preserve">   县（区）： </w:t>
      </w:r>
      <w:r>
        <w:rPr>
          <w:rFonts w:eastAsia="仿宋_GB2312"/>
          <w:szCs w:val="21"/>
          <w:u w:val="single"/>
        </w:rPr>
        <w:t xml:space="preserve">               </w:t>
      </w:r>
      <w:r>
        <w:rPr>
          <w:rFonts w:eastAsia="仿宋_GB2312"/>
          <w:szCs w:val="21"/>
        </w:rPr>
        <w:t xml:space="preserve">   机关：</w:t>
      </w:r>
      <w:r>
        <w:rPr>
          <w:rFonts w:eastAsia="仿宋_GB2312"/>
          <w:szCs w:val="21"/>
          <w:u w:val="single"/>
        </w:rPr>
        <w:t xml:space="preserve">               </w:t>
      </w:r>
      <w:r>
        <w:rPr>
          <w:rFonts w:eastAsia="仿宋_GB2312"/>
          <w:szCs w:val="21"/>
        </w:rPr>
        <w:t xml:space="preserve">   时间：</w:t>
      </w:r>
      <w:r>
        <w:rPr>
          <w:rFonts w:eastAsia="仿宋_GB2312"/>
          <w:szCs w:val="21"/>
          <w:u w:val="single"/>
        </w:rPr>
        <w:t xml:space="preserve">                   </w:t>
      </w:r>
      <w:r>
        <w:rPr>
          <w:rFonts w:eastAsia="仿宋_GB2312"/>
          <w:b/>
          <w:szCs w:val="21"/>
          <w:u w:val="single"/>
        </w:rPr>
        <w:t xml:space="preserve"> </w:t>
      </w:r>
      <w:r>
        <w:rPr>
          <w:rFonts w:eastAsia="仿宋_GB2312"/>
          <w:b/>
          <w:sz w:val="22"/>
          <w:szCs w:val="22"/>
          <w:u w:val="single"/>
        </w:rPr>
        <w:t xml:space="preserve"> </w:t>
      </w:r>
    </w:p>
    <w:tbl>
      <w:tblPr>
        <w:tblStyle w:val="4"/>
        <w:tblW w:w="13946" w:type="dxa"/>
        <w:tblInd w:w="93" w:type="dxa"/>
        <w:tblLayout w:type="fixed"/>
        <w:tblCellMar>
          <w:top w:w="0" w:type="dxa"/>
          <w:left w:w="108" w:type="dxa"/>
          <w:bottom w:w="0" w:type="dxa"/>
          <w:right w:w="108" w:type="dxa"/>
        </w:tblCellMar>
      </w:tblPr>
      <w:tblGrid>
        <w:gridCol w:w="1134"/>
        <w:gridCol w:w="1134"/>
        <w:gridCol w:w="4535"/>
        <w:gridCol w:w="4535"/>
        <w:gridCol w:w="737"/>
        <w:gridCol w:w="737"/>
        <w:gridCol w:w="1134"/>
      </w:tblGrid>
      <w:tr>
        <w:trPr>
          <w:trHeight w:val="20" w:hRule="atLeast"/>
          <w:tblHeader/>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bCs/>
                <w:color w:val="000000"/>
                <w:kern w:val="0"/>
                <w:szCs w:val="21"/>
              </w:rPr>
            </w:pPr>
            <w:r>
              <w:rPr>
                <w:rFonts w:eastAsia="仿宋_GB2312"/>
                <w:b/>
                <w:bCs/>
                <w:color w:val="000000"/>
                <w:kern w:val="0"/>
                <w:szCs w:val="21"/>
              </w:rPr>
              <w:t>一级指标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eastAsia="仿宋_GB2312"/>
                <w:b/>
                <w:bCs/>
                <w:color w:val="000000"/>
                <w:kern w:val="0"/>
                <w:szCs w:val="21"/>
              </w:rPr>
            </w:pPr>
            <w:r>
              <w:rPr>
                <w:rFonts w:eastAsia="仿宋_GB2312"/>
                <w:b/>
                <w:bCs/>
                <w:color w:val="000000"/>
                <w:kern w:val="0"/>
                <w:szCs w:val="21"/>
              </w:rPr>
              <w:t>二级指标</w:t>
            </w:r>
          </w:p>
        </w:tc>
        <w:tc>
          <w:tcPr>
            <w:tcW w:w="4535" w:type="dxa"/>
            <w:tcBorders>
              <w:top w:val="single" w:color="auto" w:sz="4" w:space="0"/>
              <w:left w:val="nil"/>
              <w:bottom w:val="single" w:color="auto" w:sz="4" w:space="0"/>
              <w:right w:val="single" w:color="auto" w:sz="4" w:space="0"/>
            </w:tcBorders>
            <w:vAlign w:val="center"/>
          </w:tcPr>
          <w:p>
            <w:pPr>
              <w:widowControl/>
              <w:jc w:val="center"/>
              <w:rPr>
                <w:rFonts w:eastAsia="仿宋_GB2312"/>
                <w:b/>
                <w:bCs/>
                <w:color w:val="000000"/>
                <w:kern w:val="0"/>
                <w:szCs w:val="21"/>
              </w:rPr>
            </w:pPr>
            <w:r>
              <w:rPr>
                <w:rFonts w:eastAsia="仿宋_GB2312"/>
                <w:b/>
                <w:bCs/>
                <w:color w:val="000000"/>
                <w:kern w:val="0"/>
                <w:szCs w:val="21"/>
              </w:rPr>
              <w:t>指标解释</w:t>
            </w:r>
          </w:p>
        </w:tc>
        <w:tc>
          <w:tcPr>
            <w:tcW w:w="4535" w:type="dxa"/>
            <w:tcBorders>
              <w:top w:val="single" w:color="auto" w:sz="4" w:space="0"/>
              <w:left w:val="nil"/>
              <w:bottom w:val="single" w:color="auto" w:sz="4" w:space="0"/>
              <w:right w:val="single" w:color="auto" w:sz="4" w:space="0"/>
            </w:tcBorders>
            <w:vAlign w:val="center"/>
          </w:tcPr>
          <w:p>
            <w:pPr>
              <w:widowControl/>
              <w:jc w:val="center"/>
              <w:rPr>
                <w:rFonts w:eastAsia="仿宋_GB2312"/>
                <w:b/>
                <w:bCs/>
                <w:color w:val="000000"/>
                <w:kern w:val="0"/>
                <w:szCs w:val="21"/>
              </w:rPr>
            </w:pPr>
            <w:r>
              <w:rPr>
                <w:rFonts w:eastAsia="仿宋_GB2312"/>
                <w:b/>
                <w:bCs/>
                <w:color w:val="000000"/>
                <w:kern w:val="0"/>
                <w:szCs w:val="21"/>
              </w:rPr>
              <w:t>评分标准</w:t>
            </w:r>
          </w:p>
        </w:tc>
        <w:tc>
          <w:tcPr>
            <w:tcW w:w="737" w:type="dxa"/>
            <w:tcBorders>
              <w:top w:val="single" w:color="auto" w:sz="4" w:space="0"/>
              <w:left w:val="nil"/>
              <w:bottom w:val="single" w:color="auto" w:sz="4" w:space="0"/>
              <w:right w:val="single" w:color="auto" w:sz="4" w:space="0"/>
            </w:tcBorders>
            <w:vAlign w:val="center"/>
          </w:tcPr>
          <w:p>
            <w:pPr>
              <w:widowControl/>
              <w:jc w:val="center"/>
              <w:rPr>
                <w:rFonts w:eastAsia="仿宋_GB2312"/>
                <w:b/>
                <w:bCs/>
                <w:color w:val="000000"/>
                <w:kern w:val="0"/>
                <w:szCs w:val="21"/>
              </w:rPr>
            </w:pPr>
            <w:r>
              <w:rPr>
                <w:rFonts w:eastAsia="仿宋_GB2312"/>
                <w:b/>
                <w:bCs/>
                <w:color w:val="000000"/>
                <w:kern w:val="0"/>
                <w:szCs w:val="21"/>
              </w:rPr>
              <w:t>分值</w:t>
            </w:r>
          </w:p>
        </w:tc>
        <w:tc>
          <w:tcPr>
            <w:tcW w:w="737" w:type="dxa"/>
            <w:tcBorders>
              <w:top w:val="single" w:color="auto" w:sz="4" w:space="0"/>
              <w:left w:val="nil"/>
              <w:bottom w:val="single" w:color="auto" w:sz="4" w:space="0"/>
              <w:right w:val="single" w:color="auto" w:sz="4" w:space="0"/>
            </w:tcBorders>
            <w:vAlign w:val="center"/>
          </w:tcPr>
          <w:p>
            <w:pPr>
              <w:widowControl/>
              <w:jc w:val="center"/>
              <w:rPr>
                <w:rFonts w:eastAsia="仿宋_GB2312"/>
                <w:b/>
                <w:bCs/>
                <w:color w:val="000000"/>
                <w:kern w:val="0"/>
                <w:szCs w:val="21"/>
              </w:rPr>
            </w:pPr>
            <w:r>
              <w:rPr>
                <w:rFonts w:eastAsia="仿宋_GB2312"/>
                <w:b/>
                <w:bCs/>
                <w:color w:val="000000"/>
                <w:kern w:val="0"/>
                <w:szCs w:val="21"/>
              </w:rPr>
              <w:t>得分</w:t>
            </w:r>
          </w:p>
        </w:tc>
        <w:tc>
          <w:tcPr>
            <w:tcW w:w="1134" w:type="dxa"/>
            <w:tcBorders>
              <w:top w:val="single" w:color="auto" w:sz="4" w:space="0"/>
              <w:left w:val="nil"/>
              <w:bottom w:val="single" w:color="auto" w:sz="4" w:space="0"/>
              <w:right w:val="single" w:color="auto" w:sz="4" w:space="0"/>
            </w:tcBorders>
          </w:tcPr>
          <w:p>
            <w:pPr>
              <w:widowControl/>
              <w:jc w:val="center"/>
              <w:rPr>
                <w:rFonts w:eastAsia="仿宋_GB2312"/>
                <w:b/>
                <w:bCs/>
                <w:color w:val="000000"/>
                <w:kern w:val="0"/>
                <w:szCs w:val="21"/>
              </w:rPr>
            </w:pPr>
            <w:r>
              <w:rPr>
                <w:rFonts w:eastAsia="仿宋_GB2312"/>
                <w:b/>
                <w:bCs/>
                <w:color w:val="000000"/>
                <w:kern w:val="0"/>
                <w:szCs w:val="21"/>
              </w:rPr>
              <w:t>扣分原因</w:t>
            </w:r>
          </w:p>
        </w:tc>
      </w:tr>
      <w:tr>
        <w:tblPrEx>
          <w:tblCellMar>
            <w:top w:w="0" w:type="dxa"/>
            <w:left w:w="108" w:type="dxa"/>
            <w:bottom w:w="0" w:type="dxa"/>
            <w:right w:w="108" w:type="dxa"/>
          </w:tblCellMar>
        </w:tblPrEx>
        <w:trPr>
          <w:trHeight w:val="20" w:hRule="atLeast"/>
        </w:trPr>
        <w:tc>
          <w:tcPr>
            <w:tcW w:w="113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一、组织管理（20分）</w:t>
            </w:r>
          </w:p>
        </w:tc>
        <w:tc>
          <w:tcPr>
            <w:tcW w:w="1134" w:type="dxa"/>
            <w:vMerge w:val="restart"/>
            <w:tcBorders>
              <w:top w:val="nil"/>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承诺倡导</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机关/事业单位书面承诺建设健康机关。</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采取签署承诺书或印发文件等形式，承诺建设健康机关，得3分。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3</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召开全体职工大会，公开倡议全体职工积极参与健康机关建设。</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召开全体职工大会，对全体职工发出倡议，得2分。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restart"/>
            <w:tcBorders>
              <w:top w:val="nil"/>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协调机制</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成立机关主要负责同志牵头的健康机关领导小组，明确职责分工。</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成立机关主要负责同志牵头的健康机关领导小组，明确职责分工，得3分。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3</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xml:space="preserve">每季度召开工作例会，讨论机关主要健康问题并提出具体应对措施。 </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xml:space="preserve">每季度召开工作例会，讨论机关主要健康问题并提出具体应对措施，得2分。 </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restart"/>
            <w:tcBorders>
              <w:top w:val="nil"/>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规章制度</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将健康机关建设纳入机构年度工作计划。统筹推进健康机关建设与机关党建、团建、文化建设等工作。</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将健康机关建设纳入机构年度工作计划，得1分。将健康机关建设与机关党建、团建、文化建设等工作统筹推进，得1分。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制定促进职工健康的规章制度和相关措施。如改善单位环境卫生、落实公共场所无烟、促进职工采取健康生活方式、定期体检、工间操、健康教育、员工休假、预防控制重大疾病和突发公共卫生事件等。</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制定促进职工健康的规章制度和相关措施。每制定一条得0.5分，累计不超过3分。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3</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restart"/>
            <w:tcBorders>
              <w:top w:val="nil"/>
              <w:left w:val="single" w:color="auto" w:sz="4" w:space="0"/>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组织实施</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专人负责健康机关工作，每年接受一次专业培训。</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有专人负责健康机关工作，得1分。每年接受1次健康促进培训，得2分。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制定健康机关工作计划，定期总结，健康相关档案资料齐全。</w:t>
            </w:r>
          </w:p>
        </w:tc>
        <w:tc>
          <w:tcPr>
            <w:tcW w:w="453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Cs w:val="21"/>
                <w:lang w:eastAsia="zh-CN"/>
              </w:rPr>
            </w:pPr>
            <w:r>
              <w:rPr>
                <w:rFonts w:eastAsia="仿宋_GB2312"/>
                <w:color w:val="000000"/>
                <w:kern w:val="0"/>
                <w:szCs w:val="21"/>
              </w:rPr>
              <w:t>有健康机关工作方案或计划，工作内容明确，措施具体，责任分工合理，得1分。</w:t>
            </w:r>
          </w:p>
          <w:p>
            <w:pPr>
              <w:widowControl/>
              <w:jc w:val="left"/>
              <w:rPr>
                <w:rFonts w:eastAsia="仿宋_GB2312"/>
                <w:color w:val="000000"/>
                <w:kern w:val="0"/>
                <w:szCs w:val="21"/>
              </w:rPr>
            </w:pPr>
            <w:r>
              <w:rPr>
                <w:rFonts w:eastAsia="仿宋_GB2312"/>
                <w:color w:val="000000"/>
                <w:kern w:val="0"/>
                <w:szCs w:val="21"/>
              </w:rPr>
              <w:t>健康机关建设活动的文字、图片、实物资料齐全，整理规范，得1分。有健康机关工作总结，结构合理，内容详实，得1分。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3</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restart"/>
            <w:tcBorders>
              <w:top w:val="nil"/>
              <w:left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二、健康环境（20分）</w:t>
            </w:r>
          </w:p>
        </w:tc>
        <w:tc>
          <w:tcPr>
            <w:tcW w:w="1134" w:type="dxa"/>
            <w:vMerge w:val="restart"/>
            <w:tcBorders>
              <w:top w:val="nil"/>
              <w:left w:val="single" w:color="auto" w:sz="4" w:space="0"/>
              <w:bottom w:val="single" w:color="auto" w:sz="4" w:space="0"/>
              <w:right w:val="single" w:color="auto" w:sz="4" w:space="0"/>
            </w:tcBorders>
          </w:tcPr>
          <w:p>
            <w:pPr>
              <w:widowControl/>
              <w:rPr>
                <w:rFonts w:eastAsia="仿宋_GB2312"/>
                <w:color w:val="000000"/>
                <w:kern w:val="0"/>
                <w:szCs w:val="21"/>
              </w:rPr>
            </w:pPr>
            <w:r>
              <w:rPr>
                <w:rFonts w:eastAsia="仿宋_GB2312"/>
                <w:color w:val="000000"/>
                <w:kern w:val="0"/>
                <w:szCs w:val="21"/>
              </w:rPr>
              <w:t>无烟环境</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机构所有室内公共场所、工作场所禁止吸烟。</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机构的办公室、卫生室、所属室外环境没有发现烟头或者吸烟现象，得2分。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rPr>
          <w:trHeight w:val="20"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机构主要建筑物入口处、电梯、公共厕所、会议室等区域有明显的无烟标识。</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机构主要建筑物入口处、电梯、公共厕所、会议室有禁烟标识和健康提示，得1分。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1</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机构内无烟草广告和促销。</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机构内无烟草广告和促销，得1分。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1</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restart"/>
            <w:tcBorders>
              <w:top w:val="nil"/>
              <w:left w:val="single" w:color="auto" w:sz="4" w:space="0"/>
              <w:bottom w:val="single" w:color="auto" w:sz="4" w:space="0"/>
              <w:right w:val="single" w:color="auto" w:sz="4" w:space="0"/>
            </w:tcBorders>
          </w:tcPr>
          <w:p>
            <w:pPr>
              <w:widowControl/>
              <w:rPr>
                <w:rFonts w:eastAsia="仿宋_GB2312"/>
                <w:color w:val="000000"/>
                <w:kern w:val="0"/>
                <w:szCs w:val="21"/>
              </w:rPr>
            </w:pPr>
            <w:r>
              <w:rPr>
                <w:rFonts w:eastAsia="仿宋_GB2312"/>
                <w:color w:val="000000"/>
                <w:kern w:val="0"/>
                <w:szCs w:val="21"/>
              </w:rPr>
              <w:t>自然环境</w:t>
            </w: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环境整洁舒适，垃圾日产日清，符合国家病媒生物密度标准。</w:t>
            </w: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环境整洁舒适，垃圾日产日清，符合国家病媒生物密度标准，得2分。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厕所清洁卫生，数量满足需要，有洗手设施。</w:t>
            </w: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厕所清洁卫生，数量满足需要，有洗手设施，得2分。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积极推进清洁取暖改造。</w:t>
            </w: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使用清洁化能源取暖，得1分。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1</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restart"/>
            <w:tcBorders>
              <w:top w:val="nil"/>
              <w:left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职工食堂</w:t>
            </w: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符合食品安全管理要求。</w:t>
            </w: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符合食品安全管理要求，未发生食品安全事件，得1分。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1</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安装使用油烟净化装置并达标排放，合理设置排烟口。</w:t>
            </w: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安装使用油烟净化装置，设备运转正常，并达标排放，得1分。合理设置排烟口，避免对周边居民生活产生影响，得1分。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膳食合理，避免高盐、高油、高糖。</w:t>
            </w: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餐食多样，得1分。开展健康饮食宣传，食堂员工掌握减盐、减油、减糖知识，使用健康烹饪方法。得1分。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2</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tcBorders>
              <w:top w:val="nil"/>
              <w:left w:val="nil"/>
              <w:bottom w:val="nil"/>
              <w:right w:val="single" w:color="auto" w:sz="4" w:space="0"/>
            </w:tcBorders>
          </w:tcPr>
          <w:p>
            <w:pPr>
              <w:widowControl/>
              <w:jc w:val="left"/>
              <w:rPr>
                <w:rFonts w:eastAsia="仿宋_GB2312"/>
                <w:color w:val="000000"/>
                <w:kern w:val="0"/>
                <w:szCs w:val="21"/>
              </w:rPr>
            </w:pPr>
            <w:r>
              <w:rPr>
                <w:rFonts w:eastAsia="仿宋_GB2312"/>
                <w:color w:val="000000"/>
                <w:kern w:val="0"/>
                <w:szCs w:val="21"/>
              </w:rPr>
              <w:t>人文环境</w:t>
            </w: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给职工提供锻炼环境和健康科普知识，落实工间操制度。</w:t>
            </w: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给职工提供锻炼环境，有活动场所、健身设施，得1分，制定并落实工间操制度，得1分。通过微信公众号、单位网站、宣传栏等多种形式提供健康科普知识，得1分。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3</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tcBorders>
              <w:top w:val="nil"/>
              <w:left w:val="nil"/>
              <w:bottom w:val="nil"/>
              <w:right w:val="single" w:color="auto" w:sz="4" w:space="0"/>
            </w:tcBorders>
          </w:tcPr>
          <w:p>
            <w:pPr>
              <w:widowControl/>
              <w:jc w:val="center"/>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kern w:val="0"/>
                <w:szCs w:val="21"/>
              </w:rPr>
              <w:t>传承普及中医药养生保健知识和方法</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kern w:val="0"/>
                <w:szCs w:val="21"/>
              </w:rPr>
              <w:t>利用多种形式普及中医药养生保健知识和方法，得1分。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1</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422"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tcBorders>
              <w:top w:val="nil"/>
              <w:left w:val="nil"/>
              <w:bottom w:val="nil"/>
              <w:right w:val="single" w:color="auto" w:sz="4" w:space="0"/>
            </w:tcBorders>
          </w:tcPr>
          <w:p>
            <w:pPr>
              <w:widowControl/>
              <w:jc w:val="center"/>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对弱势群体有健康帮扶措施。</w:t>
            </w: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对弱势群体有健康帮扶措施，得1分。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1</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134" w:type="dxa"/>
            <w:tcBorders>
              <w:top w:val="nil"/>
              <w:left w:val="nil"/>
              <w:bottom w:val="nil"/>
              <w:right w:val="single" w:color="auto" w:sz="4" w:space="0"/>
            </w:tcBorders>
          </w:tcPr>
          <w:p>
            <w:pPr>
              <w:widowControl/>
              <w:jc w:val="center"/>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倡导干部职工践行文明健康绿色环保的生活方式，建设节约型机关，引导干部职工积极参与无偿献血、志愿服务等社会公益活动。</w:t>
            </w: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倡导干部职工践行文明健康绿色环保的生活方式，建设节约型机关，得0.5分。引导干部职工积极参与无偿献血、志愿服务等社会公益活动，得0.5分。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1</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restart"/>
            <w:tcBorders>
              <w:top w:val="nil"/>
              <w:left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三、健康服务（40分）</w:t>
            </w:r>
          </w:p>
        </w:tc>
        <w:tc>
          <w:tcPr>
            <w:tcW w:w="1134" w:type="dxa"/>
            <w:vMerge w:val="restart"/>
            <w:tcBorders>
              <w:top w:val="single" w:color="auto" w:sz="4" w:space="0"/>
              <w:left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场所服务</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有条件的机构设置卫生室或医务室，配备专/兼职的卫生技术人员，配置必需的医疗用品和急救药物。不具备医务室条件的机构，安排专人接受急救和疾病预防知识培训。</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设置卫生室或医务室，有专/兼职的卫生技术人员，有必需的医疗用品和急救药物，得10分。没有卫生室或医务室的机构，有专人接受急救和疾病预防知识培训，得10分。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10</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rPr>
          <w:trHeight w:val="20" w:hRule="atLeast"/>
        </w:trPr>
        <w:tc>
          <w:tcPr>
            <w:tcW w:w="1134" w:type="dxa"/>
            <w:vMerge w:val="continue"/>
            <w:tcBorders>
              <w:left w:val="single" w:color="auto" w:sz="4" w:space="0"/>
              <w:right w:val="single" w:color="auto" w:sz="4" w:space="0"/>
            </w:tcBorders>
            <w:vAlign w:val="center"/>
          </w:tcPr>
          <w:p>
            <w:pPr>
              <w:widowControl/>
              <w:jc w:val="center"/>
              <w:rPr>
                <w:rFonts w:eastAsia="仿宋_GB2312"/>
                <w:color w:val="000000"/>
                <w:kern w:val="0"/>
                <w:szCs w:val="21"/>
              </w:rPr>
            </w:pPr>
          </w:p>
        </w:tc>
        <w:tc>
          <w:tcPr>
            <w:tcW w:w="1134" w:type="dxa"/>
            <w:vMerge w:val="continue"/>
            <w:tcBorders>
              <w:left w:val="single" w:color="auto" w:sz="4" w:space="0"/>
              <w:bottom w:val="single" w:color="auto" w:sz="4" w:space="0"/>
              <w:right w:val="single" w:color="auto" w:sz="4" w:space="0"/>
            </w:tcBorders>
          </w:tcPr>
          <w:p>
            <w:pPr>
              <w:widowControl/>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推进健康小屋建设，提供科普材料，提供健康服务</w:t>
            </w:r>
          </w:p>
        </w:tc>
        <w:tc>
          <w:tcPr>
            <w:tcW w:w="453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color w:val="000000"/>
                <w:kern w:val="0"/>
                <w:szCs w:val="21"/>
              </w:rPr>
              <w:t>有健康</w:t>
            </w:r>
            <w:r>
              <w:rPr>
                <w:rFonts w:eastAsia="仿宋_GB2312"/>
                <w:kern w:val="0"/>
                <w:szCs w:val="21"/>
              </w:rPr>
              <w:t>小屋标识，独立空间，得2分。摆放限盐勺，限油罐、腰围尺、BMI转盘等健康支持性工具，得1分。提供健康科普材料，内容包</w:t>
            </w:r>
            <w:r>
              <w:rPr>
                <w:rFonts w:eastAsia="仿宋_GB2312"/>
                <w:color w:val="000000"/>
                <w:kern w:val="0"/>
                <w:szCs w:val="21"/>
              </w:rPr>
              <w:t>括健康生活方式、慢性非传染性疾病防控、传染性疾病防控、安全急救等，得2分。提供免费测量血压、体重等服务，得2分。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7</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eastAsia="仿宋_GB2312"/>
                <w:color w:val="000000"/>
                <w:kern w:val="0"/>
                <w:szCs w:val="21"/>
              </w:rPr>
            </w:pPr>
            <w:r>
              <w:rPr>
                <w:rFonts w:eastAsia="仿宋_GB2312"/>
                <w:kern w:val="0"/>
                <w:szCs w:val="21"/>
              </w:rPr>
              <w:t>妇幼服务</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根据需要，建立女职工卫生室、孕妇休息室、哺乳室；提供福利性婴幼儿照护服务。</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建立女职工卫生室、孕妇休息室、哺乳室，得2分。</w:t>
            </w:r>
          </w:p>
          <w:p>
            <w:pPr>
              <w:widowControl/>
              <w:jc w:val="left"/>
              <w:rPr>
                <w:rFonts w:eastAsia="仿宋_GB2312"/>
                <w:color w:val="000000"/>
                <w:kern w:val="0"/>
                <w:szCs w:val="21"/>
              </w:rPr>
            </w:pPr>
            <w:r>
              <w:rPr>
                <w:rFonts w:eastAsia="仿宋_GB2312"/>
                <w:color w:val="000000"/>
                <w:kern w:val="0"/>
                <w:szCs w:val="21"/>
              </w:rPr>
              <w:t>提供福利性婴幼儿照护服务，得2分。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4</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体检服务</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kern w:val="0"/>
                <w:szCs w:val="21"/>
              </w:rPr>
              <w:t>建立体检制度，定期组织职工体检，分析职工主要健康问题及其危险因素，根据体检结果制定健康管理计划。</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每年组织一次健康体检，得5分，每两年组织一次健康体检，得3分。根据体检结果，制定有针对性的健康管理计划或措施，得5分。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10</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应急服务</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制订聚集性疫情、群体性食物中毒、火灾等突发事件应急预案，排查风险点，储备疫情防控物资。</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制订聚集性疫情、群体性食物中毒、火灾等突发事件应急预案，每制定一条得0.5分，累计不超过3分。</w:t>
            </w:r>
          </w:p>
          <w:p>
            <w:pPr>
              <w:widowControl/>
              <w:jc w:val="left"/>
              <w:rPr>
                <w:rFonts w:eastAsia="仿宋_GB2312"/>
                <w:color w:val="000000"/>
                <w:kern w:val="0"/>
                <w:szCs w:val="21"/>
              </w:rPr>
            </w:pPr>
            <w:r>
              <w:rPr>
                <w:rFonts w:eastAsia="仿宋_GB2312"/>
                <w:color w:val="000000"/>
                <w:kern w:val="0"/>
                <w:szCs w:val="21"/>
              </w:rPr>
              <w:t>储备疫情防控物资，得2分。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5</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心理服务</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鼓励设立心理健康辅导室，为职工提供心理评估、心理咨询、宣传教育、自我调适技能培训等服务。</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设立心理健康辅导室，配备相应心理辅导工具，得1分，有专兼职心理咨询师，得1分。为职工提供心理评估、心理咨询、宣传教育、自我调适技能培训等服务，得2分。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4</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restart"/>
            <w:tcBorders>
              <w:top w:val="nil"/>
              <w:left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四、健康活动（20分）</w:t>
            </w:r>
          </w:p>
        </w:tc>
        <w:tc>
          <w:tcPr>
            <w:tcW w:w="1134" w:type="dxa"/>
            <w:vMerge w:val="restart"/>
            <w:tcBorders>
              <w:top w:val="nil"/>
              <w:left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主题活动</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定期组织职工开展跑步、爬山、球类、游泳等活动，提高职工身体素质。</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每开展一项集体文体活动，得2分，最高6分。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6</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每年开展4次以上健康讲座，讲座主题包括：科学就医、合理用药、传染病预防、安全急救；合理膳食、适量运动、戒烟限酒、心理平衡；母婴保健、科学育儿、健康老龄等。</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每开展一次健康讲座，得2分，最高8分。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8</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每年举办2次以健康为主题的集体活动，如健康知识竞赛、健康演讲比赛、戒烟竞赛等。</w:t>
            </w: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每开展一次以健康为主题的集体活动得3分，最高6分。</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r>
              <w:rPr>
                <w:rFonts w:eastAsia="仿宋_GB2312"/>
                <w:color w:val="000000"/>
                <w:kern w:val="0"/>
                <w:szCs w:val="21"/>
              </w:rPr>
              <w:t>6</w:t>
            </w:r>
          </w:p>
        </w:tc>
        <w:tc>
          <w:tcPr>
            <w:tcW w:w="737"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438"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合计</w:t>
            </w:r>
          </w:p>
        </w:tc>
        <w:tc>
          <w:tcPr>
            <w:tcW w:w="1134" w:type="dxa"/>
            <w:tcBorders>
              <w:top w:val="nil"/>
              <w:left w:val="nil"/>
              <w:bottom w:val="single" w:color="auto" w:sz="4" w:space="0"/>
              <w:right w:val="single" w:color="auto" w:sz="4" w:space="0"/>
            </w:tcBorders>
            <w:vAlign w:val="bottom"/>
          </w:tcPr>
          <w:p>
            <w:pPr>
              <w:widowControl/>
              <w:jc w:val="left"/>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4535" w:type="dxa"/>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737" w:type="dxa"/>
            <w:tcBorders>
              <w:top w:val="nil"/>
              <w:left w:val="nil"/>
              <w:bottom w:val="single" w:color="auto" w:sz="4" w:space="0"/>
              <w:right w:val="single" w:color="auto" w:sz="4" w:space="0"/>
            </w:tcBorders>
            <w:vAlign w:val="bottom"/>
          </w:tcPr>
          <w:p>
            <w:pPr>
              <w:widowControl/>
              <w:rPr>
                <w:rFonts w:eastAsia="仿宋_GB2312"/>
                <w:color w:val="000000"/>
                <w:kern w:val="0"/>
                <w:szCs w:val="21"/>
              </w:rPr>
            </w:pPr>
            <w:r>
              <w:rPr>
                <w:rFonts w:eastAsia="仿宋_GB2312"/>
                <w:color w:val="000000"/>
                <w:kern w:val="0"/>
                <w:szCs w:val="21"/>
              </w:rPr>
              <w:t>100</w:t>
            </w:r>
          </w:p>
        </w:tc>
        <w:tc>
          <w:tcPr>
            <w:tcW w:w="737" w:type="dxa"/>
            <w:tcBorders>
              <w:top w:val="nil"/>
              <w:left w:val="nil"/>
              <w:bottom w:val="single" w:color="auto" w:sz="4" w:space="0"/>
              <w:right w:val="single" w:color="auto" w:sz="4" w:space="0"/>
            </w:tcBorders>
            <w:vAlign w:val="bottom"/>
          </w:tcPr>
          <w:p>
            <w:pPr>
              <w:widowControl/>
              <w:jc w:val="center"/>
              <w:rPr>
                <w:rFonts w:eastAsia="仿宋_GB2312"/>
                <w:color w:val="000000"/>
                <w:kern w:val="0"/>
                <w:szCs w:val="21"/>
              </w:rPr>
            </w:pPr>
          </w:p>
        </w:tc>
        <w:tc>
          <w:tcPr>
            <w:tcW w:w="1134" w:type="dxa"/>
            <w:tcBorders>
              <w:top w:val="nil"/>
              <w:left w:val="nil"/>
              <w:bottom w:val="single" w:color="auto" w:sz="4" w:space="0"/>
              <w:right w:val="single" w:color="auto" w:sz="4" w:space="0"/>
            </w:tcBorders>
          </w:tcPr>
          <w:p>
            <w:pPr>
              <w:widowControl/>
              <w:jc w:val="center"/>
              <w:rPr>
                <w:rFonts w:eastAsia="仿宋_GB2312"/>
                <w:color w:val="000000"/>
                <w:kern w:val="0"/>
                <w:szCs w:val="21"/>
              </w:rPr>
            </w:pPr>
          </w:p>
        </w:tc>
      </w:tr>
    </w:tbl>
    <w:p>
      <w:pPr>
        <w:rPr>
          <w:rFonts w:eastAsia="仿宋_GB2312"/>
          <w:color w:val="000000"/>
          <w:kern w:val="0"/>
          <w:szCs w:val="21"/>
        </w:rPr>
      </w:pPr>
    </w:p>
    <w:p>
      <w:pPr>
        <w:rPr>
          <w:rFonts w:eastAsia="仿宋_GB2312"/>
          <w:color w:val="000000"/>
          <w:kern w:val="0"/>
          <w:szCs w:val="21"/>
        </w:rPr>
      </w:pPr>
      <w:r>
        <w:rPr>
          <w:rFonts w:eastAsia="仿宋_GB2312"/>
          <w:color w:val="000000"/>
          <w:kern w:val="0"/>
          <w:szCs w:val="21"/>
        </w:rPr>
        <w:t>说明：评估细则采取百分制，现场评估达到70分及以上，认为达到健康机关标准。</w:t>
      </w:r>
    </w:p>
    <w:p>
      <w:pPr>
        <w:spacing w:line="420" w:lineRule="atLeast"/>
        <w:jc w:val="left"/>
        <w:rPr>
          <w:rFonts w:eastAsia="仿宋_GB2312" w:cs="宋体"/>
          <w:kern w:val="0"/>
        </w:rPr>
        <w:sectPr>
          <w:pgSz w:w="16838" w:h="11906" w:orient="landscape"/>
          <w:pgMar w:top="1588" w:right="1701" w:bottom="1418" w:left="1531" w:header="851" w:footer="851" w:gutter="0"/>
          <w:cols w:space="720" w:num="1"/>
          <w:docGrid w:type="lines" w:linePitch="312" w:charSpace="0"/>
        </w:sectPr>
      </w:pPr>
    </w:p>
    <w:p>
      <w:pPr>
        <w:spacing w:line="420" w:lineRule="atLeast"/>
        <w:jc w:val="left"/>
        <w:rPr>
          <w:rFonts w:eastAsia="仿宋_GB2312" w:cs="宋体"/>
          <w:kern w:val="0"/>
          <w:sz w:val="24"/>
          <w:szCs w:val="32"/>
        </w:rPr>
      </w:pPr>
      <w:r>
        <w:rPr>
          <w:rFonts w:hint="eastAsia" w:eastAsia="仿宋_GB2312" w:cs="宋体"/>
          <w:kern w:val="0"/>
          <w:sz w:val="32"/>
          <w:szCs w:val="32"/>
        </w:rPr>
        <w:t>附件7</w:t>
      </w:r>
    </w:p>
    <w:p>
      <w:pPr>
        <w:spacing w:line="560" w:lineRule="atLeast"/>
        <w:jc w:val="center"/>
        <w:rPr>
          <w:rFonts w:eastAsia="仿宋_GB2312" w:cs="宋体"/>
          <w:kern w:val="0"/>
          <w:sz w:val="44"/>
          <w:szCs w:val="44"/>
        </w:rPr>
      </w:pPr>
    </w:p>
    <w:p>
      <w:pPr>
        <w:spacing w:line="560" w:lineRule="atLeast"/>
        <w:jc w:val="center"/>
        <w:rPr>
          <w:rFonts w:eastAsia="仿宋_GB2312" w:cs="宋体"/>
          <w:kern w:val="0"/>
          <w:sz w:val="44"/>
          <w:szCs w:val="44"/>
        </w:rPr>
      </w:pPr>
      <w:r>
        <w:rPr>
          <w:rFonts w:hint="eastAsia" w:eastAsia="仿宋_GB2312" w:cs="宋体"/>
          <w:kern w:val="0"/>
          <w:sz w:val="44"/>
          <w:szCs w:val="44"/>
        </w:rPr>
        <w:t>健康企业评价标准（试行）</w:t>
      </w:r>
    </w:p>
    <w:p>
      <w:pPr>
        <w:spacing w:line="560" w:lineRule="atLeast"/>
        <w:jc w:val="center"/>
        <w:rPr>
          <w:rFonts w:eastAsia="仿宋_GB2312" w:cs="宋体"/>
          <w:kern w:val="0"/>
          <w:sz w:val="44"/>
          <w:szCs w:val="44"/>
        </w:rPr>
      </w:pPr>
    </w:p>
    <w:p>
      <w:pPr>
        <w:spacing w:line="520" w:lineRule="exact"/>
        <w:ind w:firstLine="560"/>
        <w:jc w:val="left"/>
        <w:rPr>
          <w:rFonts w:eastAsia="仿宋_GB2312" w:cs="宋体"/>
          <w:kern w:val="0"/>
          <w:sz w:val="24"/>
          <w:szCs w:val="32"/>
        </w:rPr>
      </w:pPr>
      <w:r>
        <w:rPr>
          <w:rFonts w:hint="eastAsia" w:eastAsia="仿宋_GB2312" w:cs="宋体"/>
          <w:kern w:val="0"/>
          <w:sz w:val="32"/>
          <w:szCs w:val="32"/>
        </w:rPr>
        <w:t>本标准所指企业特指以体力劳动为主的工矿企业，以脑力劳动为主的企业可参考健康机关标准。无烟环境是健康企业的前提条件。</w:t>
      </w:r>
    </w:p>
    <w:p>
      <w:pPr>
        <w:spacing w:line="520" w:lineRule="exact"/>
        <w:ind w:firstLine="640"/>
        <w:jc w:val="left"/>
        <w:rPr>
          <w:rFonts w:eastAsia="仿宋_GB2312" w:cs="宋体"/>
          <w:kern w:val="0"/>
          <w:sz w:val="27"/>
          <w:szCs w:val="27"/>
        </w:rPr>
      </w:pPr>
      <w:r>
        <w:rPr>
          <w:rFonts w:hint="eastAsia" w:eastAsia="仿宋_GB2312" w:cs="宋体"/>
          <w:kern w:val="0"/>
          <w:sz w:val="32"/>
          <w:szCs w:val="32"/>
        </w:rPr>
        <w:t>1.企业公开承诺开展健康企业建设，倡导全体员工积极参与。</w:t>
      </w:r>
    </w:p>
    <w:p>
      <w:pPr>
        <w:spacing w:line="520" w:lineRule="exact"/>
        <w:ind w:firstLine="640"/>
        <w:jc w:val="left"/>
        <w:rPr>
          <w:rFonts w:eastAsia="仿宋_GB2312" w:cs="宋体"/>
          <w:kern w:val="0"/>
          <w:sz w:val="27"/>
          <w:szCs w:val="27"/>
        </w:rPr>
      </w:pPr>
      <w:r>
        <w:rPr>
          <w:rFonts w:hint="eastAsia" w:eastAsia="仿宋_GB2312" w:cs="宋体"/>
          <w:kern w:val="0"/>
          <w:sz w:val="32"/>
          <w:szCs w:val="32"/>
        </w:rPr>
        <w:t>2.将健康企业建设纳入企业发展规划，制定促进员工健康的规章制度和相关措施。</w:t>
      </w:r>
    </w:p>
    <w:p>
      <w:pPr>
        <w:spacing w:line="520" w:lineRule="exact"/>
        <w:ind w:firstLine="640"/>
        <w:jc w:val="left"/>
        <w:rPr>
          <w:rFonts w:eastAsia="仿宋_GB2312" w:cs="宋体"/>
          <w:kern w:val="0"/>
          <w:sz w:val="27"/>
          <w:szCs w:val="27"/>
        </w:rPr>
      </w:pPr>
      <w:r>
        <w:rPr>
          <w:rFonts w:hint="eastAsia" w:eastAsia="仿宋_GB2312" w:cs="宋体"/>
          <w:kern w:val="0"/>
          <w:sz w:val="32"/>
          <w:szCs w:val="32"/>
        </w:rPr>
        <w:t>3.成立主要负责同志参加的健康企业领导小组，明确职责分工。</w:t>
      </w:r>
    </w:p>
    <w:p>
      <w:pPr>
        <w:spacing w:line="520" w:lineRule="exact"/>
        <w:ind w:firstLine="640"/>
        <w:jc w:val="left"/>
        <w:rPr>
          <w:rFonts w:eastAsia="仿宋_GB2312" w:cs="宋体"/>
          <w:kern w:val="0"/>
          <w:sz w:val="27"/>
          <w:szCs w:val="27"/>
        </w:rPr>
      </w:pPr>
      <w:r>
        <w:rPr>
          <w:rFonts w:hint="eastAsia" w:eastAsia="仿宋_GB2312" w:cs="宋体"/>
          <w:kern w:val="0"/>
          <w:sz w:val="32"/>
          <w:szCs w:val="32"/>
        </w:rPr>
        <w:t>4.有专人负责健康相关工作，有健康企业的工作计划和总结，健康活动有记录。</w:t>
      </w:r>
    </w:p>
    <w:p>
      <w:pPr>
        <w:spacing w:line="520" w:lineRule="exact"/>
        <w:ind w:firstLine="640"/>
        <w:jc w:val="left"/>
        <w:rPr>
          <w:rFonts w:eastAsia="仿宋_GB2312" w:cs="宋体"/>
          <w:kern w:val="0"/>
          <w:sz w:val="27"/>
          <w:szCs w:val="27"/>
        </w:rPr>
      </w:pPr>
      <w:r>
        <w:rPr>
          <w:rFonts w:hint="eastAsia" w:eastAsia="仿宋_GB2312" w:cs="宋体"/>
          <w:kern w:val="0"/>
          <w:sz w:val="32"/>
          <w:szCs w:val="32"/>
        </w:rPr>
        <w:t>5.建设无烟环境，食堂膳食结构合理，厕所清洁卫生，洗手设施完善。</w:t>
      </w:r>
    </w:p>
    <w:p>
      <w:pPr>
        <w:spacing w:line="520" w:lineRule="exact"/>
        <w:ind w:firstLine="640"/>
        <w:jc w:val="left"/>
        <w:rPr>
          <w:rFonts w:eastAsia="仿宋_GB2312" w:cs="宋体"/>
          <w:kern w:val="0"/>
          <w:sz w:val="27"/>
          <w:szCs w:val="27"/>
        </w:rPr>
      </w:pPr>
      <w:r>
        <w:rPr>
          <w:rFonts w:hint="eastAsia" w:eastAsia="仿宋_GB2312" w:cs="宋体"/>
          <w:kern w:val="0"/>
          <w:sz w:val="32"/>
          <w:szCs w:val="32"/>
        </w:rPr>
        <w:t>6.给</w:t>
      </w:r>
      <w:r>
        <w:rPr>
          <w:rFonts w:hint="eastAsia" w:eastAsia="仿宋_GB2312" w:cs="宋体"/>
          <w:spacing w:val="-8"/>
          <w:kern w:val="0"/>
          <w:sz w:val="32"/>
          <w:szCs w:val="32"/>
        </w:rPr>
        <w:t>职工提供锻炼和阅读环境，营造促进健康的社会人文环境。</w:t>
      </w:r>
    </w:p>
    <w:p>
      <w:pPr>
        <w:spacing w:line="520" w:lineRule="exact"/>
        <w:ind w:firstLine="640"/>
        <w:jc w:val="left"/>
        <w:rPr>
          <w:rFonts w:eastAsia="仿宋_GB2312" w:cs="宋体"/>
          <w:kern w:val="0"/>
          <w:sz w:val="27"/>
          <w:szCs w:val="27"/>
        </w:rPr>
      </w:pPr>
      <w:r>
        <w:rPr>
          <w:rFonts w:hint="eastAsia" w:eastAsia="仿宋_GB2312" w:cs="宋体"/>
          <w:kern w:val="0"/>
          <w:sz w:val="32"/>
          <w:szCs w:val="32"/>
        </w:rPr>
        <w:t>7.配备急救医疗用品和药物，定期组织职工体检。</w:t>
      </w:r>
    </w:p>
    <w:p>
      <w:pPr>
        <w:spacing w:line="520" w:lineRule="exact"/>
        <w:ind w:firstLine="640"/>
        <w:jc w:val="left"/>
        <w:rPr>
          <w:rFonts w:eastAsia="仿宋_GB2312" w:cs="宋体"/>
          <w:kern w:val="0"/>
          <w:sz w:val="27"/>
          <w:szCs w:val="27"/>
        </w:rPr>
      </w:pPr>
      <w:r>
        <w:rPr>
          <w:rFonts w:hint="eastAsia" w:eastAsia="仿宋_GB2312" w:cs="宋体"/>
          <w:kern w:val="0"/>
          <w:sz w:val="32"/>
          <w:szCs w:val="32"/>
        </w:rPr>
        <w:t>8.开展职业安全和职业防护健康教育，提高职工预防职业病、意外伤害的能力。</w:t>
      </w:r>
    </w:p>
    <w:p>
      <w:pPr>
        <w:spacing w:line="520" w:lineRule="exact"/>
        <w:ind w:firstLine="640"/>
        <w:jc w:val="left"/>
        <w:rPr>
          <w:rFonts w:eastAsia="仿宋_GB2312" w:cs="宋体"/>
          <w:kern w:val="0"/>
          <w:sz w:val="27"/>
          <w:szCs w:val="27"/>
        </w:rPr>
      </w:pPr>
      <w:r>
        <w:rPr>
          <w:rFonts w:hint="eastAsia" w:eastAsia="仿宋_GB2312" w:cs="宋体"/>
          <w:kern w:val="0"/>
          <w:sz w:val="32"/>
          <w:szCs w:val="32"/>
        </w:rPr>
        <w:t>9.定期组织职工开展跑步、爬山、球类、游泳等体育活动，开展多种形式的健康主题活动，职工积极参与。</w:t>
      </w:r>
    </w:p>
    <w:p>
      <w:pPr>
        <w:spacing w:line="520" w:lineRule="exact"/>
        <w:ind w:firstLine="640"/>
        <w:jc w:val="left"/>
        <w:rPr>
          <w:rFonts w:eastAsia="仿宋_GB2312" w:cs="宋体"/>
          <w:kern w:val="0"/>
          <w:sz w:val="27"/>
          <w:szCs w:val="27"/>
        </w:rPr>
      </w:pPr>
      <w:r>
        <w:rPr>
          <w:rFonts w:hint="eastAsia" w:eastAsia="仿宋_GB2312" w:cs="宋体"/>
          <w:kern w:val="0"/>
          <w:sz w:val="32"/>
          <w:szCs w:val="32"/>
        </w:rPr>
        <w:t>10.提高职工健康素养，提高职业防护知识和技能，吸烟率有所下降。</w:t>
      </w:r>
    </w:p>
    <w:p>
      <w:pPr>
        <w:spacing w:line="311" w:lineRule="atLeast"/>
        <w:jc w:val="center"/>
        <w:rPr>
          <w:rFonts w:eastAsia="仿宋_GB2312" w:cs="宋体"/>
          <w:kern w:val="0"/>
          <w:sz w:val="40"/>
          <w:szCs w:val="40"/>
        </w:rPr>
      </w:pPr>
    </w:p>
    <w:p>
      <w:pPr>
        <w:spacing w:line="311" w:lineRule="atLeast"/>
        <w:jc w:val="center"/>
        <w:rPr>
          <w:rFonts w:eastAsia="仿宋_GB2312" w:cs="宋体"/>
          <w:kern w:val="0"/>
          <w:sz w:val="40"/>
          <w:szCs w:val="40"/>
        </w:rPr>
      </w:pPr>
    </w:p>
    <w:p>
      <w:pPr>
        <w:widowControl/>
        <w:jc w:val="center"/>
        <w:rPr>
          <w:rFonts w:eastAsia="仿宋_GB2312"/>
          <w:sz w:val="36"/>
          <w:szCs w:val="36"/>
        </w:rPr>
      </w:pPr>
      <w:r>
        <w:rPr>
          <w:rFonts w:eastAsia="仿宋_GB2312"/>
          <w:sz w:val="36"/>
          <w:szCs w:val="36"/>
        </w:rPr>
        <w:t>健康企业评估细则（2023版）</w:t>
      </w:r>
    </w:p>
    <w:p>
      <w:pPr>
        <w:widowControl/>
        <w:jc w:val="left"/>
        <w:rPr>
          <w:rFonts w:eastAsia="仿宋_GB2312"/>
          <w:szCs w:val="21"/>
          <w:u w:val="single"/>
        </w:rPr>
      </w:pPr>
      <w:r>
        <w:rPr>
          <w:rFonts w:eastAsia="仿宋_GB2312"/>
          <w:sz w:val="22"/>
          <w:szCs w:val="22"/>
        </w:rPr>
        <w:t xml:space="preserve"> </w:t>
      </w:r>
      <w:r>
        <w:rPr>
          <w:rFonts w:eastAsia="仿宋_GB2312"/>
          <w:szCs w:val="21"/>
        </w:rPr>
        <w:t>省份：</w:t>
      </w:r>
      <w:r>
        <w:rPr>
          <w:rFonts w:eastAsia="仿宋_GB2312"/>
          <w:szCs w:val="21"/>
          <w:u w:val="single"/>
        </w:rPr>
        <w:t xml:space="preserve">              </w:t>
      </w:r>
      <w:r>
        <w:rPr>
          <w:rFonts w:eastAsia="仿宋_GB2312"/>
          <w:szCs w:val="21"/>
        </w:rPr>
        <w:t xml:space="preserve">  市级：</w:t>
      </w:r>
      <w:r>
        <w:rPr>
          <w:rFonts w:eastAsia="仿宋_GB2312"/>
          <w:szCs w:val="21"/>
          <w:u w:val="single"/>
        </w:rPr>
        <w:t xml:space="preserve">               </w:t>
      </w:r>
      <w:r>
        <w:rPr>
          <w:rFonts w:eastAsia="仿宋_GB2312"/>
          <w:szCs w:val="21"/>
        </w:rPr>
        <w:t xml:space="preserve">   县（区）： </w:t>
      </w:r>
      <w:r>
        <w:rPr>
          <w:rFonts w:eastAsia="仿宋_GB2312"/>
          <w:szCs w:val="21"/>
          <w:u w:val="single"/>
        </w:rPr>
        <w:t xml:space="preserve">               </w:t>
      </w:r>
      <w:r>
        <w:rPr>
          <w:rFonts w:eastAsia="仿宋_GB2312"/>
          <w:szCs w:val="21"/>
        </w:rPr>
        <w:t xml:space="preserve">   企业：</w:t>
      </w:r>
      <w:r>
        <w:rPr>
          <w:rFonts w:eastAsia="仿宋_GB2312"/>
          <w:szCs w:val="21"/>
          <w:u w:val="single"/>
        </w:rPr>
        <w:t xml:space="preserve">               </w:t>
      </w:r>
      <w:r>
        <w:rPr>
          <w:rFonts w:eastAsia="仿宋_GB2312"/>
          <w:szCs w:val="21"/>
        </w:rPr>
        <w:t xml:space="preserve">   时间：</w:t>
      </w:r>
      <w:r>
        <w:rPr>
          <w:rFonts w:eastAsia="仿宋_GB2312"/>
          <w:szCs w:val="21"/>
          <w:u w:val="single"/>
        </w:rPr>
        <w:t xml:space="preserve">                   </w:t>
      </w:r>
      <w:r>
        <w:rPr>
          <w:rFonts w:eastAsia="仿宋_GB2312"/>
          <w:b/>
          <w:szCs w:val="21"/>
          <w:u w:val="single"/>
        </w:rPr>
        <w:t xml:space="preserve"> </w:t>
      </w:r>
      <w:r>
        <w:rPr>
          <w:rFonts w:eastAsia="仿宋_GB2312"/>
          <w:b/>
          <w:sz w:val="22"/>
          <w:szCs w:val="22"/>
        </w:rPr>
        <w:t xml:space="preserve"> </w:t>
      </w:r>
    </w:p>
    <w:tbl>
      <w:tblPr>
        <w:tblStyle w:val="4"/>
        <w:tblW w:w="5000" w:type="pct"/>
        <w:tblInd w:w="0" w:type="dxa"/>
        <w:tblLayout w:type="autofit"/>
        <w:tblCellMar>
          <w:top w:w="0" w:type="dxa"/>
          <w:left w:w="108" w:type="dxa"/>
          <w:bottom w:w="0" w:type="dxa"/>
          <w:right w:w="108" w:type="dxa"/>
        </w:tblCellMar>
      </w:tblPr>
      <w:tblGrid>
        <w:gridCol w:w="739"/>
        <w:gridCol w:w="731"/>
        <w:gridCol w:w="2955"/>
        <w:gridCol w:w="2955"/>
        <w:gridCol w:w="531"/>
        <w:gridCol w:w="473"/>
        <w:gridCol w:w="732"/>
      </w:tblGrid>
      <w:tr>
        <w:tblPrEx>
          <w:tblCellMar>
            <w:top w:w="0" w:type="dxa"/>
            <w:left w:w="108" w:type="dxa"/>
            <w:bottom w:w="0" w:type="dxa"/>
            <w:right w:w="108" w:type="dxa"/>
          </w:tblCellMar>
        </w:tblPrEx>
        <w:trPr>
          <w:trHeight w:val="20" w:hRule="atLeast"/>
          <w:tblHeader/>
        </w:trPr>
        <w:tc>
          <w:tcPr>
            <w:tcW w:w="410" w:type="pc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仿宋_GB2312"/>
                <w:b/>
                <w:bCs/>
                <w:color w:val="000000"/>
                <w:kern w:val="0"/>
                <w:szCs w:val="21"/>
              </w:rPr>
            </w:pPr>
            <w:r>
              <w:rPr>
                <w:rFonts w:eastAsia="仿宋_GB2312"/>
                <w:b/>
                <w:bCs/>
                <w:color w:val="000000"/>
                <w:kern w:val="0"/>
                <w:szCs w:val="21"/>
              </w:rPr>
              <w:t>一级指标</w:t>
            </w:r>
          </w:p>
        </w:tc>
        <w:tc>
          <w:tcPr>
            <w:tcW w:w="406"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eastAsia="仿宋_GB2312"/>
                <w:b/>
                <w:bCs/>
                <w:color w:val="000000"/>
                <w:kern w:val="0"/>
                <w:szCs w:val="21"/>
              </w:rPr>
            </w:pPr>
            <w:r>
              <w:rPr>
                <w:rFonts w:eastAsia="仿宋_GB2312"/>
                <w:b/>
                <w:bCs/>
                <w:color w:val="000000"/>
                <w:kern w:val="0"/>
                <w:szCs w:val="21"/>
              </w:rPr>
              <w:t>二级指标</w:t>
            </w:r>
          </w:p>
        </w:tc>
        <w:tc>
          <w:tcPr>
            <w:tcW w:w="1625"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eastAsia="仿宋_GB2312"/>
                <w:b/>
                <w:bCs/>
                <w:color w:val="000000"/>
                <w:kern w:val="0"/>
                <w:szCs w:val="21"/>
              </w:rPr>
            </w:pPr>
            <w:r>
              <w:rPr>
                <w:rFonts w:eastAsia="仿宋_GB2312"/>
                <w:b/>
                <w:bCs/>
                <w:color w:val="000000"/>
                <w:kern w:val="0"/>
                <w:szCs w:val="21"/>
              </w:rPr>
              <w:t>指标解释</w:t>
            </w:r>
          </w:p>
        </w:tc>
        <w:tc>
          <w:tcPr>
            <w:tcW w:w="1625"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eastAsia="仿宋_GB2312"/>
                <w:b/>
                <w:bCs/>
                <w:color w:val="000000"/>
                <w:kern w:val="0"/>
                <w:szCs w:val="21"/>
              </w:rPr>
            </w:pPr>
            <w:r>
              <w:rPr>
                <w:rFonts w:eastAsia="仿宋_GB2312"/>
                <w:b/>
                <w:bCs/>
                <w:color w:val="000000"/>
                <w:kern w:val="0"/>
                <w:szCs w:val="21"/>
              </w:rPr>
              <w:t>评分标准</w:t>
            </w:r>
          </w:p>
        </w:tc>
        <w:tc>
          <w:tcPr>
            <w:tcW w:w="264"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eastAsia="仿宋_GB2312"/>
                <w:b/>
                <w:bCs/>
                <w:color w:val="000000"/>
                <w:kern w:val="0"/>
                <w:szCs w:val="21"/>
              </w:rPr>
            </w:pPr>
            <w:r>
              <w:rPr>
                <w:rFonts w:eastAsia="仿宋_GB2312"/>
                <w:b/>
                <w:bCs/>
                <w:color w:val="000000"/>
                <w:kern w:val="0"/>
                <w:szCs w:val="21"/>
              </w:rPr>
              <w:t>分值</w:t>
            </w:r>
          </w:p>
        </w:tc>
        <w:tc>
          <w:tcPr>
            <w:tcW w:w="264"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eastAsia="仿宋_GB2312"/>
                <w:b/>
                <w:bCs/>
                <w:color w:val="000000"/>
                <w:kern w:val="0"/>
                <w:szCs w:val="21"/>
              </w:rPr>
            </w:pPr>
            <w:r>
              <w:rPr>
                <w:rFonts w:eastAsia="仿宋_GB2312"/>
                <w:b/>
                <w:bCs/>
                <w:color w:val="000000"/>
                <w:kern w:val="0"/>
                <w:szCs w:val="21"/>
              </w:rPr>
              <w:t>得分</w:t>
            </w:r>
          </w:p>
        </w:tc>
        <w:tc>
          <w:tcPr>
            <w:tcW w:w="406" w:type="pct"/>
            <w:tcBorders>
              <w:top w:val="single" w:color="auto" w:sz="4" w:space="0"/>
              <w:left w:val="nil"/>
              <w:bottom w:val="single" w:color="auto" w:sz="4" w:space="0"/>
              <w:right w:val="single" w:color="auto" w:sz="4" w:space="0"/>
            </w:tcBorders>
            <w:vAlign w:val="center"/>
          </w:tcPr>
          <w:p>
            <w:pPr>
              <w:widowControl/>
              <w:spacing w:line="440" w:lineRule="exact"/>
              <w:jc w:val="center"/>
              <w:rPr>
                <w:rFonts w:eastAsia="仿宋_GB2312"/>
                <w:b/>
                <w:bCs/>
                <w:color w:val="000000"/>
                <w:kern w:val="0"/>
                <w:szCs w:val="21"/>
              </w:rPr>
            </w:pPr>
            <w:r>
              <w:rPr>
                <w:rFonts w:eastAsia="仿宋_GB2312"/>
                <w:b/>
                <w:bCs/>
                <w:color w:val="000000"/>
                <w:kern w:val="0"/>
                <w:szCs w:val="21"/>
              </w:rPr>
              <w:t>扣分原因</w:t>
            </w:r>
          </w:p>
        </w:tc>
      </w:tr>
      <w:tr>
        <w:tblPrEx>
          <w:tblCellMar>
            <w:top w:w="0" w:type="dxa"/>
            <w:left w:w="108" w:type="dxa"/>
            <w:bottom w:w="0" w:type="dxa"/>
            <w:right w:w="108" w:type="dxa"/>
          </w:tblCellMar>
        </w:tblPrEx>
        <w:trPr>
          <w:trHeight w:val="20" w:hRule="atLeast"/>
        </w:trPr>
        <w:tc>
          <w:tcPr>
            <w:tcW w:w="410" w:type="pct"/>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eastAsia="仿宋_GB2312"/>
                <w:color w:val="000000"/>
                <w:kern w:val="0"/>
                <w:szCs w:val="21"/>
                <w:lang w:eastAsia="zh-CN"/>
              </w:rPr>
            </w:pPr>
            <w:r>
              <w:rPr>
                <w:rFonts w:eastAsia="仿宋_GB2312"/>
                <w:color w:val="000000"/>
                <w:kern w:val="0"/>
                <w:szCs w:val="21"/>
              </w:rPr>
              <w:t>一、组织管理</w:t>
            </w:r>
          </w:p>
          <w:p>
            <w:pPr>
              <w:widowControl/>
              <w:spacing w:line="440" w:lineRule="exact"/>
              <w:jc w:val="center"/>
              <w:rPr>
                <w:rFonts w:eastAsia="仿宋_GB2312"/>
                <w:color w:val="000000"/>
                <w:kern w:val="0"/>
                <w:szCs w:val="21"/>
              </w:rPr>
            </w:pPr>
            <w:r>
              <w:rPr>
                <w:rFonts w:eastAsia="仿宋_GB2312"/>
                <w:color w:val="000000"/>
                <w:kern w:val="0"/>
                <w:szCs w:val="21"/>
              </w:rPr>
              <w:t>（20分）</w:t>
            </w:r>
          </w:p>
        </w:tc>
        <w:tc>
          <w:tcPr>
            <w:tcW w:w="406" w:type="pct"/>
            <w:vMerge w:val="restart"/>
            <w:tcBorders>
              <w:top w:val="nil"/>
              <w:left w:val="single" w:color="auto" w:sz="4" w:space="0"/>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承诺倡导</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企业书面承诺建设健康企业。</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企业书面承诺建设健康企业，得3分。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召开全体职工大会，公开倡议全体职工积极参与健康企业建设。</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召开全体职工大会，公开倡议全体职工积极参与健康企业建设，得2分。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restart"/>
            <w:tcBorders>
              <w:top w:val="nil"/>
              <w:left w:val="single" w:color="auto" w:sz="4" w:space="0"/>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协调机制</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成立企业主要负责同志参加的健康企业领导小组，明确职责分工。</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成立企业主要负责同志参加的健康企业领导小组，明确职责分工，得3分。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 xml:space="preserve">每季度召开工作例会，讨论企业主要健康问题并提出具体应对措施。 </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 xml:space="preserve">每季度召开工作例会，讨论企业主要健康问题并提出具体应对措施，得2分。 </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restart"/>
            <w:tcBorders>
              <w:top w:val="nil"/>
              <w:left w:val="single" w:color="auto" w:sz="4" w:space="0"/>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规章制度</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将健康企业建设纳入企业年度工作计划。</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将健康企业建设纳入企业年度工作计划，得2分。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制定促进职工健康的规章制度和相关措施。如职业防护、职业病防治、改善环境卫生、落实公共场所无烟、促进职工采取健康生活方式、预防控制重大疾病和突发公共卫生事件等。</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制定促进职工健康的规章制度和相关措施。每制定一条得1分，累计不超过3分。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restart"/>
            <w:tcBorders>
              <w:top w:val="nil"/>
              <w:left w:val="single" w:color="auto" w:sz="4" w:space="0"/>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组织实施</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专人负责机构内健康相关工作，每年接受一次专业培训。</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专人负责健康企业工作，得1分。每年接受1次健康促进培训，得1分。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2</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制定健康企业工作计划，定期总结，健康相关档案资料齐全。</w:t>
            </w:r>
          </w:p>
        </w:tc>
        <w:tc>
          <w:tcPr>
            <w:tcW w:w="1625" w:type="pct"/>
            <w:tcBorders>
              <w:top w:val="nil"/>
              <w:left w:val="nil"/>
              <w:bottom w:val="single" w:color="auto" w:sz="4" w:space="0"/>
              <w:right w:val="single" w:color="auto" w:sz="4" w:space="0"/>
            </w:tcBorders>
            <w:vAlign w:val="center"/>
          </w:tcPr>
          <w:p>
            <w:pPr>
              <w:widowControl/>
              <w:spacing w:line="440" w:lineRule="exact"/>
              <w:rPr>
                <w:rFonts w:hint="eastAsia" w:eastAsia="仿宋_GB2312"/>
                <w:color w:val="000000"/>
                <w:kern w:val="0"/>
                <w:szCs w:val="21"/>
                <w:lang w:eastAsia="zh-CN"/>
              </w:rPr>
            </w:pPr>
            <w:r>
              <w:rPr>
                <w:rFonts w:eastAsia="仿宋_GB2312"/>
                <w:color w:val="000000"/>
                <w:kern w:val="0"/>
                <w:szCs w:val="21"/>
              </w:rPr>
              <w:t>1.有健康企业工作方案或计划，工作内容明确，措施具体，责任分工合理，得1分。</w:t>
            </w:r>
          </w:p>
          <w:p>
            <w:pPr>
              <w:widowControl/>
              <w:spacing w:line="440" w:lineRule="exact"/>
              <w:rPr>
                <w:rFonts w:hint="eastAsia" w:eastAsia="仿宋_GB2312"/>
                <w:color w:val="000000"/>
                <w:kern w:val="0"/>
                <w:szCs w:val="21"/>
                <w:lang w:eastAsia="zh-CN"/>
              </w:rPr>
            </w:pPr>
            <w:r>
              <w:rPr>
                <w:rFonts w:eastAsia="仿宋_GB2312"/>
                <w:color w:val="000000"/>
                <w:kern w:val="0"/>
                <w:szCs w:val="21"/>
              </w:rPr>
              <w:t>2.健康企业建设活动的文字、图片、实物资料齐全，整理规范，得1分。</w:t>
            </w:r>
          </w:p>
          <w:p>
            <w:pPr>
              <w:widowControl/>
              <w:spacing w:line="440" w:lineRule="exact"/>
              <w:rPr>
                <w:rFonts w:eastAsia="仿宋_GB2312"/>
                <w:color w:val="000000"/>
                <w:kern w:val="0"/>
                <w:szCs w:val="21"/>
              </w:rPr>
            </w:pPr>
            <w:r>
              <w:rPr>
                <w:rFonts w:eastAsia="仿宋_GB2312"/>
                <w:color w:val="000000"/>
                <w:kern w:val="0"/>
                <w:szCs w:val="21"/>
              </w:rPr>
              <w:t>3.有健康企业工作总结，结构合理，内容详实，得1分。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restart"/>
            <w:tcBorders>
              <w:top w:val="nil"/>
              <w:left w:val="single" w:color="auto" w:sz="4" w:space="0"/>
              <w:bottom w:val="single" w:color="000000" w:sz="4" w:space="0"/>
              <w:right w:val="single" w:color="auto" w:sz="4" w:space="0"/>
            </w:tcBorders>
            <w:vAlign w:val="center"/>
          </w:tcPr>
          <w:p>
            <w:pPr>
              <w:widowControl/>
              <w:spacing w:line="440" w:lineRule="exact"/>
              <w:jc w:val="center"/>
              <w:rPr>
                <w:rFonts w:hint="eastAsia" w:eastAsia="仿宋_GB2312"/>
                <w:color w:val="000000"/>
                <w:kern w:val="0"/>
                <w:szCs w:val="21"/>
                <w:lang w:eastAsia="zh-CN"/>
              </w:rPr>
            </w:pPr>
            <w:r>
              <w:rPr>
                <w:rFonts w:eastAsia="仿宋_GB2312"/>
                <w:color w:val="000000"/>
                <w:kern w:val="0"/>
                <w:szCs w:val="21"/>
              </w:rPr>
              <w:t>二、健康环境</w:t>
            </w:r>
          </w:p>
          <w:p>
            <w:pPr>
              <w:widowControl/>
              <w:spacing w:line="440" w:lineRule="exact"/>
              <w:jc w:val="center"/>
              <w:rPr>
                <w:rFonts w:eastAsia="仿宋_GB2312"/>
                <w:color w:val="000000"/>
                <w:kern w:val="0"/>
                <w:szCs w:val="21"/>
              </w:rPr>
            </w:pPr>
            <w:r>
              <w:rPr>
                <w:rFonts w:eastAsia="仿宋_GB2312"/>
                <w:color w:val="000000"/>
                <w:kern w:val="0"/>
                <w:szCs w:val="21"/>
              </w:rPr>
              <w:t>（30分）</w:t>
            </w:r>
          </w:p>
        </w:tc>
        <w:tc>
          <w:tcPr>
            <w:tcW w:w="406" w:type="pct"/>
            <w:vMerge w:val="restart"/>
            <w:tcBorders>
              <w:top w:val="nil"/>
              <w:left w:val="single" w:color="auto" w:sz="4" w:space="0"/>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无烟环境</w:t>
            </w:r>
          </w:p>
        </w:tc>
        <w:tc>
          <w:tcPr>
            <w:tcW w:w="1625" w:type="pct"/>
            <w:tcBorders>
              <w:top w:val="nil"/>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企业所有室内公共场所、工作场所禁止吸烟。</w:t>
            </w:r>
          </w:p>
        </w:tc>
        <w:tc>
          <w:tcPr>
            <w:tcW w:w="1625" w:type="pct"/>
            <w:tcBorders>
              <w:top w:val="nil"/>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企业的办公室、卫生室、所属室外环境没有发现烟头或者吸烟现象，得5分。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5</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企业主要建筑物入口处、电梯、公共厕所、会议室等区域有明显的无烟标识。</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企业主要建筑物入口处、电梯、公共厕所、会议室有禁烟标识和健康提示，得4分。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4</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企业内无烟草广告和促销。</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企业内无烟草广告和促销，得3分。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restart"/>
            <w:tcBorders>
              <w:top w:val="nil"/>
              <w:left w:val="single" w:color="auto" w:sz="4" w:space="0"/>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自然环境</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环境整洁舒适，垃圾日产日清。</w:t>
            </w:r>
          </w:p>
        </w:tc>
        <w:tc>
          <w:tcPr>
            <w:tcW w:w="1625" w:type="pct"/>
            <w:tcBorders>
              <w:top w:val="nil"/>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环境整洁舒适，垃圾日产日清，得3分。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厕所清洁卫生，数量满足需要，有洗手设施。</w:t>
            </w:r>
          </w:p>
        </w:tc>
        <w:tc>
          <w:tcPr>
            <w:tcW w:w="1625" w:type="pct"/>
            <w:tcBorders>
              <w:top w:val="nil"/>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厕所清洁卫生，数量满足需要，有洗手设施得3分。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职工食堂应符合卫生要求，膳食结构合理。</w:t>
            </w:r>
          </w:p>
        </w:tc>
        <w:tc>
          <w:tcPr>
            <w:tcW w:w="1625" w:type="pct"/>
            <w:tcBorders>
              <w:top w:val="nil"/>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职工食堂应符合卫生要求，膳食结构合理，得3分。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3</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人文环境</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给职工提供锻炼和阅读环境，对弱势群体有健康帮扶措施。</w:t>
            </w:r>
          </w:p>
        </w:tc>
        <w:tc>
          <w:tcPr>
            <w:tcW w:w="1625" w:type="pct"/>
            <w:tcBorders>
              <w:top w:val="nil"/>
              <w:left w:val="nil"/>
              <w:bottom w:val="single" w:color="auto" w:sz="4" w:space="0"/>
              <w:right w:val="single" w:color="auto" w:sz="4" w:space="0"/>
            </w:tcBorders>
            <w:vAlign w:val="center"/>
          </w:tcPr>
          <w:p>
            <w:pPr>
              <w:widowControl/>
              <w:spacing w:line="440" w:lineRule="exact"/>
              <w:jc w:val="left"/>
              <w:rPr>
                <w:rFonts w:hint="eastAsia" w:eastAsia="仿宋_GB2312"/>
                <w:color w:val="000000"/>
                <w:kern w:val="0"/>
                <w:szCs w:val="21"/>
                <w:lang w:eastAsia="zh-CN"/>
              </w:rPr>
            </w:pPr>
            <w:r>
              <w:rPr>
                <w:rFonts w:eastAsia="仿宋_GB2312"/>
                <w:color w:val="000000"/>
                <w:kern w:val="0"/>
                <w:szCs w:val="21"/>
              </w:rPr>
              <w:t>给职工提供锻炼环境，得3分。</w:t>
            </w:r>
          </w:p>
          <w:p>
            <w:pPr>
              <w:widowControl/>
              <w:spacing w:line="440" w:lineRule="exact"/>
              <w:jc w:val="left"/>
              <w:rPr>
                <w:rFonts w:hint="eastAsia" w:eastAsia="仿宋_GB2312"/>
                <w:color w:val="000000"/>
                <w:kern w:val="0"/>
                <w:szCs w:val="21"/>
                <w:lang w:eastAsia="zh-CN"/>
              </w:rPr>
            </w:pPr>
            <w:r>
              <w:rPr>
                <w:rFonts w:eastAsia="仿宋_GB2312"/>
                <w:color w:val="000000"/>
                <w:kern w:val="0"/>
                <w:szCs w:val="21"/>
              </w:rPr>
              <w:t>提供阅读环境，得3分。</w:t>
            </w:r>
          </w:p>
          <w:p>
            <w:pPr>
              <w:widowControl/>
              <w:spacing w:line="440" w:lineRule="exact"/>
              <w:jc w:val="left"/>
              <w:rPr>
                <w:rFonts w:eastAsia="仿宋_GB2312"/>
                <w:color w:val="000000"/>
                <w:kern w:val="0"/>
                <w:szCs w:val="21"/>
              </w:rPr>
            </w:pPr>
            <w:r>
              <w:rPr>
                <w:rFonts w:eastAsia="仿宋_GB2312"/>
                <w:color w:val="000000"/>
                <w:kern w:val="0"/>
                <w:szCs w:val="21"/>
              </w:rPr>
              <w:t>对弱势群体有健康帮扶措施.得3分。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9</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eastAsia="仿宋_GB2312"/>
                <w:color w:val="000000"/>
                <w:kern w:val="0"/>
                <w:szCs w:val="21"/>
                <w:lang w:eastAsia="zh-CN"/>
              </w:rPr>
            </w:pPr>
            <w:r>
              <w:rPr>
                <w:rFonts w:eastAsia="仿宋_GB2312"/>
                <w:color w:val="000000"/>
                <w:kern w:val="0"/>
                <w:szCs w:val="21"/>
              </w:rPr>
              <w:t>三、健康活动</w:t>
            </w:r>
          </w:p>
          <w:p>
            <w:pPr>
              <w:widowControl/>
              <w:spacing w:line="440" w:lineRule="exact"/>
              <w:jc w:val="center"/>
              <w:rPr>
                <w:rFonts w:eastAsia="仿宋_GB2312"/>
                <w:color w:val="000000"/>
                <w:kern w:val="0"/>
                <w:szCs w:val="21"/>
              </w:rPr>
            </w:pPr>
            <w:r>
              <w:rPr>
                <w:rFonts w:eastAsia="仿宋_GB2312"/>
                <w:color w:val="000000"/>
                <w:kern w:val="0"/>
                <w:szCs w:val="21"/>
              </w:rPr>
              <w:t>（50分）</w:t>
            </w:r>
          </w:p>
        </w:tc>
        <w:tc>
          <w:tcPr>
            <w:tcW w:w="406" w:type="pct"/>
            <w:vMerge w:val="restart"/>
            <w:tcBorders>
              <w:top w:val="nil"/>
              <w:left w:val="single" w:color="auto" w:sz="4" w:space="0"/>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健康服务</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结合单位特点设置卫生室，配备专/兼职的卫生技术人员及必需的医疗用品和急救药物。</w:t>
            </w:r>
          </w:p>
        </w:tc>
        <w:tc>
          <w:tcPr>
            <w:tcW w:w="1625" w:type="pct"/>
            <w:tcBorders>
              <w:top w:val="nil"/>
              <w:left w:val="nil"/>
              <w:bottom w:val="single" w:color="auto" w:sz="4" w:space="0"/>
              <w:right w:val="single" w:color="auto" w:sz="4" w:space="0"/>
            </w:tcBorders>
            <w:vAlign w:val="center"/>
          </w:tcPr>
          <w:p>
            <w:pPr>
              <w:widowControl/>
              <w:spacing w:line="440" w:lineRule="exact"/>
              <w:rPr>
                <w:rFonts w:hint="eastAsia" w:eastAsia="仿宋_GB2312"/>
                <w:color w:val="000000"/>
                <w:kern w:val="0"/>
                <w:szCs w:val="21"/>
                <w:lang w:eastAsia="zh-CN"/>
              </w:rPr>
            </w:pPr>
            <w:r>
              <w:rPr>
                <w:rFonts w:eastAsia="仿宋_GB2312"/>
                <w:color w:val="000000"/>
                <w:kern w:val="0"/>
                <w:szCs w:val="21"/>
              </w:rPr>
              <w:t>设置卫生室或医务室，有专/兼职的卫生技术人员，有必需的医疗用品和急救药物，得4分。</w:t>
            </w:r>
          </w:p>
          <w:p>
            <w:pPr>
              <w:widowControl/>
              <w:spacing w:line="440" w:lineRule="exact"/>
              <w:rPr>
                <w:rFonts w:eastAsia="仿宋_GB2312"/>
                <w:color w:val="000000"/>
                <w:kern w:val="0"/>
                <w:szCs w:val="21"/>
              </w:rPr>
            </w:pPr>
            <w:r>
              <w:rPr>
                <w:rFonts w:eastAsia="仿宋_GB2312"/>
                <w:color w:val="000000"/>
                <w:kern w:val="0"/>
                <w:szCs w:val="21"/>
              </w:rPr>
              <w:t>没有卫生室或医务室的机构，有专人接受急救和疾病预防知识培训，得4分。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8</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定期组织职工体检。</w:t>
            </w:r>
          </w:p>
        </w:tc>
        <w:tc>
          <w:tcPr>
            <w:tcW w:w="1625" w:type="pct"/>
            <w:tcBorders>
              <w:top w:val="nil"/>
              <w:left w:val="nil"/>
              <w:bottom w:val="single" w:color="auto" w:sz="4" w:space="0"/>
              <w:right w:val="single" w:color="auto" w:sz="4" w:space="0"/>
            </w:tcBorders>
            <w:vAlign w:val="center"/>
          </w:tcPr>
          <w:p>
            <w:pPr>
              <w:widowControl/>
              <w:spacing w:line="440" w:lineRule="exact"/>
              <w:jc w:val="left"/>
              <w:rPr>
                <w:rFonts w:hint="eastAsia" w:eastAsia="仿宋_GB2312"/>
                <w:color w:val="000000"/>
                <w:kern w:val="0"/>
                <w:szCs w:val="21"/>
                <w:lang w:eastAsia="zh-CN"/>
              </w:rPr>
            </w:pPr>
            <w:r>
              <w:rPr>
                <w:rFonts w:eastAsia="仿宋_GB2312"/>
                <w:color w:val="000000"/>
                <w:kern w:val="0"/>
                <w:szCs w:val="21"/>
              </w:rPr>
              <w:t>每年组织一次健康体检，得4分，每两年组织一次健康体检，得3分。</w:t>
            </w:r>
          </w:p>
          <w:p>
            <w:pPr>
              <w:widowControl/>
              <w:spacing w:line="440" w:lineRule="exact"/>
              <w:jc w:val="left"/>
              <w:rPr>
                <w:rFonts w:eastAsia="仿宋_GB2312"/>
                <w:color w:val="000000"/>
                <w:kern w:val="0"/>
                <w:szCs w:val="21"/>
              </w:rPr>
            </w:pPr>
            <w:r>
              <w:rPr>
                <w:rFonts w:eastAsia="仿宋_GB2312"/>
                <w:color w:val="000000"/>
                <w:kern w:val="0"/>
                <w:szCs w:val="21"/>
              </w:rPr>
              <w:t>根据体检结果，制定有针对性的健康管理计划或措施，得4分。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8</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restart"/>
            <w:tcBorders>
              <w:top w:val="nil"/>
              <w:left w:val="single" w:color="auto" w:sz="4" w:space="0"/>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职业安全</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每年开展4次以上以职业安全和职业防护为主题的专题讲座。</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每开展1次得2.5分，最高10分。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10</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每年举办2次以职业防护为主题的集体活动，如职业防护技能比赛、急救自救演示等。</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每举办一次以职业防护为主题的集体活动，得4分，最高8分。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8</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restart"/>
            <w:tcBorders>
              <w:top w:val="nil"/>
              <w:left w:val="single" w:color="auto" w:sz="4" w:space="0"/>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主题活动</w:t>
            </w: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每年开展4次以上健康讲座，可包括以下内容：科学就医、合理用药、传染病预防，合理膳食、戒烟限酒、心理平衡、母婴保健等。</w:t>
            </w:r>
          </w:p>
        </w:tc>
        <w:tc>
          <w:tcPr>
            <w:tcW w:w="1625" w:type="pct"/>
            <w:tcBorders>
              <w:top w:val="nil"/>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每开展一次职业安全以外的健康讲座得2.5分，最高8分。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8</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406" w:type="pct"/>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p>
        </w:tc>
        <w:tc>
          <w:tcPr>
            <w:tcW w:w="1625" w:type="pct"/>
            <w:tcBorders>
              <w:top w:val="nil"/>
              <w:left w:val="nil"/>
              <w:bottom w:val="single" w:color="auto" w:sz="4" w:space="0"/>
              <w:right w:val="single" w:color="auto" w:sz="4" w:space="0"/>
            </w:tcBorders>
            <w:vAlign w:val="center"/>
          </w:tcPr>
          <w:p>
            <w:pPr>
              <w:widowControl/>
              <w:spacing w:line="440" w:lineRule="exact"/>
              <w:rPr>
                <w:rFonts w:eastAsia="仿宋_GB2312"/>
                <w:color w:val="000000"/>
                <w:kern w:val="0"/>
                <w:szCs w:val="21"/>
              </w:rPr>
            </w:pPr>
            <w:r>
              <w:rPr>
                <w:rFonts w:eastAsia="仿宋_GB2312"/>
                <w:color w:val="000000"/>
                <w:kern w:val="0"/>
                <w:szCs w:val="21"/>
              </w:rPr>
              <w:t>定期组织职工开展球类、游泳、棋类等文体活动，促进职工身心愉悦。</w:t>
            </w:r>
          </w:p>
        </w:tc>
        <w:tc>
          <w:tcPr>
            <w:tcW w:w="1625" w:type="pct"/>
            <w:tcBorders>
              <w:top w:val="nil"/>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每开展一项集体文体活动，得4分，最高8分。</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8</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20" w:hRule="atLeast"/>
        </w:trPr>
        <w:tc>
          <w:tcPr>
            <w:tcW w:w="410"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合计</w:t>
            </w:r>
          </w:p>
        </w:tc>
        <w:tc>
          <w:tcPr>
            <w:tcW w:w="406" w:type="pct"/>
            <w:tcBorders>
              <w:top w:val="nil"/>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　</w:t>
            </w:r>
          </w:p>
        </w:tc>
        <w:tc>
          <w:tcPr>
            <w:tcW w:w="1625" w:type="pct"/>
            <w:tcBorders>
              <w:top w:val="nil"/>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　</w:t>
            </w:r>
          </w:p>
        </w:tc>
        <w:tc>
          <w:tcPr>
            <w:tcW w:w="1625" w:type="pct"/>
            <w:tcBorders>
              <w:top w:val="nil"/>
              <w:left w:val="nil"/>
              <w:bottom w:val="single" w:color="auto" w:sz="4" w:space="0"/>
              <w:right w:val="single" w:color="auto" w:sz="4" w:space="0"/>
            </w:tcBorders>
            <w:vAlign w:val="center"/>
          </w:tcPr>
          <w:p>
            <w:pPr>
              <w:widowControl/>
              <w:spacing w:line="440" w:lineRule="exact"/>
              <w:jc w:val="left"/>
              <w:rPr>
                <w:rFonts w:eastAsia="仿宋_GB2312"/>
                <w:color w:val="000000"/>
                <w:kern w:val="0"/>
                <w:szCs w:val="21"/>
              </w:rPr>
            </w:pPr>
            <w:r>
              <w:rPr>
                <w:rFonts w:eastAsia="仿宋_GB2312"/>
                <w:color w:val="000000"/>
                <w:kern w:val="0"/>
                <w:szCs w:val="21"/>
              </w:rPr>
              <w:t>　</w:t>
            </w:r>
          </w:p>
        </w:tc>
        <w:tc>
          <w:tcPr>
            <w:tcW w:w="264" w:type="pct"/>
            <w:tcBorders>
              <w:top w:val="nil"/>
              <w:left w:val="nil"/>
              <w:bottom w:val="single" w:color="auto" w:sz="4" w:space="0"/>
              <w:right w:val="single" w:color="auto" w:sz="4" w:space="0"/>
            </w:tcBorders>
            <w:vAlign w:val="center"/>
          </w:tcPr>
          <w:p>
            <w:pPr>
              <w:widowControl/>
              <w:spacing w:line="440" w:lineRule="exact"/>
              <w:jc w:val="center"/>
              <w:rPr>
                <w:rFonts w:eastAsia="仿宋_GB2312"/>
                <w:color w:val="000000"/>
                <w:kern w:val="0"/>
                <w:szCs w:val="21"/>
              </w:rPr>
            </w:pPr>
            <w:r>
              <w:rPr>
                <w:rFonts w:eastAsia="仿宋_GB2312"/>
                <w:color w:val="000000"/>
                <w:kern w:val="0"/>
                <w:szCs w:val="21"/>
              </w:rPr>
              <w:t>100</w:t>
            </w:r>
          </w:p>
        </w:tc>
        <w:tc>
          <w:tcPr>
            <w:tcW w:w="264"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c>
          <w:tcPr>
            <w:tcW w:w="406" w:type="pct"/>
            <w:tcBorders>
              <w:top w:val="nil"/>
              <w:left w:val="nil"/>
              <w:bottom w:val="single" w:color="auto" w:sz="4" w:space="0"/>
              <w:right w:val="single" w:color="auto" w:sz="4" w:space="0"/>
            </w:tcBorders>
          </w:tcPr>
          <w:p>
            <w:pPr>
              <w:widowControl/>
              <w:spacing w:line="440" w:lineRule="exact"/>
              <w:jc w:val="center"/>
              <w:rPr>
                <w:rFonts w:eastAsia="仿宋_GB2312"/>
                <w:color w:val="000000"/>
                <w:kern w:val="0"/>
                <w:szCs w:val="21"/>
              </w:rPr>
            </w:pPr>
          </w:p>
        </w:tc>
      </w:tr>
    </w:tbl>
    <w:p>
      <w:pPr>
        <w:rPr>
          <w:rFonts w:eastAsia="仿宋_GB2312" w:cs="宋体"/>
          <w:kern w:val="0"/>
          <w:sz w:val="32"/>
          <w:szCs w:val="32"/>
        </w:rPr>
      </w:pPr>
      <w:r>
        <w:rPr>
          <w:rFonts w:eastAsia="仿宋_GB2312"/>
          <w:color w:val="000000"/>
          <w:kern w:val="0"/>
          <w:szCs w:val="21"/>
        </w:rPr>
        <w:t>说明：评估细则采取百分制，现场评估达到70分及以上，认为达到健康企业标准。</w:t>
      </w:r>
    </w:p>
    <w:p>
      <w:pPr>
        <w:spacing w:line="580" w:lineRule="atLeast"/>
        <w:jc w:val="left"/>
        <w:rPr>
          <w:rFonts w:eastAsia="仿宋_GB2312" w:cs="宋体"/>
          <w:kern w:val="0"/>
          <w:sz w:val="32"/>
          <w:szCs w:val="32"/>
        </w:rPr>
      </w:pPr>
    </w:p>
    <w:p>
      <w:pPr>
        <w:spacing w:line="580" w:lineRule="atLeast"/>
        <w:jc w:val="left"/>
        <w:rPr>
          <w:rFonts w:eastAsia="仿宋_GB2312" w:cs="宋体"/>
          <w:kern w:val="0"/>
          <w:sz w:val="32"/>
          <w:szCs w:val="32"/>
        </w:rPr>
      </w:pPr>
    </w:p>
    <w:p>
      <w:pPr>
        <w:spacing w:line="580" w:lineRule="atLeast"/>
        <w:jc w:val="left"/>
        <w:rPr>
          <w:rFonts w:eastAsia="仿宋_GB2312" w:cs="宋体"/>
          <w:kern w:val="0"/>
          <w:sz w:val="24"/>
          <w:szCs w:val="32"/>
        </w:rPr>
      </w:pPr>
      <w:r>
        <w:rPr>
          <w:rFonts w:hint="eastAsia" w:eastAsia="仿宋_GB2312" w:cs="宋体"/>
          <w:kern w:val="0"/>
          <w:sz w:val="32"/>
          <w:szCs w:val="32"/>
        </w:rPr>
        <w:t>附件8</w:t>
      </w:r>
    </w:p>
    <w:p>
      <w:pPr>
        <w:spacing w:line="580" w:lineRule="atLeast"/>
        <w:jc w:val="center"/>
        <w:rPr>
          <w:rFonts w:eastAsia="仿宋_GB2312" w:cs="宋体"/>
          <w:kern w:val="0"/>
          <w:sz w:val="44"/>
          <w:szCs w:val="44"/>
        </w:rPr>
      </w:pPr>
    </w:p>
    <w:p>
      <w:pPr>
        <w:spacing w:line="580" w:lineRule="atLeast"/>
        <w:jc w:val="center"/>
        <w:rPr>
          <w:rFonts w:eastAsia="仿宋_GB2312" w:cs="宋体"/>
          <w:kern w:val="0"/>
          <w:sz w:val="44"/>
          <w:szCs w:val="44"/>
        </w:rPr>
      </w:pPr>
      <w:r>
        <w:rPr>
          <w:rFonts w:hint="eastAsia" w:eastAsia="仿宋_GB2312" w:cs="宋体"/>
          <w:kern w:val="0"/>
          <w:sz w:val="44"/>
          <w:szCs w:val="44"/>
        </w:rPr>
        <w:t>健康促进医院基本要求（试行）</w:t>
      </w:r>
    </w:p>
    <w:p>
      <w:pPr>
        <w:spacing w:line="580" w:lineRule="atLeast"/>
        <w:jc w:val="center"/>
        <w:rPr>
          <w:rFonts w:eastAsia="仿宋_GB2312" w:cs="宋体"/>
          <w:kern w:val="0"/>
          <w:sz w:val="44"/>
          <w:szCs w:val="44"/>
        </w:rPr>
      </w:pP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一、基本要求</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（一）符合无烟卫生计生机构标准,成为无烟医院，未达标者不能成为健康促进医院。</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（二）承诺持续(不少于两年)开展健康促进医院创建工作。</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（三）成立由院领导牵头负责的健康促进医院工作领导小组，明确责任部门，指定至少1名健康促进专职人员组织与协调院内外的健康促进活动。</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（四）每年制订年度工作计划，明确工作目标与实施方案。</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（五）根据工作计划，常年开展健康教育与健康促进活动。 </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（六）每年进行1次工作自评，提出改进建议并加以落实，并将自评结果上报当地健康教育专业机构。</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（七）记录、整理、提交将健康促进融入医院管理政策、改进医疗服务模式、健康促进干预效果及患者满意度方面的有效证据与典型经验、工作方法与模式。 </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二、工作领域</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健康促进医院是将健康促进理念、策略在医院组织发展及医疗服务过程之中的实际应用。按照世界卫生组织《渥太华宪章》，健康促进医院主要包括以下5个工作领域：</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（一）制定健康政策。医院需建立以患者和健康为中心的管理</w:t>
      </w:r>
      <w:r>
        <w:rPr>
          <w:rFonts w:hint="eastAsia" w:eastAsia="仿宋_GB2312" w:cs="宋体"/>
          <w:spacing w:val="-6"/>
          <w:kern w:val="0"/>
          <w:sz w:val="32"/>
          <w:szCs w:val="32"/>
        </w:rPr>
        <w:t>政策，将健康促进理念融入医院的机构发展规划和各项规章制度。</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（二）创造支持性环境。医院需创建有益于员工、患者及家属的健康与安全的工作与诊疗环境。</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（三）强化社区行动。医院需要动员与联合院内外有关部门与机构共同促进患者及社区居民的健康。</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（四）发展个人技能。医院需通过开展健康教育提升患者、家</w:t>
      </w:r>
      <w:r>
        <w:rPr>
          <w:rFonts w:hint="eastAsia" w:eastAsia="仿宋_GB2312" w:cs="宋体"/>
          <w:spacing w:val="-6"/>
          <w:kern w:val="0"/>
          <w:sz w:val="32"/>
          <w:szCs w:val="32"/>
        </w:rPr>
        <w:t>属及员工的个人健康技能、健康决策能力和自我健康管理水平。</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（五）调整医疗卫生服务方向。医院需建立以患者为中心、以预防为主、以健康为导向的医疗服务系统。</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三、工作任务</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一）将健康促进融入医院管理政策。医院将健康教育与健康促进融入医院的发展战略、服务理念、规章制度、工作流程、操作标准、绩效考核内容，制定与完善有益于为患者、患者家属、社区居民以及医护人员自身提供健康促进服务的规章制度。</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（二）建立与完善健康促进组织管理体系。医院应成立健康促进领导小组，配备专职健康促进工作人员，建立与完善院内外开展健康教育服务的组织网络，制定健康促进工作计划，落实健康促进工作经费与设施。</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（三）开展员工能力建设培训与动员。医院定期开展健康促进医院工作的组织动员及医护人员健康教育技能培训，提高员工开展健康促进工作的积极性与技能水平。</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（四）建设安全、和谐、健康的诊疗环境。</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1.物质环境。建设安全、适宜的诊疗和就医环境，建筑、设备与设施、卫生、食品和饮水、垃圾分类与无害化处理等符合国家标准。</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2.人文与宣传环境。宣传、倡导与履行文明、礼貌、温馨、关爱的医疗行为规范，营造良好的医患关系；在院内环境和候诊区域，利用橱窗、内部电视/视频、宣传手册、电子显示屏和网络等形式，在不影响正常诊疗秩序、患者就医和住院治疗的情况下，开展健康保健和疾病防治知识传播。</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（五）提高患者、家属和社区居民及医护人员健康促进的知识与技能。</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1.院内患者健康教育。在患者接诊、入院、出院、随访等诊疗过程中，结合患者所患疾病，通过评估与咨询，提供个性化的、易于理解的、适宜的疾病影响因素与健康指导信息，向患者及家属传授疾病预防、治疗、康复、保健和健康生活方式知识和技能，并确保病人出院后健康促进服务能延伸到社区其他机构或组织。</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2.社区健康促进与合作。医院定期组织向社会开放的健康课堂和专题健康讲座；通过大众传媒对公众开展健康知识和技能传播；积极开展与社区其他机构的合作，拓展健康促进活动。</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3.医护人员健康促进。医院定期组织由医护人员参加的自我保</w:t>
      </w:r>
      <w:r>
        <w:rPr>
          <w:rFonts w:hint="eastAsia" w:eastAsia="仿宋_GB2312" w:cs="宋体"/>
          <w:spacing w:val="-6"/>
          <w:kern w:val="0"/>
          <w:sz w:val="32"/>
          <w:szCs w:val="32"/>
        </w:rPr>
        <w:t>健、生活方式倡导、心理调适和健康管理等方面的健康促进活动。</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（六）特色健康教育与健康促进活动。医院根据自身专业优势、工作特点、现代新媒体技术，针对孕产妇、儿童、老年人、流动人口、企业员工等特定人群开展创新型或特色的健康促进与健康管理服务。</w:t>
      </w:r>
    </w:p>
    <w:p>
      <w:pPr>
        <w:spacing w:line="600" w:lineRule="exact"/>
        <w:ind w:firstLine="640" w:firstLineChars="200"/>
        <w:jc w:val="left"/>
        <w:rPr>
          <w:rFonts w:eastAsia="仿宋_GB2312" w:cs="宋体"/>
          <w:kern w:val="0"/>
          <w:sz w:val="32"/>
          <w:szCs w:val="32"/>
        </w:rPr>
      </w:pPr>
      <w:r>
        <w:rPr>
          <w:rFonts w:hint="eastAsia" w:eastAsia="仿宋_GB2312" w:cs="宋体"/>
          <w:kern w:val="0"/>
          <w:sz w:val="32"/>
          <w:szCs w:val="32"/>
        </w:rPr>
        <w:t>（七）无烟医院建设。按照无烟卫生计生机构标准和评分标准，严格执行无烟医院规章制度，医院室内场所全面无烟，建立首诊询问吸烟史制度，开展面向病人、家属及医务人员的控烟与劝阻、戒烟教育及戒烟服务；医务人员应掌握并提供简短戒烟服务，带头不吸烟，做控烟表率。</w:t>
      </w: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rPr>
          <w:rFonts w:eastAsia="仿宋_GB2312" w:cs="宋体"/>
          <w:kern w:val="0"/>
          <w:sz w:val="32"/>
          <w:szCs w:val="32"/>
        </w:rPr>
      </w:pPr>
    </w:p>
    <w:p>
      <w:pPr>
        <w:widowControl/>
        <w:jc w:val="center"/>
        <w:rPr>
          <w:rFonts w:eastAsia="仿宋_GB2312"/>
          <w:sz w:val="36"/>
          <w:szCs w:val="36"/>
        </w:rPr>
      </w:pPr>
      <w:r>
        <w:rPr>
          <w:rFonts w:eastAsia="仿宋_GB2312"/>
          <w:sz w:val="36"/>
          <w:szCs w:val="36"/>
        </w:rPr>
        <w:t>健康促进医院评估细则（2023版）</w:t>
      </w:r>
    </w:p>
    <w:p>
      <w:pPr>
        <w:widowControl/>
        <w:jc w:val="left"/>
        <w:rPr>
          <w:rFonts w:eastAsia="仿宋_GB2312"/>
          <w:szCs w:val="21"/>
          <w:u w:val="single"/>
        </w:rPr>
      </w:pPr>
      <w:r>
        <w:rPr>
          <w:rFonts w:eastAsia="仿宋_GB2312"/>
          <w:sz w:val="22"/>
          <w:szCs w:val="22"/>
        </w:rPr>
        <w:t xml:space="preserve"> </w:t>
      </w:r>
      <w:r>
        <w:rPr>
          <w:rFonts w:eastAsia="仿宋_GB2312"/>
          <w:szCs w:val="21"/>
        </w:rPr>
        <w:t>省份：</w:t>
      </w:r>
      <w:r>
        <w:rPr>
          <w:rFonts w:eastAsia="仿宋_GB2312"/>
          <w:szCs w:val="21"/>
          <w:u w:val="single"/>
        </w:rPr>
        <w:t xml:space="preserve">              </w:t>
      </w:r>
      <w:r>
        <w:rPr>
          <w:rFonts w:eastAsia="仿宋_GB2312"/>
          <w:szCs w:val="21"/>
        </w:rPr>
        <w:t xml:space="preserve">  市级：</w:t>
      </w:r>
      <w:r>
        <w:rPr>
          <w:rFonts w:eastAsia="仿宋_GB2312"/>
          <w:szCs w:val="21"/>
          <w:u w:val="single"/>
        </w:rPr>
        <w:t xml:space="preserve">               </w:t>
      </w:r>
      <w:r>
        <w:rPr>
          <w:rFonts w:eastAsia="仿宋_GB2312"/>
          <w:szCs w:val="21"/>
        </w:rPr>
        <w:t xml:space="preserve">   县（区）： </w:t>
      </w:r>
      <w:r>
        <w:rPr>
          <w:rFonts w:eastAsia="仿宋_GB2312"/>
          <w:szCs w:val="21"/>
          <w:u w:val="single"/>
        </w:rPr>
        <w:t xml:space="preserve">               </w:t>
      </w:r>
      <w:r>
        <w:rPr>
          <w:rFonts w:eastAsia="仿宋_GB2312"/>
          <w:szCs w:val="21"/>
        </w:rPr>
        <w:t xml:space="preserve">   医院：</w:t>
      </w:r>
      <w:r>
        <w:rPr>
          <w:rFonts w:eastAsia="仿宋_GB2312"/>
          <w:szCs w:val="21"/>
          <w:u w:val="single"/>
        </w:rPr>
        <w:t xml:space="preserve">               </w:t>
      </w:r>
      <w:r>
        <w:rPr>
          <w:rFonts w:eastAsia="仿宋_GB2312"/>
          <w:szCs w:val="21"/>
        </w:rPr>
        <w:t xml:space="preserve">   时间：</w:t>
      </w:r>
      <w:r>
        <w:rPr>
          <w:rFonts w:eastAsia="仿宋_GB2312"/>
          <w:szCs w:val="21"/>
          <w:u w:val="single"/>
        </w:rPr>
        <w:t xml:space="preserve">                   </w:t>
      </w:r>
      <w:r>
        <w:rPr>
          <w:rFonts w:eastAsia="仿宋_GB2312"/>
          <w:b/>
          <w:szCs w:val="21"/>
          <w:u w:val="single"/>
        </w:rPr>
        <w:t xml:space="preserve"> </w:t>
      </w:r>
      <w:r>
        <w:rPr>
          <w:rFonts w:eastAsia="仿宋_GB2312"/>
          <w:b/>
          <w:bCs/>
          <w:sz w:val="22"/>
          <w:szCs w:val="22"/>
          <w:u w:val="single"/>
        </w:rPr>
        <w:t xml:space="preserve"> </w:t>
      </w:r>
    </w:p>
    <w:tbl>
      <w:tblPr>
        <w:tblStyle w:val="4"/>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38"/>
        <w:gridCol w:w="2952"/>
        <w:gridCol w:w="2952"/>
        <w:gridCol w:w="531"/>
        <w:gridCol w:w="475"/>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09"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bCs/>
                <w:color w:val="000000"/>
                <w:kern w:val="0"/>
                <w:szCs w:val="21"/>
              </w:rPr>
            </w:pPr>
            <w:bookmarkStart w:id="1" w:name="_Hlk6783058"/>
            <w:r>
              <w:rPr>
                <w:rFonts w:eastAsia="仿宋_GB2312"/>
                <w:b/>
                <w:bCs/>
                <w:color w:val="000000"/>
                <w:kern w:val="0"/>
                <w:szCs w:val="21"/>
              </w:rPr>
              <w:t>一级指标</w:t>
            </w:r>
            <w:bookmarkEnd w:id="1"/>
          </w:p>
        </w:tc>
        <w:tc>
          <w:tcPr>
            <w:tcW w:w="409" w:type="pct"/>
            <w:tcBorders>
              <w:top w:val="single" w:color="auto" w:sz="4" w:space="0"/>
              <w:left w:val="nil"/>
              <w:bottom w:val="single" w:color="auto" w:sz="4" w:space="0"/>
              <w:right w:val="single" w:color="auto" w:sz="4" w:space="0"/>
            </w:tcBorders>
            <w:vAlign w:val="center"/>
          </w:tcPr>
          <w:p>
            <w:pPr>
              <w:widowControl/>
              <w:jc w:val="center"/>
              <w:rPr>
                <w:rFonts w:eastAsia="仿宋_GB2312"/>
                <w:b/>
                <w:bCs/>
                <w:color w:val="000000"/>
                <w:kern w:val="0"/>
                <w:szCs w:val="21"/>
              </w:rPr>
            </w:pPr>
            <w:r>
              <w:rPr>
                <w:rFonts w:eastAsia="仿宋_GB2312"/>
                <w:b/>
                <w:bCs/>
                <w:color w:val="000000"/>
                <w:kern w:val="0"/>
                <w:szCs w:val="21"/>
              </w:rPr>
              <w:t>二级指标</w:t>
            </w:r>
          </w:p>
        </w:tc>
        <w:tc>
          <w:tcPr>
            <w:tcW w:w="1623" w:type="pct"/>
            <w:tcBorders>
              <w:top w:val="single" w:color="auto" w:sz="4" w:space="0"/>
              <w:left w:val="nil"/>
              <w:bottom w:val="single" w:color="auto" w:sz="4" w:space="0"/>
              <w:right w:val="single" w:color="auto" w:sz="4" w:space="0"/>
            </w:tcBorders>
            <w:vAlign w:val="center"/>
          </w:tcPr>
          <w:p>
            <w:pPr>
              <w:widowControl/>
              <w:jc w:val="center"/>
              <w:rPr>
                <w:rFonts w:eastAsia="仿宋_GB2312"/>
                <w:b/>
                <w:bCs/>
                <w:color w:val="000000"/>
                <w:kern w:val="0"/>
                <w:szCs w:val="21"/>
              </w:rPr>
            </w:pPr>
            <w:r>
              <w:rPr>
                <w:rFonts w:eastAsia="仿宋_GB2312"/>
                <w:b/>
                <w:bCs/>
                <w:color w:val="000000"/>
                <w:kern w:val="0"/>
                <w:szCs w:val="21"/>
              </w:rPr>
              <w:t>指标解释</w:t>
            </w:r>
          </w:p>
        </w:tc>
        <w:tc>
          <w:tcPr>
            <w:tcW w:w="1623" w:type="pct"/>
            <w:tcBorders>
              <w:top w:val="single" w:color="auto" w:sz="4" w:space="0"/>
              <w:left w:val="nil"/>
              <w:bottom w:val="single" w:color="auto" w:sz="4" w:space="0"/>
              <w:right w:val="single" w:color="auto" w:sz="4" w:space="0"/>
            </w:tcBorders>
            <w:vAlign w:val="center"/>
          </w:tcPr>
          <w:p>
            <w:pPr>
              <w:widowControl/>
              <w:jc w:val="center"/>
              <w:rPr>
                <w:rFonts w:eastAsia="仿宋_GB2312"/>
                <w:b/>
                <w:bCs/>
                <w:color w:val="000000"/>
                <w:kern w:val="0"/>
                <w:szCs w:val="21"/>
              </w:rPr>
            </w:pPr>
            <w:r>
              <w:rPr>
                <w:rFonts w:eastAsia="仿宋_GB2312"/>
                <w:b/>
                <w:bCs/>
                <w:color w:val="000000"/>
                <w:kern w:val="0"/>
                <w:szCs w:val="21"/>
              </w:rPr>
              <w:t>评分标准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b/>
                <w:bCs/>
                <w:color w:val="000000"/>
                <w:kern w:val="0"/>
                <w:szCs w:val="21"/>
              </w:rPr>
            </w:pPr>
            <w:r>
              <w:rPr>
                <w:rFonts w:eastAsia="仿宋_GB2312"/>
                <w:b/>
                <w:bCs/>
                <w:color w:val="000000"/>
                <w:kern w:val="0"/>
                <w:szCs w:val="21"/>
              </w:rPr>
              <w:t>分值</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b/>
                <w:bCs/>
                <w:color w:val="000000"/>
                <w:kern w:val="0"/>
                <w:szCs w:val="21"/>
              </w:rPr>
            </w:pPr>
            <w:r>
              <w:rPr>
                <w:rFonts w:eastAsia="仿宋_GB2312"/>
                <w:b/>
                <w:bCs/>
                <w:color w:val="000000"/>
                <w:kern w:val="0"/>
                <w:szCs w:val="21"/>
              </w:rPr>
              <w:t>得分</w:t>
            </w: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b/>
                <w:bCs/>
                <w:color w:val="000000"/>
                <w:kern w:val="0"/>
                <w:szCs w:val="21"/>
              </w:rPr>
            </w:pPr>
            <w:r>
              <w:rPr>
                <w:rFonts w:eastAsia="仿宋_GB2312"/>
                <w:b/>
                <w:bCs/>
                <w:color w:val="000000"/>
                <w:kern w:val="0"/>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restart"/>
            <w:tcBorders>
              <w:top w:val="nil"/>
              <w:left w:val="single" w:color="auto" w:sz="4" w:space="0"/>
              <w:bottom w:val="single" w:color="auto" w:sz="4" w:space="0"/>
              <w:right w:val="single" w:color="auto" w:sz="4" w:space="0"/>
            </w:tcBorders>
            <w:vAlign w:val="center"/>
          </w:tcPr>
          <w:p>
            <w:pPr>
              <w:widowControl/>
              <w:jc w:val="left"/>
              <w:rPr>
                <w:rFonts w:hint="eastAsia" w:eastAsia="仿宋_GB2312"/>
                <w:color w:val="000000"/>
                <w:kern w:val="0"/>
                <w:szCs w:val="21"/>
                <w:lang w:eastAsia="zh-CN"/>
              </w:rPr>
            </w:pPr>
            <w:r>
              <w:rPr>
                <w:rFonts w:eastAsia="仿宋_GB2312"/>
                <w:color w:val="000000"/>
                <w:kern w:val="0"/>
                <w:szCs w:val="21"/>
              </w:rPr>
              <w:t>一、组织管理</w:t>
            </w:r>
          </w:p>
          <w:p>
            <w:pPr>
              <w:widowControl/>
              <w:jc w:val="left"/>
              <w:rPr>
                <w:rFonts w:eastAsia="仿宋_GB2312"/>
                <w:color w:val="000000"/>
                <w:kern w:val="0"/>
                <w:szCs w:val="21"/>
              </w:rPr>
            </w:pPr>
            <w:r>
              <w:rPr>
                <w:rFonts w:eastAsia="仿宋_GB2312"/>
                <w:color w:val="000000"/>
                <w:kern w:val="0"/>
                <w:szCs w:val="21"/>
              </w:rPr>
              <w:t>（15分）</w:t>
            </w:r>
          </w:p>
        </w:tc>
        <w:tc>
          <w:tcPr>
            <w:tcW w:w="409" w:type="pct"/>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协调机制</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成立健康促进医院领导小组，职责分工明确。</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成立院长或分管院长牵头的领导小组，得1分。职责分工明确得1分。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restart"/>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制度建设</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将建设健康促进医院纳入医院发展规划。</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纳入发展规划得1分，纳入医院其它要求得0.5分。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将开展健康教育工作纳入医护人员绩效考核，将考核结果与岗位聘用、职称晋升、绩效分配、评奖评优等结合。</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纳入医护绩效考核得1分。考核结果应用到岗位聘用、职称晋升、绩效分配、评奖评优等，每一项得0.5分，最高得2分。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3</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restart"/>
            <w:tcBorders>
              <w:top w:val="nil"/>
              <w:left w:val="nil"/>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组织实施</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每年制定健康促进医院工作年度计划。包括医院健康促进资源和健康问题评估、工作目标、任务分工、时间进度等。</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有年度工作计划，得1分。</w:t>
            </w:r>
          </w:p>
          <w:p>
            <w:pPr>
              <w:widowControl/>
              <w:rPr>
                <w:rFonts w:eastAsia="仿宋_GB2312"/>
                <w:color w:val="000000"/>
                <w:kern w:val="0"/>
                <w:szCs w:val="21"/>
              </w:rPr>
            </w:pPr>
            <w:r>
              <w:rPr>
                <w:rFonts w:eastAsia="仿宋_GB2312"/>
                <w:color w:val="000000"/>
                <w:kern w:val="0"/>
                <w:szCs w:val="21"/>
              </w:rPr>
              <w:t>年度计划有重点工作领域、内容具体、分工到人、有时间进度表符合要求，每项做到得0.5分，最高1分。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定期召开工作例会/培训，推进健康促进医院建设和健康教育工作。</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每召开1次工作例会/培训得0.5分，最高2分。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每年全面总结健康促进医院工作，总结经验和问题，接受上级部门的考核评估。</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有总结报告得1分。</w:t>
            </w:r>
          </w:p>
          <w:p>
            <w:pPr>
              <w:widowControl/>
              <w:rPr>
                <w:rFonts w:eastAsia="仿宋_GB2312"/>
                <w:color w:val="000000"/>
                <w:kern w:val="0"/>
                <w:szCs w:val="21"/>
              </w:rPr>
            </w:pPr>
            <w:r>
              <w:rPr>
                <w:rFonts w:eastAsia="仿宋_GB2312"/>
                <w:color w:val="000000"/>
                <w:kern w:val="0"/>
                <w:szCs w:val="21"/>
              </w:rPr>
              <w:t>总结报告内容具体，经验亮点突出，下一步工作思路清晰，最高1分。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restart"/>
            <w:tcBorders>
              <w:top w:val="nil"/>
              <w:left w:val="nil"/>
              <w:bottom w:val="single" w:color="auto" w:sz="4" w:space="0"/>
              <w:right w:val="single" w:color="auto" w:sz="4" w:space="0"/>
            </w:tcBorders>
            <w:vAlign w:val="center"/>
          </w:tcPr>
          <w:p>
            <w:pPr>
              <w:jc w:val="left"/>
              <w:rPr>
                <w:rFonts w:eastAsia="仿宋_GB2312"/>
                <w:color w:val="000000"/>
                <w:kern w:val="0"/>
                <w:szCs w:val="21"/>
              </w:rPr>
            </w:pPr>
            <w:r>
              <w:rPr>
                <w:rFonts w:eastAsia="仿宋_GB2312"/>
                <w:color w:val="000000"/>
                <w:kern w:val="0"/>
                <w:szCs w:val="21"/>
              </w:rPr>
              <w:t>保障措施</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有健康促进与健康教育必备的场所、宣传阵地和设备。</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有专门健康教育教室得1分。有宣传栏等健康教育阵地得0.5分。有专用设备得0.5分。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保障健康促进与健康教育专项工作经费。</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医院设健康教育专项经费得1分。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restart"/>
            <w:tcBorders>
              <w:top w:val="nil"/>
              <w:left w:val="single" w:color="auto" w:sz="4" w:space="0"/>
              <w:right w:val="single" w:color="auto" w:sz="4" w:space="0"/>
            </w:tcBorders>
            <w:vAlign w:val="center"/>
          </w:tcPr>
          <w:p>
            <w:pPr>
              <w:jc w:val="left"/>
              <w:rPr>
                <w:rFonts w:eastAsia="仿宋_GB2312"/>
                <w:color w:val="000000"/>
                <w:kern w:val="0"/>
                <w:szCs w:val="21"/>
              </w:rPr>
            </w:pPr>
            <w:r>
              <w:rPr>
                <w:rFonts w:eastAsia="仿宋_GB2312"/>
                <w:color w:val="000000"/>
                <w:kern w:val="0"/>
                <w:szCs w:val="21"/>
              </w:rPr>
              <w:t>二、健康环境（20分）</w:t>
            </w:r>
          </w:p>
        </w:tc>
        <w:tc>
          <w:tcPr>
            <w:tcW w:w="409" w:type="pct"/>
            <w:vMerge w:val="restart"/>
            <w:tcBorders>
              <w:top w:val="nil"/>
              <w:left w:val="nil"/>
              <w:right w:val="single" w:color="auto" w:sz="4" w:space="0"/>
            </w:tcBorders>
            <w:vAlign w:val="center"/>
          </w:tcPr>
          <w:p>
            <w:pPr>
              <w:jc w:val="left"/>
              <w:rPr>
                <w:rFonts w:eastAsia="仿宋_GB2312"/>
                <w:color w:val="000000"/>
                <w:kern w:val="0"/>
                <w:szCs w:val="21"/>
              </w:rPr>
            </w:pPr>
            <w:r>
              <w:rPr>
                <w:rFonts w:eastAsia="仿宋_GB2312"/>
                <w:color w:val="000000"/>
                <w:kern w:val="0"/>
                <w:szCs w:val="21"/>
              </w:rPr>
              <w:t>诊疗环境</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FF0000"/>
                <w:kern w:val="0"/>
                <w:szCs w:val="21"/>
              </w:rPr>
            </w:pPr>
            <w:r>
              <w:rPr>
                <w:rFonts w:eastAsia="仿宋_GB2312"/>
                <w:color w:val="000000"/>
                <w:kern w:val="0"/>
                <w:szCs w:val="21"/>
              </w:rPr>
              <w:t>医院及其周边环境干净、整洁、有序，就医环境舒适。厕所卫生，有洗手设施。二级及以上医院设置有单独的可满足老幼、残疾人等特殊人群使用的第三卫生间及盲道、轮椅坡道、扶手抓杆等人性化设施。</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环境干净、整洁、有序得1分，有卫生死角等情况酌情扣分。厕所干净、卫生、无异味得1分，有洗手设施和管理制度等各得0.5分，最高得1分。二级及以上医院设置第三卫生间得1分。有盲道、轮椅坡道、扶手抓杆等人性化设施各得0.5分，最高得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5</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409" w:type="pct"/>
            <w:vMerge w:val="continue"/>
            <w:tcBorders>
              <w:left w:val="nil"/>
              <w:right w:val="single" w:color="auto" w:sz="4" w:space="0"/>
            </w:tcBorders>
            <w:vAlign w:val="center"/>
          </w:tcPr>
          <w:p>
            <w:pPr>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FF0000"/>
                <w:kern w:val="0"/>
                <w:szCs w:val="21"/>
              </w:rPr>
            </w:pPr>
            <w:r>
              <w:rPr>
                <w:rFonts w:eastAsia="仿宋_GB2312"/>
                <w:color w:val="000000"/>
                <w:kern w:val="0"/>
                <w:szCs w:val="21"/>
              </w:rPr>
              <w:t>生活垃圾和医疗废物分类收集，处置及时。医院污水和传染源排泄物经消毒达标后排入污水处理系统。</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医疗废物与生活垃圾分类处置得1分。医院污水和传染源排泄物经消毒达标后排入污水处理系统，并规范运行得1分。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医院设咨询台，设置导医标识，方便患者就诊。候诊区提供与就诊人数相匹配的候诊座椅，为患者提供安全、私密的就诊环境。</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有咨询台得0.5分，导医标识明显清晰，得0.5分，候诊区座椅够用，得0.5分，健康检查时保护患者隐私，得0.5分。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开展鼠、蚊、蝇、蟑螂等病媒生物防制工作。</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病媒生物防制设施合格得1分，一处不合格扣0.25分，扣完为止。密度水平达标得1分，一处不达标扣0.25分，扣完为止。</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文明用语、辐射安全、医疗废弃物等标识清晰、明显。</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重要通道、人群密集等场所有文明用语提醒标识各得0.5分，最高得1分。有规范的辐射安全、医疗废弃物标识各得0.5分。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restart"/>
            <w:tcBorders>
              <w:top w:val="nil"/>
              <w:left w:val="nil"/>
              <w:right w:val="single" w:color="auto" w:sz="4" w:space="0"/>
            </w:tcBorders>
            <w:vAlign w:val="center"/>
          </w:tcPr>
          <w:p>
            <w:pPr>
              <w:jc w:val="left"/>
              <w:rPr>
                <w:rFonts w:eastAsia="仿宋_GB2312"/>
                <w:color w:val="000000"/>
                <w:kern w:val="0"/>
                <w:szCs w:val="21"/>
              </w:rPr>
            </w:pPr>
            <w:r>
              <w:rPr>
                <w:rFonts w:eastAsia="仿宋_GB2312"/>
                <w:color w:val="000000"/>
                <w:kern w:val="0"/>
                <w:szCs w:val="21"/>
              </w:rPr>
              <w:t>院内食堂</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院内食堂及其从业人员应符合国家食品安全相关规定。</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食堂和从业人员符合国家食品安全相关规定得2分，未亮证经营、缺少管理制度、病媒生物防制等一处不合格扣0.25分，扣完为止。</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安装使用油烟净化装置并达标排放，合理设置排烟口，积极推行明厨亮灶。</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使用油烟净化装置并达标排放，合理设置排烟口得1分，推行明厨亮灶得1分。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为职工和患者及家属提供营养均衡、烹调合理的餐食，避免高盐、高油、高糖饮食。</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提供餐食搭配合理，并符合“三减”要求得1分。</w:t>
            </w:r>
          </w:p>
          <w:p>
            <w:pPr>
              <w:widowControl/>
              <w:rPr>
                <w:rFonts w:eastAsia="仿宋_GB2312"/>
                <w:color w:val="000000"/>
                <w:kern w:val="0"/>
                <w:szCs w:val="21"/>
              </w:rPr>
            </w:pPr>
            <w:r>
              <w:rPr>
                <w:rFonts w:eastAsia="仿宋_GB2312"/>
                <w:color w:val="000000"/>
                <w:kern w:val="0"/>
                <w:szCs w:val="21"/>
              </w:rPr>
              <w:t>开展合理膳食健康、杜绝浪费等宣传得1分。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医院饮用水应供应充足并符合国家相关标准。</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提供安全的饮用水得1分。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restart"/>
            <w:tcBorders>
              <w:top w:val="nil"/>
              <w:left w:val="single" w:color="auto" w:sz="4" w:space="0"/>
              <w:right w:val="single" w:color="auto" w:sz="4" w:space="0"/>
            </w:tcBorders>
            <w:vAlign w:val="center"/>
          </w:tcPr>
          <w:p>
            <w:pPr>
              <w:jc w:val="left"/>
              <w:rPr>
                <w:rFonts w:eastAsia="仿宋_GB2312"/>
                <w:color w:val="000000"/>
                <w:kern w:val="0"/>
                <w:szCs w:val="21"/>
              </w:rPr>
            </w:pPr>
            <w:r>
              <w:rPr>
                <w:rFonts w:eastAsia="仿宋_GB2312"/>
                <w:color w:val="000000"/>
                <w:kern w:val="0"/>
                <w:szCs w:val="21"/>
              </w:rPr>
              <w:t>三、健康服务（10分）</w:t>
            </w:r>
          </w:p>
        </w:tc>
        <w:tc>
          <w:tcPr>
            <w:tcW w:w="409" w:type="pct"/>
            <w:vMerge w:val="restart"/>
            <w:tcBorders>
              <w:top w:val="nil"/>
              <w:left w:val="nil"/>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综合服务</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推进健康管理、健康教育、疾病预防、预约诊疗、门诊和住院一体化服务。</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每综合一项服务得0.5分，最高得2分。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409" w:type="pct"/>
            <w:vMerge w:val="continue"/>
            <w:tcBorders>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利用信息化技术为患者提供高效、便捷、智能的医疗服务。</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开展信息化服务得1分。信息化服务高效、便捷、智能视情况酌情得分，最高1分。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restart"/>
            <w:tcBorders>
              <w:top w:val="nil"/>
              <w:left w:val="nil"/>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重点人群服务</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为老年人、残障人士、孕产妇、婴幼儿、计划生育特殊家庭等特殊人群提供就医引导等优先和便利的诊疗服务。</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考虑残疾人、老年人、孕产妇等特殊人群的需求，如绿色通道、优先窗口等。每项符合要求得0.5分，最高2分。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设立健康管理中心、健康咨询门诊、戒烟门诊等，为慢性病高危人群、脑卒中与冠心病等康复患者、精神疾病患者等提供健康管理服务。</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设立健康管理中心、健康咨询门诊、戒烟门诊等健康服务诊室并开展相应服务，每项得1分，最高2分。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 xml:space="preserve">2 </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p>
        </w:tc>
        <w:tc>
          <w:tcPr>
            <w:tcW w:w="409" w:type="pct"/>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中医服务</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中医医院探索创新融预防保健、疾病治疗和康复于一体的医院发展模式。有中医特长的医院提供中医（民族医）药等特色康复和健康指导服务。其它医院开展普及中医药养生保健知识和方法。</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根据医院特点开展相应的中医服务得1分。中医服务开展形式有创新、有特色等视情况得分，最高1分。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 xml:space="preserve">2 </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restart"/>
            <w:tcBorders>
              <w:top w:val="nil"/>
              <w:left w:val="single" w:color="auto" w:sz="4" w:space="0"/>
              <w:right w:val="single" w:color="auto" w:sz="4" w:space="0"/>
            </w:tcBorders>
            <w:vAlign w:val="center"/>
          </w:tcPr>
          <w:p>
            <w:pPr>
              <w:jc w:val="left"/>
              <w:rPr>
                <w:rFonts w:eastAsia="仿宋_GB2312"/>
                <w:color w:val="000000"/>
                <w:kern w:val="0"/>
                <w:szCs w:val="21"/>
              </w:rPr>
            </w:pPr>
            <w:r>
              <w:rPr>
                <w:rFonts w:eastAsia="仿宋_GB2312"/>
                <w:color w:val="000000"/>
                <w:kern w:val="0"/>
                <w:szCs w:val="21"/>
              </w:rPr>
              <w:t>四、健康教育（30分）</w:t>
            </w:r>
          </w:p>
        </w:tc>
        <w:tc>
          <w:tcPr>
            <w:tcW w:w="409" w:type="pct"/>
            <w:vMerge w:val="restart"/>
            <w:tcBorders>
              <w:top w:val="nil"/>
              <w:left w:val="nil"/>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健康科普</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在候诊区、治疗区（如输液室）、门诊科室、住院科室合理使用健康传播材料（如摆放健康教育资料架、发放健康教育材料、举办健康讲座、开展新媒体传播，向患者及其家属普及防病治病知识，宣传科学就医常识和医保政策等）。</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每类诊疗区能合理使用健康传播材料，得1分，最高4分。</w:t>
            </w:r>
          </w:p>
          <w:p>
            <w:pPr>
              <w:widowControl/>
              <w:rPr>
                <w:rFonts w:eastAsia="仿宋_GB2312"/>
                <w:color w:val="000000"/>
                <w:kern w:val="0"/>
                <w:szCs w:val="21"/>
              </w:rPr>
            </w:pPr>
            <w:r>
              <w:rPr>
                <w:rFonts w:eastAsia="仿宋_GB2312"/>
                <w:color w:val="000000"/>
                <w:kern w:val="0"/>
                <w:szCs w:val="21"/>
              </w:rPr>
              <w:t>能通过举办健康讲座、开展新媒体传播等方式，向患者及其家属普及防病治病知识，宣传科学就医常识和医保政策等各得1分。最高得3分。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7</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设置健康教育宣传栏，县级及以上医院每月更换一次，基层医疗卫生机构每两月更换一次。</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规范设置健康教育宣传栏得1分，定期更换得2分。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3</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jc w:val="left"/>
              <w:rPr>
                <w:rFonts w:eastAsia="仿宋_GB2312"/>
                <w:color w:val="000000"/>
                <w:kern w:val="0"/>
                <w:szCs w:val="21"/>
              </w:rPr>
            </w:pPr>
          </w:p>
        </w:tc>
        <w:tc>
          <w:tcPr>
            <w:tcW w:w="409" w:type="pct"/>
            <w:vMerge w:val="continue"/>
            <w:tcBorders>
              <w:left w:val="nil"/>
              <w:bottom w:val="single" w:color="auto" w:sz="4" w:space="0"/>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组建健康科普专家团队，通过广播、电视、报纸、网站和新媒体对公众开展健康教育，举办卫生健康相关节日纪念日宣传活动，开展健康教育进社区活动等。</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每开展一次活动得0.5分，最高5分。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5</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tcBorders>
              <w:top w:val="nil"/>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患者健康促进</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每个临床科室开展健康教育服务，有针对不同病种的健康教育档案记录:1.开展患者健康评估。2.为患者提供改进健康、促进疾病康复的个性化建议。3.患者出院时，给予患者或家属合理化的出院健康指导或建议。4.患者出院后，通过与社区合作、随访、电话与线上咨询、新媒体咨询等方式给予患者连续的健康咨询和指导。</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每个科室有针对某病种或健康问题的全套健康教育工作记录，得1分，每个科室最高3分。</w:t>
            </w:r>
          </w:p>
          <w:p>
            <w:pPr>
              <w:widowControl/>
              <w:rPr>
                <w:rFonts w:eastAsia="仿宋_GB2312"/>
                <w:color w:val="000000"/>
                <w:kern w:val="0"/>
                <w:szCs w:val="21"/>
              </w:rPr>
            </w:pPr>
            <w:r>
              <w:rPr>
                <w:rFonts w:eastAsia="仿宋_GB2312"/>
                <w:color w:val="000000"/>
                <w:kern w:val="0"/>
                <w:szCs w:val="21"/>
              </w:rPr>
              <w:t>全院最高得15分，可区分门诊和住院科室。</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15</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restart"/>
            <w:tcBorders>
              <w:top w:val="nil"/>
              <w:left w:val="single" w:color="auto" w:sz="4" w:space="0"/>
              <w:right w:val="single" w:color="auto" w:sz="4" w:space="0"/>
            </w:tcBorders>
            <w:vAlign w:val="center"/>
          </w:tcPr>
          <w:p>
            <w:pPr>
              <w:jc w:val="left"/>
              <w:rPr>
                <w:rFonts w:eastAsia="仿宋_GB2312"/>
                <w:color w:val="000000"/>
                <w:kern w:val="0"/>
                <w:szCs w:val="21"/>
              </w:rPr>
            </w:pPr>
            <w:r>
              <w:rPr>
                <w:rFonts w:eastAsia="仿宋_GB2312"/>
                <w:color w:val="000000"/>
                <w:kern w:val="0"/>
                <w:szCs w:val="21"/>
              </w:rPr>
              <w:t>五、健康文化（25分）</w:t>
            </w:r>
          </w:p>
        </w:tc>
        <w:tc>
          <w:tcPr>
            <w:tcW w:w="409" w:type="pct"/>
            <w:vMerge w:val="restart"/>
            <w:tcBorders>
              <w:top w:val="nil"/>
              <w:left w:val="nil"/>
              <w:right w:val="single" w:color="auto" w:sz="4" w:space="0"/>
            </w:tcBorders>
            <w:vAlign w:val="center"/>
          </w:tcPr>
          <w:p>
            <w:pPr>
              <w:jc w:val="left"/>
              <w:rPr>
                <w:rFonts w:eastAsia="仿宋_GB2312"/>
                <w:color w:val="000000"/>
                <w:kern w:val="0"/>
                <w:szCs w:val="21"/>
              </w:rPr>
            </w:pPr>
            <w:r>
              <w:rPr>
                <w:rFonts w:eastAsia="仿宋_GB2312"/>
                <w:color w:val="000000"/>
                <w:kern w:val="0"/>
                <w:szCs w:val="21"/>
              </w:rPr>
              <w:t>职工健康促进</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向全体职工普及健康知识和技能，倡导文明健康绿色环保生活方式，提升全体职工健康素养。</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通过各种方式提升全体职工健康素养，每种方式得0.5分，最高得1分。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每年对全体员工进行体检，建立健康档案，开展健康评估。</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每年体检得0.5分。建立健康档案得0.5分。为每个员工开展健康评估得1分。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根据员工主要健康问题，开展健康管理，有具体的干预措施。</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发现员工主要健康问题，得0.5分。有健康管理计划，得0.5分。开展健康干预，得1分。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倡导全民健身文化，设有健身设施，组织健身活动。组织促进身心健康的文体活动，丰富职工生活，提高医院凝聚力。</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有健身设施得1分。每开展一次集体健身活动得0.5分，最高1分。每开展一次丰富职工生活的文体活动得0.5分，最高1分。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3</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传承中医药文化，普及中医药养生保健知识和方法。</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向全体职工普及中医药养生保健知识和方法得1分。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restart"/>
            <w:tcBorders>
              <w:top w:val="nil"/>
              <w:left w:val="nil"/>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建设无烟医院</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医院室内完全禁止吸烟，所有室内场所没有烟头，没有吸烟者。</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除吸烟处外，发现烟头扣1分，发现吸烟者扣1分。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医院所属区域有明显的禁烟标识。所有建筑物入口处、候诊区、会议室、厕所、走廊、电梯、楼梯等公共区域有明显的禁烟标识。</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每个缺乏无烟标识的公共区域扣0.5分，扣完为止。</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院内不销售烟草制品。</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如发现，扣1分。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院内无烟草广告、促销和赞助。</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如发现，扣1分。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有控烟宣传材料。</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有一类控烟传播材料得0.25分，最高1分。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开展以控烟为主题的宣传活动，如讲座、咨询等。</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开展一次控烟主题的宣传活动得0.5分，最高1分。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1</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在相应科室设戒烟服务医生和咨询电话，开展戒烟服务和咨询。</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有科室提供戒烟服务，得1分。有专人提供戒烟咨询，得1分。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医生询问门诊、住院患者的吸烟史，对其中的吸烟者进行简短戒烟干预并有记录</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开展门诊患者戒烟干预，得1分。开展住院患者戒烟干预，得1分。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restart"/>
            <w:tcBorders>
              <w:left w:val="nil"/>
              <w:right w:val="single" w:color="auto" w:sz="4" w:space="0"/>
            </w:tcBorders>
            <w:vAlign w:val="center"/>
          </w:tcPr>
          <w:p>
            <w:pPr>
              <w:jc w:val="left"/>
              <w:rPr>
                <w:rFonts w:eastAsia="仿宋_GB2312"/>
                <w:color w:val="000000"/>
                <w:kern w:val="0"/>
                <w:szCs w:val="21"/>
              </w:rPr>
            </w:pPr>
            <w:r>
              <w:rPr>
                <w:rFonts w:eastAsia="仿宋_GB2312"/>
                <w:color w:val="000000"/>
                <w:kern w:val="0"/>
                <w:szCs w:val="21"/>
              </w:rPr>
              <w:t>倡导节约</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倡导员工珍惜水电、绿色出行、反食品浪费等意识。</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通过张贴警示语、宣传标语、举办讲座等形式倡导建设节约型单位，每类方式得1分，最高2分。</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pPr>
              <w:widowControl/>
              <w:jc w:val="left"/>
              <w:rPr>
                <w:rFonts w:eastAsia="仿宋_GB2312"/>
                <w:color w:val="000000"/>
                <w:kern w:val="0"/>
                <w:szCs w:val="21"/>
              </w:rPr>
            </w:pPr>
          </w:p>
        </w:tc>
        <w:tc>
          <w:tcPr>
            <w:tcW w:w="409" w:type="pct"/>
            <w:vMerge w:val="continue"/>
            <w:tcBorders>
              <w:left w:val="nil"/>
              <w:right w:val="single" w:color="auto" w:sz="4" w:space="0"/>
            </w:tcBorders>
            <w:vAlign w:val="center"/>
          </w:tcPr>
          <w:p>
            <w:pPr>
              <w:widowControl/>
              <w:jc w:val="left"/>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践行“光盘行动”， 外出自带水杯等，减少一次性餐具和塑料产品使用等。</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r>
              <w:rPr>
                <w:rFonts w:eastAsia="仿宋_GB2312"/>
                <w:color w:val="000000"/>
                <w:kern w:val="0"/>
                <w:szCs w:val="21"/>
              </w:rPr>
              <w:t>每发现一处浪费行为扣0.25分，扣完为止。</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2</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合计</w:t>
            </w:r>
          </w:p>
        </w:tc>
        <w:tc>
          <w:tcPr>
            <w:tcW w:w="409" w:type="pct"/>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Cs w:val="21"/>
              </w:rPr>
            </w:pPr>
            <w:r>
              <w:rPr>
                <w:rFonts w:eastAsia="仿宋_GB2312"/>
                <w:color w:val="000000"/>
                <w:kern w:val="0"/>
                <w:szCs w:val="21"/>
              </w:rPr>
              <w:t>　</w:t>
            </w: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p>
        </w:tc>
        <w:tc>
          <w:tcPr>
            <w:tcW w:w="1623" w:type="pct"/>
            <w:tcBorders>
              <w:top w:val="single" w:color="auto" w:sz="4" w:space="0"/>
              <w:left w:val="nil"/>
              <w:bottom w:val="single" w:color="auto" w:sz="4" w:space="0"/>
              <w:right w:val="single" w:color="auto" w:sz="4" w:space="0"/>
            </w:tcBorders>
            <w:vAlign w:val="center"/>
          </w:tcPr>
          <w:p>
            <w:pPr>
              <w:widowControl/>
              <w:rPr>
                <w:rFonts w:eastAsia="仿宋_GB2312"/>
                <w:color w:val="000000"/>
                <w:kern w:val="0"/>
                <w:szCs w:val="21"/>
              </w:rPr>
            </w:pP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100</w:t>
            </w:r>
          </w:p>
        </w:tc>
        <w:tc>
          <w:tcPr>
            <w:tcW w:w="265"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c>
          <w:tcPr>
            <w:tcW w:w="406" w:type="pct"/>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p>
        </w:tc>
      </w:tr>
    </w:tbl>
    <w:p>
      <w:pPr>
        <w:rPr>
          <w:rFonts w:eastAsia="仿宋_GB2312"/>
          <w:color w:val="000000"/>
          <w:kern w:val="0"/>
          <w:szCs w:val="21"/>
        </w:rPr>
      </w:pPr>
    </w:p>
    <w:p>
      <w:pPr>
        <w:rPr>
          <w:rFonts w:eastAsia="仿宋_GB2312"/>
          <w:color w:val="000000"/>
          <w:kern w:val="0"/>
          <w:szCs w:val="21"/>
        </w:rPr>
      </w:pPr>
      <w:r>
        <w:rPr>
          <w:rFonts w:eastAsia="仿宋_GB2312"/>
          <w:color w:val="000000"/>
          <w:kern w:val="0"/>
          <w:szCs w:val="21"/>
        </w:rPr>
        <w:t>说明：评估细则采取百分制，现场评估达到70分及以上，认为达到健康促进医院标准。</w:t>
      </w:r>
    </w:p>
    <w:p>
      <w:pPr>
        <w:shd w:val="clear" w:color="auto" w:fill="FFFFFF"/>
        <w:spacing w:line="560" w:lineRule="exact"/>
        <w:ind w:firstLine="640" w:firstLineChars="200"/>
        <w:jc w:val="center"/>
        <w:rPr>
          <w:rFonts w:eastAsia="仿宋_GB2312" w:cs="宋体"/>
          <w:kern w:val="0"/>
          <w:sz w:val="32"/>
          <w:szCs w:val="32"/>
        </w:rPr>
      </w:pPr>
    </w:p>
    <w:p>
      <w:pPr>
        <w:shd w:val="clear" w:color="auto" w:fill="FFFFFF"/>
        <w:spacing w:line="560" w:lineRule="exact"/>
        <w:ind w:firstLine="420" w:firstLineChars="200"/>
        <w:jc w:val="center"/>
        <w:rPr>
          <w:rFonts w:eastAsia="仿宋_GB2312" w:cs="宋体"/>
          <w:kern w:val="0"/>
        </w:rPr>
        <w:sectPr>
          <w:pgSz w:w="11906" w:h="16838"/>
          <w:pgMar w:top="1701" w:right="1418" w:bottom="1531" w:left="1588" w:header="851" w:footer="851" w:gutter="0"/>
          <w:cols w:space="720" w:num="1"/>
          <w:docGrid w:type="lines" w:linePitch="312" w:charSpace="0"/>
        </w:sectPr>
      </w:pPr>
    </w:p>
    <w:p>
      <w:pPr>
        <w:rPr>
          <w:rFonts w:eastAsia="仿宋_GB2312"/>
          <w:sz w:val="32"/>
          <w:szCs w:val="32"/>
        </w:rPr>
      </w:pPr>
      <w:r>
        <w:rPr>
          <w:rFonts w:hint="eastAsia" w:eastAsia="仿宋_GB2312"/>
          <w:sz w:val="32"/>
          <w:szCs w:val="32"/>
        </w:rPr>
        <w:t>附件9</w:t>
      </w:r>
    </w:p>
    <w:p>
      <w:pPr>
        <w:jc w:val="center"/>
        <w:rPr>
          <w:rFonts w:eastAsia="仿宋_GB2312"/>
          <w:sz w:val="44"/>
          <w:szCs w:val="44"/>
        </w:rPr>
      </w:pPr>
      <w:r>
        <w:rPr>
          <w:rFonts w:hint="eastAsia" w:eastAsia="仿宋_GB2312"/>
          <w:sz w:val="44"/>
          <w:szCs w:val="44"/>
        </w:rPr>
        <w:t>无烟医疗卫生机构评估标准评分表</w:t>
      </w:r>
    </w:p>
    <w:tbl>
      <w:tblPr>
        <w:tblStyle w:val="4"/>
        <w:tblpPr w:leftFromText="180" w:rightFromText="180" w:vertAnchor="text" w:horzAnchor="page" w:tblpX="3729" w:tblpY="668"/>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327"/>
        <w:gridCol w:w="694"/>
        <w:gridCol w:w="7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vAlign w:val="center"/>
          </w:tcPr>
          <w:p>
            <w:pPr>
              <w:spacing w:line="520" w:lineRule="atLeast"/>
              <w:ind w:firstLine="480"/>
              <w:jc w:val="center"/>
              <w:rPr>
                <w:rFonts w:eastAsia="仿宋_GB2312" w:cs="宋体"/>
                <w:kern w:val="0"/>
                <w:sz w:val="24"/>
                <w:szCs w:val="32"/>
              </w:rPr>
            </w:pPr>
            <w:r>
              <w:rPr>
                <w:rFonts w:hint="eastAsia" w:eastAsia="仿宋_GB2312" w:cs="宋体"/>
                <w:kern w:val="0"/>
                <w:sz w:val="24"/>
                <w:szCs w:val="32"/>
              </w:rPr>
              <w:t>评估标准</w:t>
            </w:r>
          </w:p>
        </w:tc>
        <w:tc>
          <w:tcPr>
            <w:tcW w:w="579" w:type="dxa"/>
            <w:tcMar>
              <w:top w:w="0" w:type="dxa"/>
              <w:left w:w="108" w:type="dxa"/>
              <w:bottom w:w="0" w:type="dxa"/>
              <w:right w:w="108" w:type="dxa"/>
            </w:tcMar>
            <w:vAlign w:val="center"/>
          </w:tcPr>
          <w:p>
            <w:pPr>
              <w:spacing w:line="520" w:lineRule="atLeast"/>
              <w:jc w:val="center"/>
              <w:rPr>
                <w:rFonts w:eastAsia="仿宋_GB2312" w:cs="宋体"/>
                <w:kern w:val="0"/>
                <w:sz w:val="24"/>
                <w:szCs w:val="32"/>
              </w:rPr>
            </w:pPr>
            <w:r>
              <w:rPr>
                <w:rFonts w:hint="eastAsia" w:eastAsia="仿宋_GB2312" w:cs="宋体"/>
                <w:kern w:val="0"/>
                <w:sz w:val="24"/>
                <w:szCs w:val="32"/>
              </w:rPr>
              <w:t>分值</w:t>
            </w:r>
          </w:p>
        </w:tc>
        <w:tc>
          <w:tcPr>
            <w:tcW w:w="792" w:type="dxa"/>
            <w:tcMar>
              <w:top w:w="0" w:type="dxa"/>
              <w:left w:w="108" w:type="dxa"/>
              <w:bottom w:w="0" w:type="dxa"/>
              <w:right w:w="108" w:type="dxa"/>
            </w:tcMar>
            <w:vAlign w:val="center"/>
          </w:tcPr>
          <w:p>
            <w:pPr>
              <w:spacing w:line="520" w:lineRule="atLeast"/>
              <w:jc w:val="center"/>
              <w:rPr>
                <w:rFonts w:eastAsia="仿宋_GB2312" w:cs="宋体"/>
                <w:kern w:val="0"/>
                <w:sz w:val="24"/>
                <w:szCs w:val="32"/>
              </w:rPr>
            </w:pPr>
            <w:r>
              <w:rPr>
                <w:rFonts w:hint="eastAsia" w:eastAsia="仿宋_GB2312" w:cs="宋体"/>
                <w:kern w:val="0"/>
                <w:sz w:val="24"/>
                <w:szCs w:val="32"/>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b/>
                <w:bCs/>
                <w:kern w:val="0"/>
                <w:sz w:val="24"/>
                <w:szCs w:val="32"/>
              </w:rPr>
              <w:t>一、成立控烟领导组织，将无烟机构建设纳入本机构发展规划10分</w:t>
            </w:r>
          </w:p>
        </w:tc>
        <w:tc>
          <w:tcPr>
            <w:tcW w:w="579" w:type="dxa"/>
            <w:tcMar>
              <w:top w:w="0" w:type="dxa"/>
              <w:left w:w="108" w:type="dxa"/>
              <w:bottom w:w="0" w:type="dxa"/>
              <w:right w:w="108" w:type="dxa"/>
            </w:tcMar>
            <w:vAlign w:val="center"/>
          </w:tcPr>
          <w:p>
            <w:pPr>
              <w:spacing w:line="520" w:lineRule="atLeast"/>
              <w:ind w:firstLine="222"/>
              <w:jc w:val="left"/>
              <w:rPr>
                <w:rFonts w:eastAsia="仿宋_GB2312" w:cs="宋体"/>
                <w:kern w:val="0"/>
                <w:sz w:val="24"/>
                <w:szCs w:val="32"/>
              </w:rPr>
            </w:pPr>
            <w:r>
              <w:rPr>
                <w:rFonts w:hint="eastAsia" w:eastAsia="仿宋_GB2312" w:cs="宋体"/>
                <w:b/>
                <w:bCs/>
                <w:kern w:val="0"/>
                <w:sz w:val="24"/>
                <w:szCs w:val="32"/>
              </w:rPr>
              <w:t> </w:t>
            </w:r>
          </w:p>
        </w:tc>
        <w:tc>
          <w:tcPr>
            <w:tcW w:w="792" w:type="dxa"/>
            <w:tcMar>
              <w:top w:w="0" w:type="dxa"/>
              <w:left w:w="108" w:type="dxa"/>
              <w:bottom w:w="0" w:type="dxa"/>
              <w:right w:w="108" w:type="dxa"/>
            </w:tcMar>
          </w:tcPr>
          <w:p>
            <w:pPr>
              <w:spacing w:line="520" w:lineRule="atLeast"/>
              <w:ind w:firstLine="482"/>
              <w:jc w:val="left"/>
              <w:rPr>
                <w:rFonts w:eastAsia="仿宋_GB2312" w:cs="宋体"/>
                <w:kern w:val="0"/>
                <w:sz w:val="24"/>
                <w:szCs w:val="32"/>
              </w:rPr>
            </w:pPr>
            <w:r>
              <w:rPr>
                <w:rFonts w:hint="eastAsia" w:eastAsia="仿宋_GB2312" w:cs="宋体"/>
                <w:b/>
                <w:bCs/>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1．本机构有控烟领导小组，并职责明确（2分）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2</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2．各部门有专人负责控烟工作，并职责明确（2分）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2</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3．将控烟工作纳入本机构的工作计划（包括资金保障）（3分）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3</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4．本</w:t>
            </w:r>
            <w:r>
              <w:rPr>
                <w:rFonts w:hint="eastAsia" w:eastAsia="仿宋_GB2312" w:cs="宋体"/>
                <w:spacing w:val="-10"/>
                <w:kern w:val="0"/>
                <w:sz w:val="24"/>
                <w:szCs w:val="32"/>
              </w:rPr>
              <w:t>机构领导班子成员不吸烟（3分，有1位成员吸烟扣1分，扣完为止）</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3</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b/>
                <w:bCs/>
                <w:kern w:val="0"/>
                <w:sz w:val="24"/>
                <w:szCs w:val="32"/>
              </w:rPr>
              <w:t>二、建立健全控烟考评奖惩制度5分</w:t>
            </w:r>
          </w:p>
        </w:tc>
        <w:tc>
          <w:tcPr>
            <w:tcW w:w="579" w:type="dxa"/>
            <w:tcMar>
              <w:top w:w="0" w:type="dxa"/>
              <w:left w:w="108" w:type="dxa"/>
              <w:bottom w:w="0" w:type="dxa"/>
              <w:right w:w="108" w:type="dxa"/>
            </w:tcMar>
            <w:vAlign w:val="center"/>
          </w:tcPr>
          <w:p>
            <w:pPr>
              <w:spacing w:line="520" w:lineRule="atLeast"/>
              <w:ind w:firstLine="222"/>
              <w:jc w:val="left"/>
              <w:rPr>
                <w:rFonts w:eastAsia="仿宋_GB2312" w:cs="宋体"/>
                <w:kern w:val="0"/>
                <w:sz w:val="24"/>
                <w:szCs w:val="32"/>
              </w:rPr>
            </w:pPr>
            <w:r>
              <w:rPr>
                <w:rFonts w:hint="eastAsia" w:eastAsia="仿宋_GB2312" w:cs="宋体"/>
                <w:b/>
                <w:bCs/>
                <w:kern w:val="0"/>
                <w:sz w:val="24"/>
                <w:szCs w:val="32"/>
              </w:rPr>
              <w:t> </w:t>
            </w:r>
          </w:p>
        </w:tc>
        <w:tc>
          <w:tcPr>
            <w:tcW w:w="792" w:type="dxa"/>
            <w:tcMar>
              <w:top w:w="0" w:type="dxa"/>
              <w:left w:w="108" w:type="dxa"/>
              <w:bottom w:w="0" w:type="dxa"/>
              <w:right w:w="108" w:type="dxa"/>
            </w:tcMar>
          </w:tcPr>
          <w:p>
            <w:pPr>
              <w:spacing w:line="520" w:lineRule="atLeast"/>
              <w:ind w:firstLine="482"/>
              <w:jc w:val="left"/>
              <w:rPr>
                <w:rFonts w:eastAsia="仿宋_GB2312" w:cs="宋体"/>
                <w:kern w:val="0"/>
                <w:sz w:val="24"/>
                <w:szCs w:val="32"/>
              </w:rPr>
            </w:pPr>
            <w:r>
              <w:rPr>
                <w:rFonts w:hint="eastAsia" w:eastAsia="仿宋_GB2312" w:cs="宋体"/>
                <w:b/>
                <w:bCs/>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1.本机构有控烟考评奖惩制度（1分）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1</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2.有控烟考评奖惩标准（2分）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2</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3.有控烟考评奖惩记录（2分）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2</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b/>
                <w:bCs/>
                <w:kern w:val="0"/>
                <w:sz w:val="24"/>
                <w:szCs w:val="32"/>
              </w:rPr>
              <w:t>三、所属区域有明显的禁烟标识，室内完全禁烟35分</w:t>
            </w:r>
          </w:p>
        </w:tc>
        <w:tc>
          <w:tcPr>
            <w:tcW w:w="579" w:type="dxa"/>
            <w:tcMar>
              <w:top w:w="0" w:type="dxa"/>
              <w:left w:w="108" w:type="dxa"/>
              <w:bottom w:w="0" w:type="dxa"/>
              <w:right w:w="108" w:type="dxa"/>
            </w:tcMar>
            <w:vAlign w:val="center"/>
          </w:tcPr>
          <w:p>
            <w:pPr>
              <w:spacing w:line="520" w:lineRule="atLeast"/>
              <w:ind w:firstLine="222"/>
              <w:jc w:val="left"/>
              <w:rPr>
                <w:rFonts w:eastAsia="仿宋_GB2312" w:cs="宋体"/>
                <w:kern w:val="0"/>
                <w:sz w:val="24"/>
                <w:szCs w:val="32"/>
              </w:rPr>
            </w:pPr>
            <w:r>
              <w:rPr>
                <w:rFonts w:hint="eastAsia" w:eastAsia="仿宋_GB2312" w:cs="宋体"/>
                <w:b/>
                <w:bCs/>
                <w:kern w:val="0"/>
                <w:sz w:val="24"/>
                <w:szCs w:val="32"/>
              </w:rPr>
              <w:t> </w:t>
            </w:r>
          </w:p>
        </w:tc>
        <w:tc>
          <w:tcPr>
            <w:tcW w:w="792" w:type="dxa"/>
            <w:tcMar>
              <w:top w:w="0" w:type="dxa"/>
              <w:left w:w="108" w:type="dxa"/>
              <w:bottom w:w="0" w:type="dxa"/>
              <w:right w:w="108" w:type="dxa"/>
            </w:tcMar>
          </w:tcPr>
          <w:p>
            <w:pPr>
              <w:spacing w:line="520" w:lineRule="atLeast"/>
              <w:ind w:firstLine="482"/>
              <w:jc w:val="left"/>
              <w:rPr>
                <w:rFonts w:eastAsia="仿宋_GB2312" w:cs="宋体"/>
                <w:kern w:val="0"/>
                <w:sz w:val="24"/>
                <w:szCs w:val="32"/>
              </w:rPr>
            </w:pPr>
            <w:r>
              <w:rPr>
                <w:rFonts w:hint="eastAsia" w:eastAsia="仿宋_GB2312" w:cs="宋体"/>
                <w:b/>
                <w:bCs/>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340" w:lineRule="atLeast"/>
              <w:jc w:val="left"/>
              <w:rPr>
                <w:rFonts w:eastAsia="仿宋_GB2312" w:cs="宋体"/>
                <w:kern w:val="0"/>
                <w:sz w:val="24"/>
                <w:szCs w:val="32"/>
              </w:rPr>
            </w:pPr>
            <w:r>
              <w:rPr>
                <w:rFonts w:hint="eastAsia" w:eastAsia="仿宋_GB2312" w:cs="宋体"/>
                <w:kern w:val="0"/>
                <w:sz w:val="24"/>
                <w:szCs w:val="32"/>
              </w:rPr>
              <w:t>1.本机构所属管辖区域至少在入口处、等候厅、会议室、厕所、电梯、楼梯等区域内有明显的禁烟标识（12分，缺1处扣2分，扣完为止）</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12</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7" w:hRule="atLeast"/>
        </w:trPr>
        <w:tc>
          <w:tcPr>
            <w:tcW w:w="7327" w:type="dxa"/>
            <w:tcMar>
              <w:top w:w="0" w:type="dxa"/>
              <w:left w:w="108" w:type="dxa"/>
              <w:bottom w:w="0" w:type="dxa"/>
              <w:right w:w="108" w:type="dxa"/>
            </w:tcMar>
          </w:tcPr>
          <w:p>
            <w:pPr>
              <w:spacing w:line="340" w:lineRule="atLeast"/>
              <w:jc w:val="left"/>
              <w:rPr>
                <w:rFonts w:eastAsia="仿宋_GB2312" w:cs="宋体"/>
                <w:kern w:val="0"/>
                <w:sz w:val="24"/>
                <w:szCs w:val="32"/>
              </w:rPr>
            </w:pPr>
            <w:r>
              <w:rPr>
                <w:rFonts w:hint="eastAsia" w:eastAsia="仿宋_GB2312" w:cs="宋体"/>
                <w:kern w:val="0"/>
                <w:sz w:val="24"/>
                <w:szCs w:val="32"/>
              </w:rPr>
              <w:t>2.本</w:t>
            </w:r>
            <w:r>
              <w:rPr>
                <w:rFonts w:hint="eastAsia" w:eastAsia="仿宋_GB2312" w:cs="宋体"/>
                <w:spacing w:val="-6"/>
                <w:kern w:val="0"/>
                <w:sz w:val="24"/>
                <w:szCs w:val="32"/>
              </w:rPr>
              <w:t>机构室内场所完全禁止吸烟（13分，每发现1个烟头扣1分，发现吸烟者无人劝阻1次扣1分，扣完为止。如工作人员室内抽烟，发现1个扣2分）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13</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4" w:hRule="atLeast"/>
        </w:trPr>
        <w:tc>
          <w:tcPr>
            <w:tcW w:w="7327" w:type="dxa"/>
            <w:tcMar>
              <w:top w:w="0" w:type="dxa"/>
              <w:left w:w="108" w:type="dxa"/>
              <w:bottom w:w="0" w:type="dxa"/>
              <w:right w:w="108" w:type="dxa"/>
            </w:tcMar>
          </w:tcPr>
          <w:p>
            <w:pPr>
              <w:spacing w:line="340" w:lineRule="atLeast"/>
              <w:jc w:val="left"/>
              <w:rPr>
                <w:rFonts w:eastAsia="仿宋_GB2312" w:cs="宋体"/>
                <w:kern w:val="0"/>
                <w:sz w:val="24"/>
                <w:szCs w:val="32"/>
              </w:rPr>
            </w:pPr>
            <w:r>
              <w:rPr>
                <w:rFonts w:hint="eastAsia" w:eastAsia="仿宋_GB2312" w:cs="宋体"/>
                <w:kern w:val="0"/>
                <w:sz w:val="24"/>
                <w:szCs w:val="32"/>
              </w:rPr>
              <w:t>3.设置室外吸烟区（尽量远离密集人群和必经通道）（3分），有明显的引导标识（2分）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5</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4.机构员工不得穿工作服在吸烟区吸烟（5分，发现1个扣5分）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5</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b/>
                <w:bCs/>
                <w:kern w:val="0"/>
                <w:sz w:val="24"/>
                <w:szCs w:val="32"/>
              </w:rPr>
              <w:t>四、设有控烟监督员和巡查员10分</w:t>
            </w:r>
          </w:p>
        </w:tc>
        <w:tc>
          <w:tcPr>
            <w:tcW w:w="579" w:type="dxa"/>
            <w:tcMar>
              <w:top w:w="0" w:type="dxa"/>
              <w:left w:w="108" w:type="dxa"/>
              <w:bottom w:w="0" w:type="dxa"/>
              <w:right w:w="108" w:type="dxa"/>
            </w:tcMar>
            <w:vAlign w:val="center"/>
          </w:tcPr>
          <w:p>
            <w:pPr>
              <w:spacing w:line="520" w:lineRule="atLeast"/>
              <w:ind w:firstLine="222"/>
              <w:jc w:val="left"/>
              <w:rPr>
                <w:rFonts w:eastAsia="仿宋_GB2312" w:cs="宋体"/>
                <w:kern w:val="0"/>
                <w:sz w:val="24"/>
                <w:szCs w:val="32"/>
              </w:rPr>
            </w:pPr>
            <w:r>
              <w:rPr>
                <w:rFonts w:hint="eastAsia" w:eastAsia="仿宋_GB2312" w:cs="宋体"/>
                <w:b/>
                <w:bCs/>
                <w:kern w:val="0"/>
                <w:sz w:val="24"/>
                <w:szCs w:val="32"/>
              </w:rPr>
              <w:t> </w:t>
            </w:r>
          </w:p>
        </w:tc>
        <w:tc>
          <w:tcPr>
            <w:tcW w:w="792" w:type="dxa"/>
            <w:tcMar>
              <w:top w:w="0" w:type="dxa"/>
              <w:left w:w="108" w:type="dxa"/>
              <w:bottom w:w="0" w:type="dxa"/>
              <w:right w:w="108" w:type="dxa"/>
            </w:tcMar>
          </w:tcPr>
          <w:p>
            <w:pPr>
              <w:spacing w:line="520" w:lineRule="atLeast"/>
              <w:ind w:firstLine="482"/>
              <w:jc w:val="left"/>
              <w:rPr>
                <w:rFonts w:eastAsia="仿宋_GB2312" w:cs="宋体"/>
                <w:kern w:val="0"/>
                <w:sz w:val="24"/>
                <w:szCs w:val="32"/>
              </w:rPr>
            </w:pPr>
            <w:r>
              <w:rPr>
                <w:rFonts w:hint="eastAsia" w:eastAsia="仿宋_GB2312" w:cs="宋体"/>
                <w:b/>
                <w:bCs/>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1.机构内设有控烟监督员和巡查员（2分）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2</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340" w:lineRule="atLeast"/>
              <w:jc w:val="left"/>
              <w:rPr>
                <w:rFonts w:eastAsia="仿宋_GB2312" w:cs="宋体"/>
                <w:kern w:val="0"/>
                <w:sz w:val="24"/>
                <w:szCs w:val="32"/>
              </w:rPr>
            </w:pPr>
            <w:r>
              <w:rPr>
                <w:rFonts w:hint="eastAsia" w:eastAsia="仿宋_GB2312" w:cs="宋体"/>
                <w:kern w:val="0"/>
                <w:sz w:val="24"/>
                <w:szCs w:val="32"/>
              </w:rPr>
              <w:t>2.对控烟监督员和巡查员进行相关培训，并有培训记录（3分），有定期监督、巡查记录（5分）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8</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b/>
                <w:bCs/>
                <w:kern w:val="0"/>
                <w:sz w:val="24"/>
                <w:szCs w:val="32"/>
              </w:rPr>
              <w:t>五、开展多种形式的控烟宣传和教育10分</w:t>
            </w:r>
          </w:p>
        </w:tc>
        <w:tc>
          <w:tcPr>
            <w:tcW w:w="579" w:type="dxa"/>
            <w:tcMar>
              <w:top w:w="0" w:type="dxa"/>
              <w:left w:w="108" w:type="dxa"/>
              <w:bottom w:w="0" w:type="dxa"/>
              <w:right w:w="108" w:type="dxa"/>
            </w:tcMar>
            <w:vAlign w:val="center"/>
          </w:tcPr>
          <w:p>
            <w:pPr>
              <w:spacing w:line="520" w:lineRule="atLeast"/>
              <w:ind w:firstLine="222"/>
              <w:jc w:val="left"/>
              <w:rPr>
                <w:rFonts w:eastAsia="仿宋_GB2312" w:cs="宋体"/>
                <w:kern w:val="0"/>
                <w:sz w:val="24"/>
                <w:szCs w:val="32"/>
              </w:rPr>
            </w:pPr>
            <w:r>
              <w:rPr>
                <w:rFonts w:hint="eastAsia" w:eastAsia="仿宋_GB2312" w:cs="宋体"/>
                <w:b/>
                <w:bCs/>
                <w:kern w:val="0"/>
                <w:sz w:val="24"/>
                <w:szCs w:val="32"/>
              </w:rPr>
              <w:t> </w:t>
            </w:r>
          </w:p>
        </w:tc>
        <w:tc>
          <w:tcPr>
            <w:tcW w:w="792" w:type="dxa"/>
            <w:tcMar>
              <w:top w:w="0" w:type="dxa"/>
              <w:left w:w="108" w:type="dxa"/>
              <w:bottom w:w="0" w:type="dxa"/>
              <w:right w:w="108" w:type="dxa"/>
            </w:tcMar>
          </w:tcPr>
          <w:p>
            <w:pPr>
              <w:spacing w:line="520" w:lineRule="atLeast"/>
              <w:ind w:firstLine="482"/>
              <w:jc w:val="left"/>
              <w:rPr>
                <w:rFonts w:eastAsia="仿宋_GB2312" w:cs="宋体"/>
                <w:kern w:val="0"/>
                <w:sz w:val="24"/>
                <w:szCs w:val="32"/>
              </w:rPr>
            </w:pPr>
            <w:r>
              <w:rPr>
                <w:rFonts w:hint="eastAsia" w:eastAsia="仿宋_GB2312" w:cs="宋体"/>
                <w:b/>
                <w:bCs/>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1.有</w:t>
            </w:r>
            <w:r>
              <w:rPr>
                <w:rFonts w:hint="eastAsia" w:eastAsia="仿宋_GB2312" w:cs="宋体"/>
                <w:spacing w:val="-6"/>
                <w:kern w:val="0"/>
                <w:sz w:val="24"/>
                <w:szCs w:val="32"/>
              </w:rPr>
              <w:t>固定的控烟宣传栏、板（如院内电视、展板、宣传栏、标语等）(3分)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3</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2.有相关控烟传播材料（如海报、折页、健康处方等）（4分）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4</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3.有大众控烟宣传活动（如讲座、咨询等）（3分）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3</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b/>
                <w:bCs/>
                <w:kern w:val="0"/>
                <w:sz w:val="24"/>
                <w:szCs w:val="32"/>
              </w:rPr>
              <w:t>六、明确规定全体职工负有劝阻吸烟的责任和义务5分</w:t>
            </w:r>
          </w:p>
        </w:tc>
        <w:tc>
          <w:tcPr>
            <w:tcW w:w="579" w:type="dxa"/>
            <w:tcMar>
              <w:top w:w="0" w:type="dxa"/>
              <w:left w:w="108" w:type="dxa"/>
              <w:bottom w:w="0" w:type="dxa"/>
              <w:right w:w="108" w:type="dxa"/>
            </w:tcMar>
            <w:vAlign w:val="center"/>
          </w:tcPr>
          <w:p>
            <w:pPr>
              <w:spacing w:line="520" w:lineRule="atLeast"/>
              <w:ind w:firstLine="222"/>
              <w:jc w:val="left"/>
              <w:rPr>
                <w:rFonts w:eastAsia="仿宋_GB2312" w:cs="宋体"/>
                <w:kern w:val="0"/>
                <w:sz w:val="24"/>
                <w:szCs w:val="32"/>
              </w:rPr>
            </w:pPr>
            <w:r>
              <w:rPr>
                <w:rFonts w:hint="eastAsia" w:eastAsia="仿宋_GB2312" w:cs="宋体"/>
                <w:b/>
                <w:bCs/>
                <w:kern w:val="0"/>
                <w:sz w:val="24"/>
                <w:szCs w:val="32"/>
              </w:rPr>
              <w:t> </w:t>
            </w:r>
          </w:p>
        </w:tc>
        <w:tc>
          <w:tcPr>
            <w:tcW w:w="792" w:type="dxa"/>
            <w:tcMar>
              <w:top w:w="0" w:type="dxa"/>
              <w:left w:w="108" w:type="dxa"/>
              <w:bottom w:w="0" w:type="dxa"/>
              <w:right w:w="108" w:type="dxa"/>
            </w:tcMar>
          </w:tcPr>
          <w:p>
            <w:pPr>
              <w:spacing w:line="520" w:lineRule="atLeast"/>
              <w:ind w:firstLine="482"/>
              <w:jc w:val="left"/>
              <w:rPr>
                <w:rFonts w:eastAsia="仿宋_GB2312" w:cs="宋体"/>
                <w:kern w:val="0"/>
                <w:sz w:val="24"/>
                <w:szCs w:val="32"/>
              </w:rPr>
            </w:pPr>
            <w:r>
              <w:rPr>
                <w:rFonts w:hint="eastAsia" w:eastAsia="仿宋_GB2312" w:cs="宋体"/>
                <w:b/>
                <w:bCs/>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400" w:lineRule="atLeast"/>
              <w:jc w:val="left"/>
              <w:rPr>
                <w:rFonts w:eastAsia="仿宋_GB2312" w:cs="宋体"/>
                <w:kern w:val="0"/>
                <w:sz w:val="24"/>
                <w:szCs w:val="32"/>
              </w:rPr>
            </w:pPr>
            <w:r>
              <w:rPr>
                <w:rFonts w:hint="eastAsia" w:eastAsia="仿宋_GB2312" w:cs="宋体"/>
                <w:kern w:val="0"/>
                <w:sz w:val="24"/>
                <w:szCs w:val="32"/>
              </w:rPr>
              <w:t>1.有对职工进行控烟知识相关培训（包括劝阻技巧等），并有培训等记录（2分）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2</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2.有劝阻工作相关记录及相关制度（3分）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3</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b/>
                <w:bCs/>
                <w:kern w:val="0"/>
                <w:sz w:val="24"/>
                <w:szCs w:val="32"/>
              </w:rPr>
              <w:t>七、鼓励和帮助吸烟职工戒烟5分</w:t>
            </w:r>
          </w:p>
        </w:tc>
        <w:tc>
          <w:tcPr>
            <w:tcW w:w="579" w:type="dxa"/>
            <w:tcMar>
              <w:top w:w="0" w:type="dxa"/>
              <w:left w:w="108" w:type="dxa"/>
              <w:bottom w:w="0" w:type="dxa"/>
              <w:right w:w="108" w:type="dxa"/>
            </w:tcMar>
            <w:vAlign w:val="center"/>
          </w:tcPr>
          <w:p>
            <w:pPr>
              <w:spacing w:line="520" w:lineRule="atLeast"/>
              <w:ind w:firstLine="222"/>
              <w:jc w:val="left"/>
              <w:rPr>
                <w:rFonts w:eastAsia="仿宋_GB2312" w:cs="宋体"/>
                <w:kern w:val="0"/>
                <w:sz w:val="24"/>
                <w:szCs w:val="32"/>
              </w:rPr>
            </w:pPr>
            <w:r>
              <w:rPr>
                <w:rFonts w:hint="eastAsia" w:eastAsia="仿宋_GB2312" w:cs="宋体"/>
                <w:b/>
                <w:bCs/>
                <w:kern w:val="0"/>
                <w:sz w:val="24"/>
                <w:szCs w:val="32"/>
              </w:rPr>
              <w:t> </w:t>
            </w:r>
          </w:p>
        </w:tc>
        <w:tc>
          <w:tcPr>
            <w:tcW w:w="792" w:type="dxa"/>
            <w:tcMar>
              <w:top w:w="0" w:type="dxa"/>
              <w:left w:w="108" w:type="dxa"/>
              <w:bottom w:w="0" w:type="dxa"/>
              <w:right w:w="108" w:type="dxa"/>
            </w:tcMar>
          </w:tcPr>
          <w:p>
            <w:pPr>
              <w:spacing w:line="520" w:lineRule="atLeast"/>
              <w:ind w:firstLine="482"/>
              <w:jc w:val="left"/>
              <w:rPr>
                <w:rFonts w:eastAsia="仿宋_GB2312" w:cs="宋体"/>
                <w:kern w:val="0"/>
                <w:sz w:val="24"/>
                <w:szCs w:val="32"/>
              </w:rPr>
            </w:pPr>
            <w:r>
              <w:rPr>
                <w:rFonts w:hint="eastAsia" w:eastAsia="仿宋_GB2312" w:cs="宋体"/>
                <w:b/>
                <w:bCs/>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1.掌握机构所有员工吸烟情况（2分）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2</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2.对员工提供戒烟服务（3分）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3</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b/>
                <w:bCs/>
                <w:kern w:val="0"/>
                <w:sz w:val="24"/>
                <w:szCs w:val="32"/>
              </w:rPr>
              <w:t>八、所属区域内禁止销售烟草制品5分</w:t>
            </w:r>
          </w:p>
        </w:tc>
        <w:tc>
          <w:tcPr>
            <w:tcW w:w="579" w:type="dxa"/>
            <w:tcMar>
              <w:top w:w="0" w:type="dxa"/>
              <w:left w:w="108" w:type="dxa"/>
              <w:bottom w:w="0" w:type="dxa"/>
              <w:right w:w="108" w:type="dxa"/>
            </w:tcMar>
            <w:vAlign w:val="center"/>
          </w:tcPr>
          <w:p>
            <w:pPr>
              <w:spacing w:line="520" w:lineRule="atLeast"/>
              <w:ind w:firstLine="222"/>
              <w:jc w:val="left"/>
              <w:rPr>
                <w:rFonts w:eastAsia="仿宋_GB2312" w:cs="宋体"/>
                <w:kern w:val="0"/>
                <w:sz w:val="24"/>
                <w:szCs w:val="32"/>
              </w:rPr>
            </w:pPr>
            <w:r>
              <w:rPr>
                <w:rFonts w:hint="eastAsia" w:eastAsia="仿宋_GB2312" w:cs="宋体"/>
                <w:b/>
                <w:bCs/>
                <w:kern w:val="0"/>
                <w:sz w:val="24"/>
                <w:szCs w:val="32"/>
              </w:rPr>
              <w:t> </w:t>
            </w:r>
          </w:p>
        </w:tc>
        <w:tc>
          <w:tcPr>
            <w:tcW w:w="792" w:type="dxa"/>
            <w:tcMar>
              <w:top w:w="0" w:type="dxa"/>
              <w:left w:w="108" w:type="dxa"/>
              <w:bottom w:w="0" w:type="dxa"/>
              <w:right w:w="108" w:type="dxa"/>
            </w:tcMar>
          </w:tcPr>
          <w:p>
            <w:pPr>
              <w:spacing w:line="520" w:lineRule="atLeast"/>
              <w:ind w:firstLine="482"/>
              <w:jc w:val="left"/>
              <w:rPr>
                <w:rFonts w:eastAsia="仿宋_GB2312" w:cs="宋体"/>
                <w:kern w:val="0"/>
                <w:sz w:val="24"/>
                <w:szCs w:val="32"/>
              </w:rPr>
            </w:pPr>
            <w:r>
              <w:rPr>
                <w:rFonts w:hint="eastAsia" w:eastAsia="仿宋_GB2312" w:cs="宋体"/>
                <w:b/>
                <w:bCs/>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1.医疗卫生机构内商店、小卖部不出售烟草制品（5分）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5</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360" w:lineRule="atLeast"/>
              <w:jc w:val="left"/>
              <w:rPr>
                <w:rFonts w:eastAsia="仿宋_GB2312" w:cs="宋体"/>
                <w:kern w:val="0"/>
                <w:sz w:val="24"/>
                <w:szCs w:val="32"/>
              </w:rPr>
            </w:pPr>
            <w:r>
              <w:rPr>
                <w:rFonts w:hint="eastAsia" w:eastAsia="仿宋_GB2312" w:cs="宋体"/>
                <w:b/>
                <w:bCs/>
                <w:kern w:val="0"/>
                <w:sz w:val="24"/>
                <w:szCs w:val="32"/>
              </w:rPr>
              <w:t>九、医务人员掌握控烟知识、方法和技巧，对吸烟者至少提供简短的劝阻和戒烟指导10分</w:t>
            </w:r>
          </w:p>
        </w:tc>
        <w:tc>
          <w:tcPr>
            <w:tcW w:w="579" w:type="dxa"/>
            <w:tcMar>
              <w:top w:w="0" w:type="dxa"/>
              <w:left w:w="108" w:type="dxa"/>
              <w:bottom w:w="0" w:type="dxa"/>
              <w:right w:w="108" w:type="dxa"/>
            </w:tcMar>
            <w:vAlign w:val="center"/>
          </w:tcPr>
          <w:p>
            <w:pPr>
              <w:spacing w:line="520" w:lineRule="atLeast"/>
              <w:ind w:firstLine="222"/>
              <w:jc w:val="left"/>
              <w:rPr>
                <w:rFonts w:eastAsia="仿宋_GB2312" w:cs="宋体"/>
                <w:kern w:val="0"/>
                <w:sz w:val="24"/>
                <w:szCs w:val="32"/>
              </w:rPr>
            </w:pPr>
            <w:r>
              <w:rPr>
                <w:rFonts w:hint="eastAsia" w:eastAsia="仿宋_GB2312" w:cs="宋体"/>
                <w:b/>
                <w:bCs/>
                <w:kern w:val="0"/>
                <w:sz w:val="24"/>
                <w:szCs w:val="32"/>
              </w:rPr>
              <w:t> </w:t>
            </w:r>
          </w:p>
        </w:tc>
        <w:tc>
          <w:tcPr>
            <w:tcW w:w="792" w:type="dxa"/>
            <w:tcMar>
              <w:top w:w="0" w:type="dxa"/>
              <w:left w:w="108" w:type="dxa"/>
              <w:bottom w:w="0" w:type="dxa"/>
              <w:right w:w="108" w:type="dxa"/>
            </w:tcMar>
          </w:tcPr>
          <w:p>
            <w:pPr>
              <w:spacing w:line="520" w:lineRule="atLeast"/>
              <w:ind w:firstLine="482"/>
              <w:jc w:val="left"/>
              <w:rPr>
                <w:rFonts w:eastAsia="仿宋_GB2312" w:cs="宋体"/>
                <w:kern w:val="0"/>
                <w:sz w:val="24"/>
                <w:szCs w:val="32"/>
              </w:rPr>
            </w:pPr>
            <w:r>
              <w:rPr>
                <w:rFonts w:hint="eastAsia" w:eastAsia="仿宋_GB2312" w:cs="宋体"/>
                <w:b/>
                <w:bCs/>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1.医务人员了解吸烟的危害和戒烟的益处（4分）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4</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2.相关科室的医生掌握戒烟方法和技巧（4分）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4</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400" w:lineRule="atLeast"/>
              <w:jc w:val="left"/>
              <w:rPr>
                <w:rFonts w:eastAsia="仿宋_GB2312" w:cs="宋体"/>
                <w:kern w:val="0"/>
                <w:sz w:val="24"/>
                <w:szCs w:val="32"/>
              </w:rPr>
            </w:pPr>
            <w:r>
              <w:rPr>
                <w:rFonts w:hint="eastAsia" w:eastAsia="仿宋_GB2312" w:cs="宋体"/>
                <w:kern w:val="0"/>
                <w:sz w:val="24"/>
                <w:szCs w:val="32"/>
              </w:rPr>
              <w:t>3.相关科室的医生对门诊、住院病人中的吸烟者进行劝阻和戒烟指导并有记录（2分）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2</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b/>
                <w:bCs/>
                <w:kern w:val="0"/>
                <w:sz w:val="24"/>
                <w:szCs w:val="32"/>
              </w:rPr>
              <w:t>十、医疗机构在相应科室设戒烟医生和戒烟咨询电话5分</w:t>
            </w:r>
          </w:p>
        </w:tc>
        <w:tc>
          <w:tcPr>
            <w:tcW w:w="579" w:type="dxa"/>
            <w:tcMar>
              <w:top w:w="0" w:type="dxa"/>
              <w:left w:w="108" w:type="dxa"/>
              <w:bottom w:w="0" w:type="dxa"/>
              <w:right w:w="108" w:type="dxa"/>
            </w:tcMar>
            <w:vAlign w:val="center"/>
          </w:tcPr>
          <w:p>
            <w:pPr>
              <w:spacing w:line="520" w:lineRule="atLeast"/>
              <w:ind w:firstLine="222"/>
              <w:jc w:val="left"/>
              <w:rPr>
                <w:rFonts w:eastAsia="仿宋_GB2312" w:cs="宋体"/>
                <w:kern w:val="0"/>
                <w:sz w:val="24"/>
                <w:szCs w:val="32"/>
              </w:rPr>
            </w:pPr>
            <w:r>
              <w:rPr>
                <w:rFonts w:hint="eastAsia" w:eastAsia="仿宋_GB2312" w:cs="宋体"/>
                <w:b/>
                <w:bCs/>
                <w:kern w:val="0"/>
                <w:sz w:val="24"/>
                <w:szCs w:val="32"/>
              </w:rPr>
              <w:t> </w:t>
            </w:r>
          </w:p>
        </w:tc>
        <w:tc>
          <w:tcPr>
            <w:tcW w:w="792" w:type="dxa"/>
            <w:tcMar>
              <w:top w:w="0" w:type="dxa"/>
              <w:left w:w="108" w:type="dxa"/>
              <w:bottom w:w="0" w:type="dxa"/>
              <w:right w:w="108" w:type="dxa"/>
            </w:tcMar>
          </w:tcPr>
          <w:p>
            <w:pPr>
              <w:spacing w:line="520" w:lineRule="atLeast"/>
              <w:ind w:firstLine="482"/>
              <w:jc w:val="left"/>
              <w:rPr>
                <w:rFonts w:eastAsia="仿宋_GB2312" w:cs="宋体"/>
                <w:kern w:val="0"/>
                <w:sz w:val="24"/>
                <w:szCs w:val="32"/>
              </w:rPr>
            </w:pPr>
            <w:r>
              <w:rPr>
                <w:rFonts w:hint="eastAsia" w:eastAsia="仿宋_GB2312" w:cs="宋体"/>
                <w:b/>
                <w:bCs/>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1.</w:t>
            </w:r>
            <w:r>
              <w:rPr>
                <w:rFonts w:hint="eastAsia" w:eastAsia="仿宋_GB2312" w:cs="宋体"/>
                <w:spacing w:val="-10"/>
                <w:kern w:val="0"/>
                <w:sz w:val="24"/>
                <w:szCs w:val="32"/>
              </w:rPr>
              <w:t>设有戒烟门诊或在相应科室设戒烟医生（2分），并有工作记录（1分）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3</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kern w:val="0"/>
                <w:sz w:val="24"/>
                <w:szCs w:val="32"/>
              </w:rPr>
              <w:t>2.设有戒烟咨询电话并有工作记录（2分）</w:t>
            </w:r>
          </w:p>
        </w:tc>
        <w:tc>
          <w:tcPr>
            <w:tcW w:w="579" w:type="dxa"/>
            <w:tcMar>
              <w:top w:w="0" w:type="dxa"/>
              <w:left w:w="108" w:type="dxa"/>
              <w:bottom w:w="0" w:type="dxa"/>
              <w:right w:w="108" w:type="dxa"/>
            </w:tcMar>
            <w:vAlign w:val="center"/>
          </w:tcPr>
          <w:p>
            <w:pPr>
              <w:spacing w:line="520" w:lineRule="atLeast"/>
              <w:ind w:firstLine="221"/>
              <w:jc w:val="left"/>
              <w:rPr>
                <w:rFonts w:eastAsia="仿宋_GB2312" w:cs="宋体"/>
                <w:kern w:val="0"/>
                <w:sz w:val="24"/>
                <w:szCs w:val="32"/>
              </w:rPr>
            </w:pPr>
            <w:r>
              <w:rPr>
                <w:rFonts w:hint="eastAsia" w:eastAsia="仿宋_GB2312" w:cs="宋体"/>
                <w:kern w:val="0"/>
                <w:sz w:val="24"/>
                <w:szCs w:val="32"/>
              </w:rPr>
              <w:t>2</w:t>
            </w:r>
          </w:p>
        </w:tc>
        <w:tc>
          <w:tcPr>
            <w:tcW w:w="792" w:type="dxa"/>
            <w:tcMar>
              <w:top w:w="0" w:type="dxa"/>
              <w:left w:w="108" w:type="dxa"/>
              <w:bottom w:w="0" w:type="dxa"/>
              <w:right w:w="108" w:type="dxa"/>
            </w:tcMar>
          </w:tcPr>
          <w:p>
            <w:pPr>
              <w:spacing w:line="520" w:lineRule="atLeast"/>
              <w:ind w:firstLine="480"/>
              <w:jc w:val="left"/>
              <w:rPr>
                <w:rFonts w:eastAsia="仿宋_GB2312" w:cs="宋体"/>
                <w:kern w:val="0"/>
                <w:sz w:val="24"/>
                <w:szCs w:val="32"/>
              </w:rPr>
            </w:pPr>
            <w:r>
              <w:rPr>
                <w:rFonts w:hint="eastAsia" w:eastAsia="仿宋_GB2312" w:cs="宋体"/>
                <w:kern w:val="0"/>
                <w:sz w:val="24"/>
                <w:szCs w:val="3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trPr>
        <w:tc>
          <w:tcPr>
            <w:tcW w:w="7327" w:type="dxa"/>
            <w:tcMar>
              <w:top w:w="0" w:type="dxa"/>
              <w:left w:w="108" w:type="dxa"/>
              <w:bottom w:w="0" w:type="dxa"/>
              <w:right w:w="108" w:type="dxa"/>
            </w:tcMar>
          </w:tcPr>
          <w:p>
            <w:pPr>
              <w:spacing w:line="520" w:lineRule="atLeast"/>
              <w:jc w:val="left"/>
              <w:rPr>
                <w:rFonts w:eastAsia="仿宋_GB2312" w:cs="宋体"/>
                <w:kern w:val="0"/>
                <w:sz w:val="24"/>
                <w:szCs w:val="32"/>
              </w:rPr>
            </w:pPr>
            <w:r>
              <w:rPr>
                <w:rFonts w:hint="eastAsia" w:eastAsia="仿宋_GB2312" w:cs="宋体"/>
                <w:b/>
                <w:bCs/>
                <w:kern w:val="0"/>
                <w:sz w:val="24"/>
                <w:szCs w:val="32"/>
              </w:rPr>
              <w:t>总分</w:t>
            </w:r>
          </w:p>
        </w:tc>
        <w:tc>
          <w:tcPr>
            <w:tcW w:w="579" w:type="dxa"/>
            <w:tcMar>
              <w:top w:w="0" w:type="dxa"/>
              <w:left w:w="108" w:type="dxa"/>
              <w:bottom w:w="0" w:type="dxa"/>
              <w:right w:w="108" w:type="dxa"/>
            </w:tcMar>
            <w:vAlign w:val="center"/>
          </w:tcPr>
          <w:p>
            <w:pPr>
              <w:spacing w:line="520" w:lineRule="atLeast"/>
              <w:ind w:firstLine="118"/>
              <w:jc w:val="left"/>
              <w:rPr>
                <w:rFonts w:eastAsia="仿宋_GB2312" w:cs="宋体"/>
                <w:kern w:val="0"/>
                <w:sz w:val="24"/>
                <w:szCs w:val="32"/>
              </w:rPr>
            </w:pPr>
            <w:r>
              <w:rPr>
                <w:rFonts w:hint="eastAsia" w:eastAsia="仿宋_GB2312" w:cs="宋体"/>
                <w:b/>
                <w:bCs/>
                <w:kern w:val="0"/>
                <w:sz w:val="24"/>
                <w:szCs w:val="32"/>
              </w:rPr>
              <w:t>100</w:t>
            </w:r>
          </w:p>
        </w:tc>
        <w:tc>
          <w:tcPr>
            <w:tcW w:w="792" w:type="dxa"/>
            <w:tcMar>
              <w:top w:w="0" w:type="dxa"/>
              <w:left w:w="108" w:type="dxa"/>
              <w:bottom w:w="0" w:type="dxa"/>
              <w:right w:w="108" w:type="dxa"/>
            </w:tcMar>
          </w:tcPr>
          <w:p>
            <w:pPr>
              <w:spacing w:line="520" w:lineRule="atLeast"/>
              <w:ind w:firstLine="482"/>
              <w:jc w:val="left"/>
              <w:rPr>
                <w:rFonts w:eastAsia="仿宋_GB2312" w:cs="宋体"/>
                <w:kern w:val="0"/>
                <w:sz w:val="24"/>
                <w:szCs w:val="32"/>
              </w:rPr>
            </w:pPr>
            <w:r>
              <w:rPr>
                <w:rFonts w:hint="eastAsia" w:eastAsia="仿宋_GB2312" w:cs="宋体"/>
                <w:b/>
                <w:bCs/>
                <w:kern w:val="0"/>
                <w:sz w:val="24"/>
                <w:szCs w:val="32"/>
              </w:rPr>
              <w:t> </w:t>
            </w:r>
          </w:p>
        </w:tc>
      </w:tr>
    </w:tbl>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24"/>
        </w:rPr>
      </w:pPr>
      <w:r>
        <w:rPr>
          <w:rFonts w:hint="eastAsia" w:eastAsia="仿宋_GB2312"/>
          <w:sz w:val="24"/>
        </w:rPr>
        <w:t>评分说明：</w:t>
      </w:r>
    </w:p>
    <w:p>
      <w:pPr>
        <w:rPr>
          <w:rFonts w:eastAsia="仿宋_GB2312"/>
          <w:sz w:val="24"/>
        </w:rPr>
      </w:pPr>
      <w:r>
        <w:rPr>
          <w:rFonts w:hint="eastAsia" w:eastAsia="仿宋_GB2312"/>
          <w:sz w:val="24"/>
        </w:rPr>
        <w:t>1. 无烟医疗卫生机构评估标准评分表总分为100分，达标标准为80分。</w:t>
      </w:r>
    </w:p>
    <w:p>
      <w:pPr>
        <w:rPr>
          <w:rFonts w:eastAsia="仿宋_GB2312"/>
          <w:sz w:val="24"/>
        </w:rPr>
      </w:pPr>
      <w:r>
        <w:rPr>
          <w:rFonts w:hint="eastAsia" w:eastAsia="仿宋_GB2312"/>
          <w:sz w:val="24"/>
        </w:rPr>
        <w:t>2. 公共卫生机构和卫生行政部门、机关企事业单位不对第九、十项进行评估，总分85分，达标标准为68分。</w:t>
      </w:r>
    </w:p>
    <w:p>
      <w:pPr>
        <w:rPr>
          <w:rFonts w:eastAsia="仿宋_GB2312"/>
          <w:sz w:val="24"/>
        </w:rPr>
      </w:pPr>
      <w:r>
        <w:rPr>
          <w:rFonts w:hint="eastAsia" w:eastAsia="仿宋_GB2312"/>
          <w:sz w:val="24"/>
        </w:rPr>
        <w:t>3. 一至八项标准中有1项为0分，即视为不达标。</w:t>
      </w:r>
    </w:p>
    <w:p>
      <w:pPr>
        <w:rPr>
          <w:rFonts w:eastAsia="仿宋_GB2312"/>
          <w:sz w:val="24"/>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rPr>
        <w:sectPr>
          <w:pgSz w:w="16838" w:h="11906" w:orient="landscape"/>
          <w:pgMar w:top="1800" w:right="1440" w:bottom="1800" w:left="1440" w:header="851" w:footer="992" w:gutter="0"/>
          <w:cols w:space="720" w:num="1"/>
          <w:docGrid w:type="lines" w:linePitch="312" w:charSpace="0"/>
        </w:sectPr>
      </w:pPr>
    </w:p>
    <w:p>
      <w:pPr>
        <w:rPr>
          <w:rFonts w:eastAsia="仿宋_GB2312"/>
          <w:sz w:val="32"/>
          <w:szCs w:val="32"/>
        </w:rPr>
      </w:pPr>
      <w:r>
        <w:rPr>
          <w:rFonts w:hint="eastAsia" w:eastAsia="仿宋_GB2312"/>
          <w:sz w:val="32"/>
          <w:szCs w:val="32"/>
        </w:rPr>
        <w:t>附件10</w:t>
      </w:r>
    </w:p>
    <w:p>
      <w:pPr>
        <w:widowControl/>
        <w:spacing w:beforeLines="50" w:afterLines="50"/>
        <w:jc w:val="center"/>
        <w:rPr>
          <w:rFonts w:eastAsia="仿宋_GB2312"/>
          <w:sz w:val="36"/>
          <w:szCs w:val="36"/>
        </w:rPr>
      </w:pPr>
      <w:r>
        <w:rPr>
          <w:rFonts w:eastAsia="仿宋_GB2312"/>
          <w:kern w:val="0"/>
          <w:sz w:val="36"/>
          <w:szCs w:val="36"/>
        </w:rPr>
        <w:t>健康县区评估细则（查阅资料）</w:t>
      </w:r>
    </w:p>
    <w:tbl>
      <w:tblPr>
        <w:tblStyle w:val="9"/>
        <w:tblW w:w="14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1020"/>
        <w:gridCol w:w="3061"/>
        <w:gridCol w:w="2551"/>
        <w:gridCol w:w="5545"/>
        <w:gridCol w:w="567"/>
        <w:gridCol w:w="567"/>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82" w:type="dxa"/>
          </w:tcPr>
          <w:p>
            <w:pPr>
              <w:widowControl/>
              <w:spacing w:line="365" w:lineRule="atLeast"/>
              <w:jc w:val="center"/>
              <w:rPr>
                <w:rFonts w:eastAsia="仿宋_GB2312"/>
                <w:color w:val="000000"/>
                <w:kern w:val="0"/>
                <w:sz w:val="20"/>
                <w:szCs w:val="21"/>
              </w:rPr>
            </w:pPr>
            <w:r>
              <w:rPr>
                <w:rFonts w:eastAsia="仿宋_GB2312"/>
                <w:color w:val="000000"/>
                <w:kern w:val="0"/>
                <w:sz w:val="20"/>
                <w:szCs w:val="21"/>
              </w:rPr>
              <w:t>领</w:t>
            </w:r>
          </w:p>
          <w:p>
            <w:pPr>
              <w:widowControl/>
              <w:spacing w:line="365" w:lineRule="atLeast"/>
              <w:jc w:val="center"/>
              <w:rPr>
                <w:rFonts w:eastAsia="仿宋_GB2312"/>
                <w:color w:val="000000"/>
                <w:kern w:val="0"/>
                <w:sz w:val="20"/>
                <w:szCs w:val="21"/>
              </w:rPr>
            </w:pPr>
            <w:r>
              <w:rPr>
                <w:rFonts w:eastAsia="仿宋_GB2312"/>
                <w:color w:val="000000"/>
                <w:kern w:val="0"/>
                <w:sz w:val="20"/>
                <w:szCs w:val="21"/>
              </w:rPr>
              <w:t>域</w:t>
            </w:r>
          </w:p>
        </w:tc>
        <w:tc>
          <w:tcPr>
            <w:tcW w:w="1020" w:type="dxa"/>
          </w:tcPr>
          <w:p>
            <w:pPr>
              <w:widowControl/>
              <w:spacing w:line="365" w:lineRule="atLeast"/>
              <w:jc w:val="center"/>
              <w:rPr>
                <w:rFonts w:eastAsia="仿宋_GB2312"/>
                <w:color w:val="000000"/>
                <w:kern w:val="0"/>
                <w:sz w:val="20"/>
                <w:szCs w:val="21"/>
              </w:rPr>
            </w:pPr>
            <w:r>
              <w:rPr>
                <w:rFonts w:eastAsia="仿宋_GB2312"/>
                <w:color w:val="000000"/>
                <w:kern w:val="0"/>
                <w:sz w:val="20"/>
                <w:szCs w:val="21"/>
              </w:rPr>
              <w:t>评估</w:t>
            </w:r>
          </w:p>
          <w:p>
            <w:pPr>
              <w:widowControl/>
              <w:spacing w:line="365" w:lineRule="atLeast"/>
              <w:jc w:val="center"/>
              <w:rPr>
                <w:rFonts w:eastAsia="仿宋_GB2312"/>
                <w:color w:val="000000"/>
                <w:kern w:val="0"/>
                <w:sz w:val="20"/>
                <w:szCs w:val="21"/>
              </w:rPr>
            </w:pPr>
            <w:r>
              <w:rPr>
                <w:rFonts w:eastAsia="仿宋_GB2312"/>
                <w:color w:val="000000"/>
                <w:kern w:val="0"/>
                <w:sz w:val="20"/>
                <w:szCs w:val="21"/>
              </w:rPr>
              <w:t>指标</w:t>
            </w:r>
          </w:p>
        </w:tc>
        <w:tc>
          <w:tcPr>
            <w:tcW w:w="3061" w:type="dxa"/>
            <w:vAlign w:val="center"/>
          </w:tcPr>
          <w:p>
            <w:pPr>
              <w:widowControl/>
              <w:spacing w:line="365" w:lineRule="atLeast"/>
              <w:jc w:val="center"/>
              <w:rPr>
                <w:rFonts w:eastAsia="仿宋_GB2312"/>
                <w:color w:val="000000"/>
                <w:kern w:val="0"/>
                <w:sz w:val="20"/>
                <w:szCs w:val="21"/>
              </w:rPr>
            </w:pPr>
            <w:r>
              <w:rPr>
                <w:rFonts w:eastAsia="仿宋_GB2312"/>
                <w:color w:val="000000"/>
                <w:kern w:val="0"/>
                <w:sz w:val="20"/>
                <w:szCs w:val="21"/>
              </w:rPr>
              <w:t>指标说明</w:t>
            </w:r>
          </w:p>
        </w:tc>
        <w:tc>
          <w:tcPr>
            <w:tcW w:w="2551" w:type="dxa"/>
            <w:vAlign w:val="center"/>
          </w:tcPr>
          <w:p>
            <w:pPr>
              <w:widowControl/>
              <w:spacing w:line="365" w:lineRule="atLeast"/>
              <w:jc w:val="center"/>
              <w:rPr>
                <w:rFonts w:eastAsia="仿宋_GB2312"/>
                <w:color w:val="000000"/>
                <w:kern w:val="0"/>
                <w:sz w:val="20"/>
                <w:szCs w:val="21"/>
              </w:rPr>
            </w:pPr>
            <w:r>
              <w:rPr>
                <w:rFonts w:eastAsia="仿宋_GB2312"/>
                <w:color w:val="000000"/>
                <w:kern w:val="0"/>
                <w:sz w:val="20"/>
                <w:szCs w:val="21"/>
              </w:rPr>
              <w:t>评估方式</w:t>
            </w:r>
          </w:p>
        </w:tc>
        <w:tc>
          <w:tcPr>
            <w:tcW w:w="5545" w:type="dxa"/>
            <w:vAlign w:val="center"/>
          </w:tcPr>
          <w:p>
            <w:pPr>
              <w:widowControl/>
              <w:spacing w:line="365" w:lineRule="atLeast"/>
              <w:jc w:val="center"/>
              <w:rPr>
                <w:rFonts w:eastAsia="仿宋_GB2312"/>
                <w:color w:val="000000"/>
                <w:kern w:val="0"/>
                <w:sz w:val="20"/>
                <w:szCs w:val="21"/>
              </w:rPr>
            </w:pPr>
            <w:r>
              <w:rPr>
                <w:rFonts w:eastAsia="仿宋_GB2312"/>
                <w:color w:val="000000"/>
                <w:kern w:val="0"/>
                <w:sz w:val="20"/>
                <w:szCs w:val="21"/>
              </w:rPr>
              <w:t>赋分标准</w:t>
            </w:r>
          </w:p>
        </w:tc>
        <w:tc>
          <w:tcPr>
            <w:tcW w:w="567" w:type="dxa"/>
          </w:tcPr>
          <w:p>
            <w:pPr>
              <w:widowControl/>
              <w:spacing w:line="365" w:lineRule="atLeast"/>
              <w:jc w:val="center"/>
              <w:rPr>
                <w:rFonts w:eastAsia="仿宋_GB2312"/>
                <w:color w:val="000000"/>
                <w:kern w:val="0"/>
                <w:sz w:val="20"/>
                <w:szCs w:val="21"/>
              </w:rPr>
            </w:pPr>
            <w:r>
              <w:rPr>
                <w:rFonts w:eastAsia="仿宋_GB2312"/>
                <w:color w:val="000000"/>
                <w:kern w:val="0"/>
                <w:sz w:val="20"/>
                <w:szCs w:val="21"/>
              </w:rPr>
              <w:t>分值</w:t>
            </w:r>
          </w:p>
        </w:tc>
        <w:tc>
          <w:tcPr>
            <w:tcW w:w="567" w:type="dxa"/>
          </w:tcPr>
          <w:p>
            <w:pPr>
              <w:widowControl/>
              <w:spacing w:line="365" w:lineRule="atLeast"/>
              <w:jc w:val="center"/>
              <w:rPr>
                <w:rFonts w:eastAsia="仿宋_GB2312"/>
                <w:color w:val="000000"/>
                <w:kern w:val="0"/>
                <w:sz w:val="20"/>
                <w:szCs w:val="21"/>
              </w:rPr>
            </w:pPr>
            <w:r>
              <w:rPr>
                <w:rFonts w:eastAsia="仿宋_GB2312"/>
                <w:color w:val="000000"/>
                <w:kern w:val="0"/>
                <w:sz w:val="20"/>
                <w:szCs w:val="21"/>
              </w:rPr>
              <w:t>得分</w:t>
            </w:r>
          </w:p>
        </w:tc>
        <w:tc>
          <w:tcPr>
            <w:tcW w:w="809" w:type="dxa"/>
          </w:tcPr>
          <w:p>
            <w:pPr>
              <w:widowControl/>
              <w:spacing w:line="365" w:lineRule="atLeast"/>
              <w:jc w:val="center"/>
              <w:rPr>
                <w:rFonts w:eastAsia="仿宋_GB2312"/>
                <w:color w:val="000000"/>
                <w:kern w:val="0"/>
                <w:sz w:val="20"/>
                <w:szCs w:val="21"/>
              </w:rPr>
            </w:pPr>
            <w:r>
              <w:rPr>
                <w:rFonts w:eastAsia="仿宋_GB2312"/>
                <w:color w:val="000000"/>
                <w:kern w:val="0"/>
                <w:sz w:val="20"/>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82" w:type="dxa"/>
            <w:vMerge w:val="restart"/>
          </w:tcPr>
          <w:p>
            <w:pPr>
              <w:rPr>
                <w:rFonts w:eastAsia="仿宋_GB2312"/>
                <w:color w:val="000000"/>
                <w:kern w:val="0"/>
                <w:sz w:val="20"/>
                <w:szCs w:val="21"/>
              </w:rPr>
            </w:pPr>
            <w:r>
              <w:rPr>
                <w:rFonts w:eastAsia="仿宋_GB2312"/>
                <w:b/>
                <w:bCs/>
                <w:color w:val="000000"/>
                <w:kern w:val="0"/>
                <w:sz w:val="20"/>
                <w:szCs w:val="21"/>
              </w:rPr>
              <w:t>一、健康政策</w:t>
            </w:r>
          </w:p>
        </w:tc>
        <w:tc>
          <w:tcPr>
            <w:tcW w:w="1020" w:type="dxa"/>
          </w:tcPr>
          <w:p>
            <w:pPr>
              <w:widowControl/>
              <w:rPr>
                <w:rFonts w:eastAsia="仿宋_GB2312"/>
                <w:color w:val="000000"/>
                <w:kern w:val="0"/>
                <w:sz w:val="20"/>
                <w:szCs w:val="21"/>
              </w:rPr>
            </w:pPr>
            <w:r>
              <w:rPr>
                <w:rFonts w:eastAsia="仿宋_GB2312"/>
                <w:color w:val="000000"/>
                <w:kern w:val="0"/>
                <w:sz w:val="20"/>
                <w:szCs w:val="21"/>
              </w:rPr>
              <w:t>1.纳入县区发展规划</w:t>
            </w:r>
          </w:p>
        </w:tc>
        <w:tc>
          <w:tcPr>
            <w:tcW w:w="3061" w:type="dxa"/>
          </w:tcPr>
          <w:p>
            <w:pPr>
              <w:widowControl/>
              <w:rPr>
                <w:rFonts w:eastAsia="仿宋_GB2312"/>
                <w:color w:val="000000"/>
                <w:kern w:val="0"/>
                <w:sz w:val="20"/>
                <w:szCs w:val="21"/>
              </w:rPr>
            </w:pPr>
            <w:r>
              <w:rPr>
                <w:rFonts w:eastAsia="仿宋_GB2312"/>
                <w:color w:val="000000"/>
                <w:kern w:val="0"/>
                <w:sz w:val="20"/>
                <w:szCs w:val="21"/>
              </w:rPr>
              <w:t>工作报告、发展规划等文件中，体现健康县区建设内容。</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查阅资料：工作报告、发展规划等文件。</w:t>
            </w:r>
          </w:p>
          <w:p>
            <w:pPr>
              <w:widowControl/>
              <w:rPr>
                <w:rFonts w:eastAsia="仿宋_GB2312"/>
                <w:color w:val="000000"/>
                <w:kern w:val="0"/>
                <w:sz w:val="20"/>
                <w:szCs w:val="21"/>
              </w:rPr>
            </w:pPr>
            <w:r>
              <w:rPr>
                <w:rFonts w:eastAsia="仿宋_GB2312"/>
                <w:color w:val="000000"/>
                <w:kern w:val="0"/>
                <w:sz w:val="20"/>
                <w:szCs w:val="21"/>
              </w:rPr>
              <w:t>资料来源：文件印发部门。</w:t>
            </w:r>
          </w:p>
        </w:tc>
        <w:tc>
          <w:tcPr>
            <w:tcW w:w="5545" w:type="dxa"/>
          </w:tcPr>
          <w:p>
            <w:pPr>
              <w:widowControl/>
              <w:rPr>
                <w:rFonts w:eastAsia="仿宋_GB2312"/>
                <w:color w:val="000000"/>
                <w:kern w:val="0"/>
                <w:sz w:val="20"/>
                <w:szCs w:val="21"/>
              </w:rPr>
            </w:pPr>
            <w:r>
              <w:rPr>
                <w:rFonts w:eastAsia="仿宋_GB2312"/>
                <w:color w:val="000000"/>
                <w:kern w:val="0"/>
                <w:sz w:val="20"/>
                <w:szCs w:val="21"/>
              </w:rPr>
              <w:t>文件中体现健康县区建设内容，得10分；未体现，不得分。</w:t>
            </w:r>
          </w:p>
          <w:p>
            <w:pPr>
              <w:widowControl/>
              <w:rPr>
                <w:rFonts w:eastAsia="仿宋_GB2312"/>
                <w:color w:val="000000"/>
                <w:kern w:val="0"/>
                <w:sz w:val="20"/>
                <w:szCs w:val="21"/>
              </w:rPr>
            </w:pPr>
          </w:p>
        </w:tc>
        <w:tc>
          <w:tcPr>
            <w:tcW w:w="567" w:type="dxa"/>
          </w:tcPr>
          <w:p>
            <w:pPr>
              <w:widowControl/>
              <w:spacing w:line="400" w:lineRule="atLeast"/>
              <w:rPr>
                <w:rFonts w:eastAsia="仿宋_GB2312"/>
                <w:color w:val="000000"/>
                <w:kern w:val="0"/>
                <w:sz w:val="20"/>
                <w:szCs w:val="21"/>
              </w:rPr>
            </w:pPr>
            <w:r>
              <w:rPr>
                <w:rFonts w:eastAsia="仿宋_GB2312"/>
                <w:color w:val="000000"/>
                <w:kern w:val="0"/>
                <w:sz w:val="20"/>
                <w:szCs w:val="21"/>
              </w:rPr>
              <w:t>10</w:t>
            </w:r>
          </w:p>
        </w:tc>
        <w:tc>
          <w:tcPr>
            <w:tcW w:w="567" w:type="dxa"/>
          </w:tcPr>
          <w:p>
            <w:pPr>
              <w:widowControl/>
              <w:spacing w:line="400" w:lineRule="atLeast"/>
              <w:rPr>
                <w:rFonts w:eastAsia="仿宋_GB2312"/>
                <w:color w:val="000000"/>
                <w:kern w:val="0"/>
                <w:sz w:val="20"/>
                <w:szCs w:val="21"/>
              </w:rPr>
            </w:pPr>
          </w:p>
        </w:tc>
        <w:tc>
          <w:tcPr>
            <w:tcW w:w="809" w:type="dxa"/>
          </w:tcPr>
          <w:p>
            <w:pPr>
              <w:widowControl/>
              <w:spacing w:line="400" w:lineRule="atLeast"/>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82" w:type="dxa"/>
            <w:vMerge w:val="continue"/>
          </w:tcPr>
          <w:p>
            <w:pPr>
              <w:widowControl/>
              <w:spacing w:line="400" w:lineRule="atLeast"/>
              <w:textAlignment w:val="center"/>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2.人群健康状况及影响因素分析</w:t>
            </w:r>
          </w:p>
        </w:tc>
        <w:tc>
          <w:tcPr>
            <w:tcW w:w="3061" w:type="dxa"/>
          </w:tcPr>
          <w:p>
            <w:pPr>
              <w:widowControl/>
              <w:rPr>
                <w:rFonts w:eastAsia="仿宋_GB2312"/>
                <w:color w:val="000000"/>
                <w:kern w:val="0"/>
                <w:sz w:val="20"/>
                <w:szCs w:val="21"/>
              </w:rPr>
            </w:pPr>
            <w:r>
              <w:rPr>
                <w:rFonts w:eastAsia="仿宋_GB2312"/>
                <w:color w:val="000000"/>
                <w:kern w:val="0"/>
                <w:sz w:val="20"/>
                <w:szCs w:val="21"/>
              </w:rPr>
              <w:t>收集人群健康状况及影响因素相关信息，分析辖区内主要健康问题，提出优先干预策略。</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查阅资料：相关调查报告。</w:t>
            </w:r>
          </w:p>
          <w:p>
            <w:pPr>
              <w:widowControl/>
              <w:rPr>
                <w:rFonts w:eastAsia="仿宋_GB2312"/>
                <w:color w:val="000000"/>
                <w:kern w:val="0"/>
                <w:sz w:val="20"/>
                <w:szCs w:val="21"/>
              </w:rPr>
            </w:pPr>
            <w:r>
              <w:rPr>
                <w:rFonts w:eastAsia="仿宋_GB2312"/>
                <w:color w:val="000000"/>
                <w:kern w:val="0"/>
                <w:sz w:val="20"/>
                <w:szCs w:val="21"/>
              </w:rPr>
              <w:t>资料来源：卫生健康部门。</w:t>
            </w:r>
          </w:p>
        </w:tc>
        <w:tc>
          <w:tcPr>
            <w:tcW w:w="5545" w:type="dxa"/>
          </w:tcPr>
          <w:p>
            <w:pPr>
              <w:widowControl/>
              <w:rPr>
                <w:rFonts w:eastAsia="仿宋_GB2312"/>
                <w:color w:val="000000"/>
                <w:kern w:val="0"/>
                <w:sz w:val="20"/>
                <w:szCs w:val="21"/>
              </w:rPr>
            </w:pPr>
            <w:r>
              <w:rPr>
                <w:rFonts w:eastAsia="仿宋_GB2312"/>
                <w:color w:val="000000"/>
                <w:kern w:val="0"/>
                <w:sz w:val="20"/>
                <w:szCs w:val="21"/>
              </w:rPr>
              <w:t>1.有相关调查报告，得4分；无报告，不得分。</w:t>
            </w:r>
          </w:p>
          <w:p>
            <w:pPr>
              <w:widowControl/>
              <w:rPr>
                <w:rFonts w:eastAsia="仿宋_GB2312"/>
                <w:color w:val="000000"/>
                <w:kern w:val="0"/>
                <w:sz w:val="20"/>
                <w:szCs w:val="21"/>
              </w:rPr>
            </w:pPr>
            <w:r>
              <w:rPr>
                <w:rFonts w:eastAsia="仿宋_GB2312"/>
                <w:color w:val="000000"/>
                <w:kern w:val="0"/>
                <w:sz w:val="20"/>
                <w:szCs w:val="21"/>
              </w:rPr>
              <w:t>2.资料收集方法合理，得4分；不合理，不得分。</w:t>
            </w:r>
          </w:p>
          <w:p>
            <w:pPr>
              <w:widowControl/>
              <w:rPr>
                <w:rFonts w:eastAsia="仿宋_GB2312"/>
                <w:color w:val="000000"/>
                <w:kern w:val="0"/>
                <w:sz w:val="20"/>
                <w:szCs w:val="21"/>
              </w:rPr>
            </w:pPr>
            <w:r>
              <w:rPr>
                <w:rFonts w:eastAsia="仿宋_GB2312"/>
                <w:color w:val="000000"/>
                <w:kern w:val="0"/>
                <w:sz w:val="20"/>
                <w:szCs w:val="21"/>
              </w:rPr>
              <w:t>3.分析思路清晰，方法得当，得4分；未达到要求，不得分。</w:t>
            </w:r>
          </w:p>
          <w:p>
            <w:pPr>
              <w:widowControl/>
              <w:rPr>
                <w:rFonts w:eastAsia="仿宋_GB2312"/>
                <w:color w:val="000000"/>
                <w:kern w:val="0"/>
                <w:sz w:val="20"/>
                <w:szCs w:val="21"/>
              </w:rPr>
            </w:pPr>
            <w:r>
              <w:rPr>
                <w:rFonts w:eastAsia="仿宋_GB2312"/>
                <w:color w:val="000000"/>
                <w:kern w:val="0"/>
                <w:sz w:val="20"/>
                <w:szCs w:val="21"/>
              </w:rPr>
              <w:t>4.提出主要的健康问题和影响因素，得4分；未提出，不得分。</w:t>
            </w:r>
          </w:p>
          <w:p>
            <w:pPr>
              <w:widowControl/>
              <w:rPr>
                <w:rFonts w:eastAsia="仿宋_GB2312"/>
                <w:color w:val="000000"/>
                <w:kern w:val="0"/>
                <w:sz w:val="20"/>
                <w:szCs w:val="21"/>
              </w:rPr>
            </w:pPr>
            <w:r>
              <w:rPr>
                <w:rFonts w:eastAsia="仿宋_GB2312"/>
                <w:color w:val="000000"/>
                <w:kern w:val="0"/>
                <w:sz w:val="20"/>
                <w:szCs w:val="21"/>
              </w:rPr>
              <w:t>5.提出明确的干预策略建议，得4分；未提出，不得分。</w:t>
            </w:r>
          </w:p>
          <w:p>
            <w:pPr>
              <w:widowControl/>
              <w:rPr>
                <w:rFonts w:eastAsia="仿宋_GB2312"/>
                <w:color w:val="000000"/>
                <w:kern w:val="0"/>
                <w:sz w:val="20"/>
                <w:szCs w:val="21"/>
              </w:rPr>
            </w:pPr>
            <w:r>
              <w:rPr>
                <w:rFonts w:eastAsia="仿宋_GB2312"/>
                <w:color w:val="000000"/>
                <w:kern w:val="0"/>
                <w:sz w:val="20"/>
                <w:szCs w:val="21"/>
              </w:rPr>
              <w:t>该指标满分为20分。</w:t>
            </w:r>
          </w:p>
        </w:tc>
        <w:tc>
          <w:tcPr>
            <w:tcW w:w="567" w:type="dxa"/>
          </w:tcPr>
          <w:p>
            <w:pPr>
              <w:widowControl/>
              <w:spacing w:line="400" w:lineRule="atLeast"/>
              <w:textAlignment w:val="center"/>
              <w:rPr>
                <w:rFonts w:eastAsia="仿宋_GB2312"/>
                <w:color w:val="000000"/>
                <w:kern w:val="0"/>
                <w:sz w:val="20"/>
                <w:szCs w:val="21"/>
              </w:rPr>
            </w:pPr>
            <w:r>
              <w:rPr>
                <w:rFonts w:eastAsia="仿宋_GB2312"/>
                <w:color w:val="000000"/>
                <w:kern w:val="0"/>
                <w:sz w:val="20"/>
                <w:szCs w:val="21"/>
              </w:rPr>
              <w:t>20</w:t>
            </w:r>
          </w:p>
        </w:tc>
        <w:tc>
          <w:tcPr>
            <w:tcW w:w="567" w:type="dxa"/>
          </w:tcPr>
          <w:p>
            <w:pPr>
              <w:widowControl/>
              <w:spacing w:line="400" w:lineRule="atLeast"/>
              <w:textAlignment w:val="center"/>
              <w:rPr>
                <w:rFonts w:eastAsia="仿宋_GB2312"/>
                <w:color w:val="000000"/>
                <w:kern w:val="0"/>
                <w:sz w:val="20"/>
                <w:szCs w:val="21"/>
              </w:rPr>
            </w:pPr>
          </w:p>
        </w:tc>
        <w:tc>
          <w:tcPr>
            <w:tcW w:w="809" w:type="dxa"/>
          </w:tcPr>
          <w:p>
            <w:pPr>
              <w:widowControl/>
              <w:spacing w:line="400" w:lineRule="atLeast"/>
              <w:textAlignment w:val="center"/>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82" w:type="dxa"/>
            <w:vMerge w:val="continue"/>
          </w:tcPr>
          <w:p>
            <w:pPr>
              <w:widowControl/>
              <w:spacing w:line="400" w:lineRule="atLeast"/>
              <w:textAlignment w:val="center"/>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3.健康县区实施方案</w:t>
            </w:r>
          </w:p>
        </w:tc>
        <w:tc>
          <w:tcPr>
            <w:tcW w:w="3061" w:type="dxa"/>
          </w:tcPr>
          <w:p>
            <w:pPr>
              <w:widowControl/>
              <w:rPr>
                <w:rFonts w:eastAsia="仿宋_GB2312"/>
                <w:color w:val="000000"/>
                <w:kern w:val="0"/>
                <w:sz w:val="20"/>
                <w:szCs w:val="21"/>
              </w:rPr>
            </w:pPr>
            <w:r>
              <w:rPr>
                <w:rFonts w:eastAsia="仿宋_GB2312"/>
                <w:color w:val="000000"/>
                <w:kern w:val="0"/>
                <w:sz w:val="20"/>
                <w:szCs w:val="21"/>
              </w:rPr>
              <w:t>出台健康县区实施方案，明确建设目标、工作内容、任务分工、时间进度。</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查阅资料：健康县区实施方案。</w:t>
            </w:r>
          </w:p>
          <w:p>
            <w:pPr>
              <w:widowControl/>
              <w:rPr>
                <w:rFonts w:eastAsia="仿宋_GB2312"/>
                <w:color w:val="000000"/>
                <w:kern w:val="0"/>
                <w:sz w:val="20"/>
                <w:szCs w:val="21"/>
              </w:rPr>
            </w:pPr>
            <w:r>
              <w:rPr>
                <w:rFonts w:eastAsia="仿宋_GB2312"/>
                <w:color w:val="000000"/>
                <w:kern w:val="0"/>
                <w:sz w:val="20"/>
                <w:szCs w:val="21"/>
              </w:rPr>
              <w:t>资料来源：文件印发部门。</w:t>
            </w:r>
          </w:p>
        </w:tc>
        <w:tc>
          <w:tcPr>
            <w:tcW w:w="5545" w:type="dxa"/>
          </w:tcPr>
          <w:p>
            <w:pPr>
              <w:widowControl/>
              <w:rPr>
                <w:rFonts w:eastAsia="仿宋_GB2312"/>
                <w:color w:val="000000"/>
                <w:kern w:val="0"/>
                <w:sz w:val="20"/>
                <w:szCs w:val="21"/>
              </w:rPr>
            </w:pPr>
            <w:r>
              <w:rPr>
                <w:rFonts w:eastAsia="仿宋_GB2312"/>
                <w:color w:val="000000"/>
                <w:kern w:val="0"/>
                <w:sz w:val="20"/>
                <w:szCs w:val="21"/>
              </w:rPr>
              <w:t>出台健康县区实施方案，并体现健康中国、乡村振兴和积极应对人口老龄化等国家战略，得10分；仅有实施方案，但未体现三个国家战略的统筹考虑，得5分；无实施方案，不得分。</w:t>
            </w:r>
          </w:p>
        </w:tc>
        <w:tc>
          <w:tcPr>
            <w:tcW w:w="567" w:type="dxa"/>
          </w:tcPr>
          <w:p>
            <w:pPr>
              <w:widowControl/>
              <w:spacing w:line="400" w:lineRule="atLeast"/>
              <w:textAlignment w:val="center"/>
              <w:rPr>
                <w:rFonts w:eastAsia="仿宋_GB2312"/>
                <w:color w:val="000000"/>
                <w:kern w:val="0"/>
                <w:sz w:val="20"/>
                <w:szCs w:val="21"/>
              </w:rPr>
            </w:pPr>
            <w:r>
              <w:rPr>
                <w:rFonts w:eastAsia="仿宋_GB2312"/>
                <w:color w:val="000000"/>
                <w:kern w:val="0"/>
                <w:sz w:val="20"/>
                <w:szCs w:val="21"/>
              </w:rPr>
              <w:t>10</w:t>
            </w:r>
          </w:p>
        </w:tc>
        <w:tc>
          <w:tcPr>
            <w:tcW w:w="567" w:type="dxa"/>
          </w:tcPr>
          <w:p>
            <w:pPr>
              <w:widowControl/>
              <w:spacing w:line="400" w:lineRule="atLeast"/>
              <w:textAlignment w:val="center"/>
              <w:rPr>
                <w:rFonts w:eastAsia="仿宋_GB2312"/>
                <w:color w:val="000000"/>
                <w:kern w:val="0"/>
                <w:sz w:val="20"/>
                <w:szCs w:val="21"/>
              </w:rPr>
            </w:pPr>
          </w:p>
        </w:tc>
        <w:tc>
          <w:tcPr>
            <w:tcW w:w="809" w:type="dxa"/>
          </w:tcPr>
          <w:p>
            <w:pPr>
              <w:widowControl/>
              <w:spacing w:line="400" w:lineRule="atLeast"/>
              <w:textAlignment w:val="center"/>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82" w:type="dxa"/>
            <w:vMerge w:val="continue"/>
          </w:tcPr>
          <w:p>
            <w:pPr>
              <w:widowControl/>
              <w:spacing w:line="400" w:lineRule="atLeast"/>
              <w:textAlignment w:val="center"/>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4.跨部门健康行动</w:t>
            </w:r>
          </w:p>
        </w:tc>
        <w:tc>
          <w:tcPr>
            <w:tcW w:w="3061" w:type="dxa"/>
          </w:tcPr>
          <w:p>
            <w:pPr>
              <w:widowControl/>
              <w:rPr>
                <w:rFonts w:eastAsia="仿宋_GB2312"/>
                <w:color w:val="000000"/>
                <w:kern w:val="0"/>
                <w:sz w:val="20"/>
                <w:szCs w:val="21"/>
              </w:rPr>
            </w:pPr>
            <w:r>
              <w:rPr>
                <w:rFonts w:eastAsia="仿宋_GB2312"/>
                <w:color w:val="000000"/>
                <w:kern w:val="0"/>
                <w:sz w:val="20"/>
                <w:szCs w:val="21"/>
              </w:rPr>
              <w:t>相关部门针对当地突出的健康问题，开展跨部门行动。</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查阅资料：相关公共政策。</w:t>
            </w:r>
          </w:p>
          <w:p>
            <w:pPr>
              <w:widowControl/>
              <w:rPr>
                <w:rFonts w:eastAsia="仿宋_GB2312"/>
                <w:color w:val="000000"/>
                <w:kern w:val="0"/>
                <w:sz w:val="20"/>
                <w:szCs w:val="21"/>
              </w:rPr>
            </w:pPr>
            <w:r>
              <w:rPr>
                <w:rFonts w:eastAsia="仿宋_GB2312"/>
                <w:color w:val="000000"/>
                <w:kern w:val="0"/>
                <w:sz w:val="20"/>
                <w:szCs w:val="21"/>
              </w:rPr>
              <w:t>资料来源：文件印发部门。</w:t>
            </w:r>
          </w:p>
        </w:tc>
        <w:tc>
          <w:tcPr>
            <w:tcW w:w="5545" w:type="dxa"/>
          </w:tcPr>
          <w:p>
            <w:pPr>
              <w:widowControl/>
              <w:rPr>
                <w:rFonts w:eastAsia="仿宋_GB2312"/>
                <w:color w:val="000000"/>
                <w:kern w:val="0"/>
                <w:sz w:val="20"/>
                <w:szCs w:val="21"/>
              </w:rPr>
            </w:pPr>
            <w:r>
              <w:rPr>
                <w:rFonts w:eastAsia="仿宋_GB2312"/>
                <w:color w:val="000000"/>
                <w:kern w:val="0"/>
                <w:sz w:val="20"/>
                <w:szCs w:val="21"/>
              </w:rPr>
              <w:t>以多部门联合方式出台相关健康文件，每项文件得4分（针对同一健康问题如有多个文件，算作1项，如某地针对艾滋病防控出台多个文件，仅能视为1项），满分为20分；未出台文件，不得分。</w:t>
            </w:r>
          </w:p>
        </w:tc>
        <w:tc>
          <w:tcPr>
            <w:tcW w:w="567" w:type="dxa"/>
          </w:tcPr>
          <w:p>
            <w:pPr>
              <w:widowControl/>
              <w:spacing w:line="400" w:lineRule="atLeast"/>
              <w:textAlignment w:val="center"/>
              <w:rPr>
                <w:rFonts w:eastAsia="仿宋_GB2312"/>
                <w:color w:val="000000"/>
                <w:kern w:val="0"/>
                <w:sz w:val="20"/>
                <w:szCs w:val="21"/>
              </w:rPr>
            </w:pPr>
            <w:r>
              <w:rPr>
                <w:rFonts w:eastAsia="仿宋_GB2312"/>
                <w:color w:val="000000"/>
                <w:kern w:val="0"/>
                <w:sz w:val="20"/>
                <w:szCs w:val="21"/>
              </w:rPr>
              <w:t>20</w:t>
            </w:r>
          </w:p>
        </w:tc>
        <w:tc>
          <w:tcPr>
            <w:tcW w:w="567" w:type="dxa"/>
          </w:tcPr>
          <w:p>
            <w:pPr>
              <w:widowControl/>
              <w:spacing w:line="400" w:lineRule="atLeast"/>
              <w:textAlignment w:val="center"/>
              <w:rPr>
                <w:rFonts w:eastAsia="仿宋_GB2312"/>
                <w:color w:val="000000"/>
                <w:kern w:val="0"/>
                <w:sz w:val="20"/>
                <w:szCs w:val="21"/>
              </w:rPr>
            </w:pPr>
          </w:p>
        </w:tc>
        <w:tc>
          <w:tcPr>
            <w:tcW w:w="809" w:type="dxa"/>
          </w:tcPr>
          <w:p>
            <w:pPr>
              <w:widowControl/>
              <w:spacing w:line="400" w:lineRule="atLeast"/>
              <w:textAlignment w:val="center"/>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5.相关部门履行健康责任</w:t>
            </w:r>
          </w:p>
        </w:tc>
        <w:tc>
          <w:tcPr>
            <w:tcW w:w="3061" w:type="dxa"/>
          </w:tcPr>
          <w:p>
            <w:pPr>
              <w:widowControl/>
              <w:rPr>
                <w:rFonts w:eastAsia="仿宋_GB2312"/>
                <w:color w:val="000000"/>
                <w:kern w:val="0"/>
                <w:sz w:val="20"/>
                <w:szCs w:val="21"/>
              </w:rPr>
            </w:pPr>
            <w:r>
              <w:rPr>
                <w:rFonts w:eastAsia="仿宋_GB2312"/>
                <w:color w:val="000000"/>
                <w:kern w:val="0"/>
                <w:sz w:val="20"/>
                <w:szCs w:val="21"/>
              </w:rPr>
              <w:t>非卫生健康部门根据健康县区建设任务分工，各自出台落实文件。</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查阅资料：非卫生健康部门出台的相关文件。</w:t>
            </w:r>
          </w:p>
          <w:p>
            <w:pPr>
              <w:widowControl/>
              <w:rPr>
                <w:rFonts w:eastAsia="仿宋_GB2312"/>
                <w:color w:val="000000"/>
                <w:kern w:val="0"/>
                <w:sz w:val="20"/>
                <w:szCs w:val="21"/>
              </w:rPr>
            </w:pPr>
            <w:r>
              <w:rPr>
                <w:rFonts w:eastAsia="仿宋_GB2312"/>
                <w:color w:val="000000"/>
                <w:kern w:val="0"/>
                <w:sz w:val="20"/>
                <w:szCs w:val="21"/>
              </w:rPr>
              <w:t>资料来源：文件印发部门。</w:t>
            </w:r>
          </w:p>
        </w:tc>
        <w:tc>
          <w:tcPr>
            <w:tcW w:w="5545" w:type="dxa"/>
          </w:tcPr>
          <w:p>
            <w:pPr>
              <w:widowControl/>
              <w:rPr>
                <w:rFonts w:eastAsia="仿宋_GB2312"/>
                <w:color w:val="000000"/>
                <w:kern w:val="0"/>
                <w:sz w:val="20"/>
                <w:szCs w:val="21"/>
              </w:rPr>
            </w:pPr>
            <w:r>
              <w:rPr>
                <w:rFonts w:eastAsia="仿宋_GB2312"/>
                <w:color w:val="000000"/>
                <w:kern w:val="0"/>
                <w:sz w:val="20"/>
                <w:szCs w:val="21"/>
              </w:rPr>
              <w:t>健康县区建设任务分工所涉及</w:t>
            </w:r>
            <w:bookmarkStart w:id="2" w:name="_GoBack"/>
            <w:bookmarkEnd w:id="2"/>
            <w:r>
              <w:rPr>
                <w:rFonts w:eastAsia="仿宋_GB2312"/>
                <w:color w:val="000000"/>
                <w:kern w:val="0"/>
                <w:sz w:val="20"/>
                <w:szCs w:val="21"/>
              </w:rPr>
              <w:t>的非卫生健康部门中，出台落实文件的部门占比达到100%，得20分；未达到100%者按实际比例得分；非卫生健康部门未出台落实文件，不得分。</w:t>
            </w:r>
          </w:p>
        </w:tc>
        <w:tc>
          <w:tcPr>
            <w:tcW w:w="567" w:type="dxa"/>
          </w:tcPr>
          <w:p>
            <w:pPr>
              <w:widowControl/>
              <w:spacing w:line="400" w:lineRule="atLeast"/>
              <w:rPr>
                <w:rFonts w:eastAsia="仿宋_GB2312"/>
                <w:color w:val="000000"/>
                <w:kern w:val="0"/>
                <w:sz w:val="20"/>
                <w:szCs w:val="21"/>
              </w:rPr>
            </w:pPr>
            <w:r>
              <w:rPr>
                <w:rFonts w:eastAsia="仿宋_GB2312"/>
                <w:color w:val="000000"/>
                <w:kern w:val="0"/>
                <w:sz w:val="20"/>
                <w:szCs w:val="21"/>
              </w:rPr>
              <w:t>20</w:t>
            </w:r>
          </w:p>
        </w:tc>
        <w:tc>
          <w:tcPr>
            <w:tcW w:w="567" w:type="dxa"/>
          </w:tcPr>
          <w:p>
            <w:pPr>
              <w:widowControl/>
              <w:spacing w:line="400" w:lineRule="atLeast"/>
              <w:rPr>
                <w:rFonts w:eastAsia="仿宋_GB2312"/>
                <w:color w:val="000000"/>
                <w:kern w:val="0"/>
                <w:sz w:val="20"/>
                <w:szCs w:val="21"/>
              </w:rPr>
            </w:pPr>
          </w:p>
        </w:tc>
        <w:tc>
          <w:tcPr>
            <w:tcW w:w="809" w:type="dxa"/>
          </w:tcPr>
          <w:p>
            <w:pPr>
              <w:widowControl/>
              <w:spacing w:line="400" w:lineRule="atLeast"/>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6.健康影响评估制度建设</w:t>
            </w:r>
          </w:p>
        </w:tc>
        <w:tc>
          <w:tcPr>
            <w:tcW w:w="3061" w:type="dxa"/>
          </w:tcPr>
          <w:p>
            <w:pPr>
              <w:widowControl/>
              <w:rPr>
                <w:rFonts w:eastAsia="仿宋_GB2312"/>
                <w:color w:val="000000"/>
                <w:kern w:val="0"/>
                <w:sz w:val="20"/>
                <w:szCs w:val="21"/>
              </w:rPr>
            </w:pPr>
            <w:r>
              <w:rPr>
                <w:rFonts w:eastAsia="仿宋_GB2312"/>
                <w:color w:val="000000"/>
                <w:kern w:val="0"/>
                <w:sz w:val="20"/>
                <w:szCs w:val="21"/>
              </w:rPr>
              <w:t>初步建立健康影响评估制度，出台相关文件，明确部门职责，明确评估范围和机制，明确日常办事机构和办事流程，建立专家委员会。</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查阅资料：健康影响评估制度建设相关文件。</w:t>
            </w:r>
          </w:p>
          <w:p>
            <w:pPr>
              <w:widowControl/>
              <w:rPr>
                <w:rFonts w:eastAsia="仿宋_GB2312"/>
                <w:color w:val="000000"/>
                <w:kern w:val="0"/>
                <w:sz w:val="20"/>
                <w:szCs w:val="21"/>
              </w:rPr>
            </w:pPr>
            <w:r>
              <w:rPr>
                <w:rFonts w:eastAsia="仿宋_GB2312"/>
                <w:color w:val="000000"/>
                <w:kern w:val="0"/>
                <w:sz w:val="20"/>
                <w:szCs w:val="21"/>
              </w:rPr>
              <w:t>资料来源：健康影响评估办事机构、相关部门等。</w:t>
            </w:r>
          </w:p>
        </w:tc>
        <w:tc>
          <w:tcPr>
            <w:tcW w:w="5545" w:type="dxa"/>
          </w:tcPr>
          <w:p>
            <w:pPr>
              <w:widowControl/>
              <w:rPr>
                <w:rFonts w:eastAsia="仿宋_GB2312"/>
                <w:color w:val="000000"/>
                <w:kern w:val="0"/>
                <w:sz w:val="20"/>
                <w:szCs w:val="21"/>
              </w:rPr>
            </w:pPr>
            <w:r>
              <w:rPr>
                <w:rFonts w:eastAsia="仿宋_GB2312"/>
                <w:color w:val="000000"/>
                <w:kern w:val="0"/>
                <w:sz w:val="20"/>
                <w:szCs w:val="21"/>
              </w:rPr>
              <w:t>1.印发专门文件，得4分；未印发，不得分。</w:t>
            </w:r>
          </w:p>
          <w:p>
            <w:pPr>
              <w:widowControl/>
              <w:rPr>
                <w:rFonts w:eastAsia="仿宋_GB2312"/>
                <w:color w:val="000000"/>
                <w:kern w:val="0"/>
                <w:sz w:val="20"/>
                <w:szCs w:val="21"/>
              </w:rPr>
            </w:pPr>
            <w:r>
              <w:rPr>
                <w:rFonts w:eastAsia="仿宋_GB2312"/>
                <w:color w:val="000000"/>
                <w:kern w:val="0"/>
                <w:sz w:val="20"/>
                <w:szCs w:val="21"/>
              </w:rPr>
              <w:t>2.明确评估范围，得2分；未明确，不得分。</w:t>
            </w:r>
          </w:p>
          <w:p>
            <w:pPr>
              <w:widowControl/>
              <w:rPr>
                <w:rFonts w:eastAsia="仿宋_GB2312"/>
                <w:color w:val="000000"/>
                <w:kern w:val="0"/>
                <w:sz w:val="20"/>
                <w:szCs w:val="21"/>
              </w:rPr>
            </w:pPr>
            <w:r>
              <w:rPr>
                <w:rFonts w:eastAsia="仿宋_GB2312"/>
                <w:color w:val="000000"/>
                <w:kern w:val="0"/>
                <w:sz w:val="20"/>
                <w:szCs w:val="21"/>
              </w:rPr>
              <w:t>3.明确评估机制，得2分；未明确，不得分。</w:t>
            </w:r>
          </w:p>
          <w:p>
            <w:pPr>
              <w:widowControl/>
              <w:rPr>
                <w:rFonts w:eastAsia="仿宋_GB2312"/>
                <w:color w:val="000000"/>
                <w:kern w:val="0"/>
                <w:sz w:val="20"/>
                <w:szCs w:val="21"/>
              </w:rPr>
            </w:pPr>
            <w:r>
              <w:rPr>
                <w:rFonts w:eastAsia="仿宋_GB2312"/>
                <w:color w:val="000000"/>
                <w:kern w:val="0"/>
                <w:sz w:val="20"/>
                <w:szCs w:val="21"/>
              </w:rPr>
              <w:t>4.明确办事机构，得2分；未明确，不得分。</w:t>
            </w:r>
          </w:p>
          <w:p>
            <w:pPr>
              <w:widowControl/>
              <w:rPr>
                <w:rFonts w:eastAsia="仿宋_GB2312"/>
                <w:color w:val="000000"/>
                <w:kern w:val="0"/>
                <w:sz w:val="20"/>
                <w:szCs w:val="21"/>
              </w:rPr>
            </w:pPr>
            <w:r>
              <w:rPr>
                <w:rFonts w:eastAsia="仿宋_GB2312"/>
                <w:color w:val="000000"/>
                <w:kern w:val="0"/>
                <w:sz w:val="20"/>
                <w:szCs w:val="21"/>
              </w:rPr>
              <w:t>5.建立部门工作网络，得2分；未建立，不得分。</w:t>
            </w:r>
          </w:p>
          <w:p>
            <w:pPr>
              <w:widowControl/>
              <w:rPr>
                <w:rFonts w:eastAsia="仿宋_GB2312"/>
                <w:color w:val="000000"/>
                <w:kern w:val="0"/>
                <w:sz w:val="20"/>
                <w:szCs w:val="21"/>
              </w:rPr>
            </w:pPr>
            <w:r>
              <w:rPr>
                <w:rFonts w:eastAsia="仿宋_GB2312"/>
                <w:color w:val="000000"/>
                <w:kern w:val="0"/>
                <w:sz w:val="20"/>
                <w:szCs w:val="21"/>
              </w:rPr>
              <w:t>6.组建专家委员会，得2分；未组建，不得分。</w:t>
            </w:r>
          </w:p>
          <w:p>
            <w:pPr>
              <w:widowControl/>
              <w:rPr>
                <w:rFonts w:eastAsia="仿宋_GB2312"/>
                <w:color w:val="000000"/>
                <w:kern w:val="0"/>
                <w:sz w:val="20"/>
                <w:szCs w:val="21"/>
              </w:rPr>
            </w:pPr>
            <w:r>
              <w:rPr>
                <w:rFonts w:eastAsia="仿宋_GB2312"/>
                <w:color w:val="000000"/>
                <w:kern w:val="0"/>
                <w:sz w:val="20"/>
                <w:szCs w:val="21"/>
              </w:rPr>
              <w:t>（如仅开展公共政策健康审查，尚未系统建立健康影响评估制度，该指标得4分。）</w:t>
            </w:r>
          </w:p>
          <w:p>
            <w:pPr>
              <w:widowControl/>
              <w:rPr>
                <w:rFonts w:eastAsia="仿宋_GB2312"/>
                <w:color w:val="000000"/>
                <w:kern w:val="0"/>
                <w:sz w:val="20"/>
                <w:szCs w:val="21"/>
              </w:rPr>
            </w:pPr>
            <w:r>
              <w:rPr>
                <w:rFonts w:eastAsia="仿宋_GB2312"/>
                <w:color w:val="000000"/>
                <w:kern w:val="0"/>
                <w:sz w:val="20"/>
                <w:szCs w:val="21"/>
              </w:rPr>
              <w:t>该指标满分为14分。</w:t>
            </w:r>
          </w:p>
        </w:tc>
        <w:tc>
          <w:tcPr>
            <w:tcW w:w="567" w:type="dxa"/>
          </w:tcPr>
          <w:p>
            <w:pPr>
              <w:widowControl/>
              <w:spacing w:line="400" w:lineRule="atLeast"/>
              <w:rPr>
                <w:rFonts w:eastAsia="仿宋_GB2312"/>
                <w:kern w:val="0"/>
                <w:sz w:val="20"/>
                <w:szCs w:val="21"/>
              </w:rPr>
            </w:pPr>
            <w:r>
              <w:rPr>
                <w:rFonts w:eastAsia="仿宋_GB2312"/>
                <w:kern w:val="0"/>
                <w:sz w:val="20"/>
                <w:szCs w:val="21"/>
              </w:rPr>
              <w:t>14</w:t>
            </w:r>
          </w:p>
        </w:tc>
        <w:tc>
          <w:tcPr>
            <w:tcW w:w="567" w:type="dxa"/>
          </w:tcPr>
          <w:p>
            <w:pPr>
              <w:widowControl/>
              <w:spacing w:line="400" w:lineRule="atLeast"/>
              <w:rPr>
                <w:rFonts w:eastAsia="仿宋_GB2312"/>
                <w:kern w:val="0"/>
                <w:sz w:val="20"/>
                <w:szCs w:val="21"/>
              </w:rPr>
            </w:pPr>
          </w:p>
        </w:tc>
        <w:tc>
          <w:tcPr>
            <w:tcW w:w="809" w:type="dxa"/>
          </w:tcPr>
          <w:p>
            <w:pPr>
              <w:widowControl/>
              <w:spacing w:line="400" w:lineRule="atLeast"/>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7.公共政策健康影响评估</w:t>
            </w:r>
          </w:p>
        </w:tc>
        <w:tc>
          <w:tcPr>
            <w:tcW w:w="3061" w:type="dxa"/>
          </w:tcPr>
          <w:p>
            <w:pPr>
              <w:widowControl/>
              <w:rPr>
                <w:rFonts w:eastAsia="仿宋_GB2312"/>
                <w:color w:val="000000"/>
                <w:kern w:val="0"/>
                <w:sz w:val="20"/>
                <w:szCs w:val="21"/>
              </w:rPr>
            </w:pPr>
            <w:r>
              <w:rPr>
                <w:rFonts w:eastAsia="仿宋_GB2312"/>
                <w:color w:val="000000"/>
                <w:kern w:val="0"/>
                <w:sz w:val="20"/>
                <w:szCs w:val="21"/>
              </w:rPr>
              <w:t>近1年内，对当地拟下发的公共政策开展健康影响评价，提出修改建议，政策制订部门采纳或部分采纳后正式下发。</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查阅资料：开展健康影响评价的相关文件、工作记录及工作报告等。</w:t>
            </w:r>
          </w:p>
          <w:p>
            <w:pPr>
              <w:widowControl/>
              <w:rPr>
                <w:rFonts w:eastAsia="仿宋_GB2312"/>
                <w:color w:val="000000"/>
                <w:kern w:val="0"/>
                <w:sz w:val="20"/>
                <w:szCs w:val="21"/>
              </w:rPr>
            </w:pPr>
            <w:r>
              <w:rPr>
                <w:rFonts w:eastAsia="仿宋_GB2312"/>
                <w:color w:val="000000"/>
                <w:kern w:val="0"/>
                <w:sz w:val="20"/>
                <w:szCs w:val="21"/>
              </w:rPr>
              <w:t>资料来源：健康影响评估办事机构、相关部门等。</w:t>
            </w:r>
          </w:p>
        </w:tc>
        <w:tc>
          <w:tcPr>
            <w:tcW w:w="5545" w:type="dxa"/>
          </w:tcPr>
          <w:p>
            <w:pPr>
              <w:widowControl/>
              <w:rPr>
                <w:rFonts w:eastAsia="仿宋_GB2312"/>
                <w:color w:val="000000"/>
                <w:kern w:val="0"/>
                <w:sz w:val="20"/>
                <w:szCs w:val="21"/>
              </w:rPr>
            </w:pPr>
            <w:r>
              <w:rPr>
                <w:rFonts w:eastAsia="仿宋_GB2312"/>
                <w:color w:val="000000"/>
                <w:kern w:val="0"/>
                <w:sz w:val="20"/>
                <w:szCs w:val="21"/>
              </w:rPr>
              <w:t>对于当地方案中要求进行评估的公共政策，评估完成率达到100%，得8分；</w:t>
            </w:r>
            <w:r>
              <w:rPr>
                <w:rFonts w:eastAsia="仿宋_GB2312"/>
                <w:color w:val="000000"/>
                <w:kern w:val="0"/>
                <w:sz w:val="24"/>
                <w:szCs w:val="21"/>
              </w:rPr>
              <w:t>≥</w:t>
            </w:r>
            <w:r>
              <w:rPr>
                <w:rFonts w:eastAsia="仿宋_GB2312"/>
                <w:color w:val="000000"/>
                <w:kern w:val="0"/>
                <w:sz w:val="20"/>
                <w:szCs w:val="21"/>
              </w:rPr>
              <w:t>50%且＜100%，得4分；仅对若干政策选择性评估，得2分；未开展评估，不得分。</w:t>
            </w:r>
          </w:p>
        </w:tc>
        <w:tc>
          <w:tcPr>
            <w:tcW w:w="567" w:type="dxa"/>
          </w:tcPr>
          <w:p>
            <w:pPr>
              <w:widowControl/>
              <w:spacing w:line="400" w:lineRule="atLeast"/>
              <w:rPr>
                <w:rFonts w:eastAsia="仿宋_GB2312"/>
                <w:kern w:val="0"/>
                <w:sz w:val="20"/>
                <w:szCs w:val="21"/>
              </w:rPr>
            </w:pPr>
            <w:r>
              <w:rPr>
                <w:rFonts w:eastAsia="仿宋_GB2312"/>
                <w:kern w:val="0"/>
                <w:sz w:val="20"/>
                <w:szCs w:val="21"/>
              </w:rPr>
              <w:t>8</w:t>
            </w:r>
          </w:p>
        </w:tc>
        <w:tc>
          <w:tcPr>
            <w:tcW w:w="567" w:type="dxa"/>
          </w:tcPr>
          <w:p>
            <w:pPr>
              <w:widowControl/>
              <w:spacing w:line="400" w:lineRule="atLeast"/>
              <w:rPr>
                <w:rFonts w:eastAsia="仿宋_GB2312"/>
                <w:kern w:val="0"/>
                <w:sz w:val="20"/>
                <w:szCs w:val="21"/>
              </w:rPr>
            </w:pPr>
          </w:p>
        </w:tc>
        <w:tc>
          <w:tcPr>
            <w:tcW w:w="809" w:type="dxa"/>
          </w:tcPr>
          <w:p>
            <w:pPr>
              <w:widowControl/>
              <w:spacing w:line="400" w:lineRule="atLeast"/>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8.重大工程项目健康影响评估</w:t>
            </w:r>
          </w:p>
        </w:tc>
        <w:tc>
          <w:tcPr>
            <w:tcW w:w="3061" w:type="dxa"/>
          </w:tcPr>
          <w:p>
            <w:pPr>
              <w:widowControl/>
              <w:rPr>
                <w:rFonts w:eastAsia="仿宋_GB2312"/>
                <w:color w:val="000000"/>
                <w:kern w:val="0"/>
                <w:sz w:val="20"/>
                <w:szCs w:val="21"/>
              </w:rPr>
            </w:pPr>
            <w:r>
              <w:rPr>
                <w:rFonts w:eastAsia="仿宋_GB2312"/>
                <w:color w:val="000000"/>
                <w:kern w:val="0"/>
                <w:sz w:val="20"/>
                <w:szCs w:val="21"/>
              </w:rPr>
              <w:t>近1年内，对当地拟建重大工程项目开展健康影响评价，提出修改建议，工程项目负责部门采纳或部分采纳。</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查阅资料：开展健康影响评价的相关文件、工作记录及工作报告等。</w:t>
            </w:r>
          </w:p>
          <w:p>
            <w:pPr>
              <w:widowControl/>
              <w:rPr>
                <w:rFonts w:eastAsia="仿宋_GB2312"/>
                <w:color w:val="000000"/>
                <w:kern w:val="0"/>
                <w:sz w:val="20"/>
                <w:szCs w:val="21"/>
              </w:rPr>
            </w:pPr>
            <w:r>
              <w:rPr>
                <w:rFonts w:eastAsia="仿宋_GB2312"/>
                <w:color w:val="000000"/>
                <w:kern w:val="0"/>
                <w:sz w:val="20"/>
                <w:szCs w:val="21"/>
              </w:rPr>
              <w:t>资料来源：健康影响评估办事机构、相关部门等。</w:t>
            </w:r>
          </w:p>
        </w:tc>
        <w:tc>
          <w:tcPr>
            <w:tcW w:w="5545" w:type="dxa"/>
          </w:tcPr>
          <w:p>
            <w:pPr>
              <w:widowControl/>
              <w:rPr>
                <w:rFonts w:eastAsia="仿宋_GB2312"/>
                <w:color w:val="000000"/>
                <w:kern w:val="0"/>
                <w:sz w:val="20"/>
                <w:szCs w:val="21"/>
              </w:rPr>
            </w:pPr>
            <w:r>
              <w:rPr>
                <w:rFonts w:eastAsia="仿宋_GB2312"/>
                <w:color w:val="000000"/>
                <w:kern w:val="0"/>
                <w:sz w:val="20"/>
                <w:szCs w:val="21"/>
              </w:rPr>
              <w:t>对于当地方案中要求进行评估的重大工程项目，评估完成率达到100%，得8分；≥50%且＜100%，得4分；仅对若干工程项目选择性评估，得2分；未开展评估，不得分。</w:t>
            </w:r>
          </w:p>
        </w:tc>
        <w:tc>
          <w:tcPr>
            <w:tcW w:w="567" w:type="dxa"/>
          </w:tcPr>
          <w:p>
            <w:pPr>
              <w:widowControl/>
              <w:spacing w:line="400" w:lineRule="atLeast"/>
              <w:rPr>
                <w:rFonts w:eastAsia="仿宋_GB2312"/>
                <w:kern w:val="0"/>
                <w:sz w:val="20"/>
                <w:szCs w:val="21"/>
              </w:rPr>
            </w:pPr>
            <w:r>
              <w:rPr>
                <w:rFonts w:eastAsia="仿宋_GB2312"/>
                <w:kern w:val="0"/>
                <w:sz w:val="20"/>
                <w:szCs w:val="21"/>
              </w:rPr>
              <w:t>8</w:t>
            </w:r>
          </w:p>
        </w:tc>
        <w:tc>
          <w:tcPr>
            <w:tcW w:w="567" w:type="dxa"/>
          </w:tcPr>
          <w:p>
            <w:pPr>
              <w:widowControl/>
              <w:spacing w:line="400" w:lineRule="atLeast"/>
              <w:rPr>
                <w:rFonts w:eastAsia="仿宋_GB2312"/>
                <w:kern w:val="0"/>
                <w:sz w:val="20"/>
                <w:szCs w:val="21"/>
              </w:rPr>
            </w:pPr>
          </w:p>
        </w:tc>
        <w:tc>
          <w:tcPr>
            <w:tcW w:w="809" w:type="dxa"/>
          </w:tcPr>
          <w:p>
            <w:pPr>
              <w:widowControl/>
              <w:spacing w:line="400" w:lineRule="atLeast"/>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82" w:type="dxa"/>
            <w:vMerge w:val="restart"/>
          </w:tcPr>
          <w:p>
            <w:pPr>
              <w:widowControl/>
              <w:spacing w:line="400" w:lineRule="atLeast"/>
              <w:rPr>
                <w:rFonts w:eastAsia="仿宋_GB2312"/>
                <w:color w:val="000000"/>
                <w:kern w:val="0"/>
                <w:sz w:val="20"/>
                <w:szCs w:val="21"/>
              </w:rPr>
            </w:pPr>
            <w:r>
              <w:rPr>
                <w:rFonts w:eastAsia="仿宋_GB2312"/>
                <w:b/>
                <w:color w:val="000000"/>
                <w:kern w:val="0"/>
                <w:sz w:val="20"/>
                <w:szCs w:val="21"/>
              </w:rPr>
              <w:t>二、健康环境</w:t>
            </w:r>
          </w:p>
        </w:tc>
        <w:tc>
          <w:tcPr>
            <w:tcW w:w="1020" w:type="dxa"/>
          </w:tcPr>
          <w:p>
            <w:pPr>
              <w:widowControl/>
              <w:rPr>
                <w:rFonts w:eastAsia="仿宋_GB2312"/>
                <w:color w:val="000000"/>
                <w:kern w:val="0"/>
                <w:sz w:val="20"/>
                <w:szCs w:val="21"/>
              </w:rPr>
            </w:pPr>
            <w:r>
              <w:rPr>
                <w:rFonts w:eastAsia="仿宋_GB2312"/>
                <w:color w:val="000000"/>
                <w:kern w:val="0"/>
                <w:sz w:val="20"/>
                <w:szCs w:val="21"/>
              </w:rPr>
              <w:t>9.县区人居环境</w:t>
            </w:r>
          </w:p>
        </w:tc>
        <w:tc>
          <w:tcPr>
            <w:tcW w:w="3061" w:type="dxa"/>
          </w:tcPr>
          <w:p>
            <w:pPr>
              <w:widowControl/>
              <w:rPr>
                <w:rFonts w:eastAsia="仿宋_GB2312"/>
                <w:color w:val="000000"/>
                <w:kern w:val="0"/>
                <w:sz w:val="20"/>
                <w:szCs w:val="21"/>
              </w:rPr>
            </w:pPr>
            <w:r>
              <w:rPr>
                <w:rFonts w:eastAsia="仿宋_GB2312"/>
                <w:color w:val="000000"/>
                <w:kern w:val="0"/>
                <w:sz w:val="20"/>
                <w:szCs w:val="21"/>
              </w:rPr>
              <w:t>通过完善供水、排水、供电、供气、道路、通信、广播电视、环卫等基础设施提升县区健康环境；通过绿化、亮化、美化、净化等具体措施改善县区人居环境。</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查阅资料：市政基础设施专项规划及开展建设佐证资料；道路及周边环境综合整治改造提升工程相关资料。</w:t>
            </w:r>
          </w:p>
          <w:p>
            <w:pPr>
              <w:widowControl/>
              <w:rPr>
                <w:rFonts w:eastAsia="仿宋_GB2312"/>
                <w:color w:val="000000"/>
                <w:kern w:val="0"/>
                <w:sz w:val="20"/>
                <w:szCs w:val="21"/>
              </w:rPr>
            </w:pPr>
            <w:r>
              <w:rPr>
                <w:rFonts w:eastAsia="仿宋_GB2312"/>
                <w:color w:val="000000"/>
                <w:kern w:val="0"/>
                <w:sz w:val="20"/>
                <w:szCs w:val="21"/>
              </w:rPr>
              <w:t>资料来源：住房和城乡建设主管部门。</w:t>
            </w:r>
          </w:p>
        </w:tc>
        <w:tc>
          <w:tcPr>
            <w:tcW w:w="5545" w:type="dxa"/>
          </w:tcPr>
          <w:p>
            <w:pPr>
              <w:widowControl/>
              <w:rPr>
                <w:rFonts w:eastAsia="仿宋_GB2312"/>
                <w:color w:val="000000"/>
                <w:kern w:val="0"/>
                <w:sz w:val="20"/>
                <w:szCs w:val="21"/>
              </w:rPr>
            </w:pPr>
            <w:r>
              <w:rPr>
                <w:rFonts w:eastAsia="仿宋_GB2312"/>
                <w:color w:val="000000"/>
                <w:kern w:val="0"/>
                <w:sz w:val="20"/>
                <w:szCs w:val="21"/>
              </w:rPr>
              <w:t>1.按照市政基础设施专项规划建设健康环境设施，得6分；未按规划建设，不得分。</w:t>
            </w:r>
          </w:p>
          <w:p>
            <w:pPr>
              <w:widowControl/>
              <w:rPr>
                <w:rFonts w:eastAsia="仿宋_GB2312"/>
                <w:color w:val="000000"/>
                <w:kern w:val="0"/>
                <w:sz w:val="20"/>
                <w:szCs w:val="21"/>
              </w:rPr>
            </w:pPr>
            <w:r>
              <w:rPr>
                <w:rFonts w:eastAsia="仿宋_GB2312"/>
                <w:color w:val="000000"/>
                <w:kern w:val="0"/>
                <w:sz w:val="20"/>
                <w:szCs w:val="21"/>
              </w:rPr>
              <w:t>2.开展道路及周边环境综合整治改造提升人居工程，得6分；未开展，不得分。</w:t>
            </w:r>
          </w:p>
          <w:p>
            <w:pPr>
              <w:widowControl/>
              <w:rPr>
                <w:rFonts w:eastAsia="仿宋_GB2312"/>
                <w:color w:val="000000"/>
                <w:kern w:val="0"/>
                <w:sz w:val="20"/>
                <w:szCs w:val="21"/>
              </w:rPr>
            </w:pPr>
            <w:r>
              <w:rPr>
                <w:rFonts w:eastAsia="仿宋_GB2312"/>
                <w:color w:val="000000"/>
                <w:kern w:val="0"/>
                <w:sz w:val="20"/>
                <w:szCs w:val="21"/>
              </w:rPr>
              <w:t>该指标满分为12分。</w:t>
            </w:r>
          </w:p>
        </w:tc>
        <w:tc>
          <w:tcPr>
            <w:tcW w:w="567" w:type="dxa"/>
          </w:tcPr>
          <w:p>
            <w:pPr>
              <w:widowControl/>
              <w:rPr>
                <w:rFonts w:eastAsia="仿宋_GB2312"/>
                <w:color w:val="000000"/>
                <w:kern w:val="0"/>
                <w:sz w:val="20"/>
                <w:szCs w:val="21"/>
              </w:rPr>
            </w:pPr>
            <w:r>
              <w:rPr>
                <w:rFonts w:eastAsia="仿宋_GB2312"/>
                <w:color w:val="000000"/>
                <w:kern w:val="0"/>
                <w:sz w:val="20"/>
                <w:szCs w:val="21"/>
              </w:rPr>
              <w:t>12</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14.农村人居环境</w:t>
            </w:r>
          </w:p>
        </w:tc>
        <w:tc>
          <w:tcPr>
            <w:tcW w:w="3061" w:type="dxa"/>
          </w:tcPr>
          <w:p>
            <w:pPr>
              <w:widowControl/>
              <w:rPr>
                <w:rFonts w:eastAsia="仿宋_GB2312"/>
                <w:color w:val="000000"/>
                <w:kern w:val="0"/>
                <w:sz w:val="20"/>
                <w:szCs w:val="21"/>
              </w:rPr>
            </w:pPr>
            <w:r>
              <w:rPr>
                <w:rFonts w:eastAsia="仿宋_GB2312"/>
                <w:color w:val="000000"/>
                <w:kern w:val="0"/>
                <w:sz w:val="20"/>
                <w:szCs w:val="21"/>
              </w:rPr>
              <w:t>通过实施农村厕所革命，开展农村生活污水和生活垃圾处理，改善农村基础设施，促进农村人居环境整治和美丽乡村建设，提高农村公共服务水平，促进乡村文明建设。</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查阅资料：农村人居环境整治和美丽乡村建设相关资料。</w:t>
            </w:r>
          </w:p>
          <w:p>
            <w:pPr>
              <w:widowControl/>
              <w:rPr>
                <w:rFonts w:eastAsia="仿宋_GB2312"/>
                <w:color w:val="000000"/>
                <w:kern w:val="0"/>
                <w:sz w:val="20"/>
                <w:szCs w:val="21"/>
              </w:rPr>
            </w:pPr>
            <w:r>
              <w:rPr>
                <w:rFonts w:eastAsia="仿宋_GB2312"/>
                <w:color w:val="000000"/>
                <w:kern w:val="0"/>
                <w:sz w:val="20"/>
                <w:szCs w:val="21"/>
              </w:rPr>
              <w:t>资料来源：农业农村、乡村振兴、生态环境、住房和城乡建设等部门。</w:t>
            </w:r>
          </w:p>
        </w:tc>
        <w:tc>
          <w:tcPr>
            <w:tcW w:w="5545" w:type="dxa"/>
          </w:tcPr>
          <w:p>
            <w:pPr>
              <w:widowControl/>
              <w:rPr>
                <w:rFonts w:eastAsia="仿宋_GB2312"/>
                <w:color w:val="000000"/>
                <w:kern w:val="0"/>
                <w:sz w:val="20"/>
                <w:szCs w:val="21"/>
              </w:rPr>
            </w:pPr>
            <w:r>
              <w:rPr>
                <w:rFonts w:eastAsia="仿宋_GB2312"/>
                <w:color w:val="000000"/>
                <w:kern w:val="0"/>
                <w:sz w:val="20"/>
                <w:szCs w:val="21"/>
              </w:rPr>
              <w:t>1.实施美丽乡村建设，得4分；未实施，不得分。</w:t>
            </w:r>
          </w:p>
          <w:p>
            <w:pPr>
              <w:widowControl/>
              <w:rPr>
                <w:rFonts w:eastAsia="仿宋_GB2312"/>
                <w:color w:val="000000"/>
                <w:kern w:val="0"/>
                <w:sz w:val="20"/>
                <w:szCs w:val="21"/>
              </w:rPr>
            </w:pPr>
            <w:r>
              <w:rPr>
                <w:rFonts w:eastAsia="仿宋_GB2312"/>
                <w:color w:val="000000"/>
                <w:kern w:val="0"/>
                <w:sz w:val="20"/>
                <w:szCs w:val="21"/>
              </w:rPr>
              <w:t>2.开展农村人居环境整治行动，得4分；未开展，不得分。</w:t>
            </w:r>
          </w:p>
          <w:p>
            <w:pPr>
              <w:widowControl/>
              <w:rPr>
                <w:rFonts w:eastAsia="仿宋_GB2312"/>
                <w:color w:val="000000"/>
                <w:kern w:val="0"/>
                <w:sz w:val="20"/>
                <w:szCs w:val="21"/>
              </w:rPr>
            </w:pPr>
            <w:r>
              <w:rPr>
                <w:rFonts w:eastAsia="仿宋_GB2312"/>
                <w:color w:val="000000"/>
                <w:kern w:val="0"/>
                <w:sz w:val="20"/>
                <w:szCs w:val="21"/>
              </w:rPr>
              <w:t>该指标满分为8分。</w:t>
            </w:r>
          </w:p>
        </w:tc>
        <w:tc>
          <w:tcPr>
            <w:tcW w:w="567" w:type="dxa"/>
          </w:tcPr>
          <w:p>
            <w:pPr>
              <w:widowControl/>
              <w:spacing w:line="400" w:lineRule="atLeast"/>
              <w:rPr>
                <w:rFonts w:eastAsia="仿宋_GB2312"/>
                <w:kern w:val="0"/>
                <w:sz w:val="20"/>
                <w:szCs w:val="21"/>
              </w:rPr>
            </w:pPr>
            <w:r>
              <w:rPr>
                <w:rFonts w:eastAsia="仿宋_GB2312"/>
                <w:kern w:val="0"/>
                <w:sz w:val="20"/>
                <w:szCs w:val="21"/>
              </w:rPr>
              <w:t>8</w:t>
            </w:r>
          </w:p>
        </w:tc>
        <w:tc>
          <w:tcPr>
            <w:tcW w:w="567" w:type="dxa"/>
          </w:tcPr>
          <w:p>
            <w:pPr>
              <w:widowControl/>
              <w:spacing w:line="400" w:lineRule="atLeast"/>
              <w:rPr>
                <w:rFonts w:eastAsia="仿宋_GB2312"/>
                <w:kern w:val="0"/>
                <w:sz w:val="20"/>
                <w:szCs w:val="21"/>
              </w:rPr>
            </w:pPr>
          </w:p>
        </w:tc>
        <w:tc>
          <w:tcPr>
            <w:tcW w:w="809" w:type="dxa"/>
          </w:tcPr>
          <w:p>
            <w:pPr>
              <w:widowControl/>
              <w:spacing w:line="400" w:lineRule="atLeast"/>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15.生态环境质量</w:t>
            </w:r>
          </w:p>
        </w:tc>
        <w:tc>
          <w:tcPr>
            <w:tcW w:w="3061" w:type="dxa"/>
          </w:tcPr>
          <w:p>
            <w:pPr>
              <w:widowControl/>
              <w:rPr>
                <w:rFonts w:eastAsia="仿宋_GB2312"/>
                <w:color w:val="000000"/>
                <w:kern w:val="0"/>
                <w:sz w:val="20"/>
                <w:szCs w:val="21"/>
              </w:rPr>
            </w:pPr>
            <w:r>
              <w:rPr>
                <w:rFonts w:eastAsia="仿宋_GB2312"/>
                <w:color w:val="000000"/>
                <w:kern w:val="0"/>
                <w:sz w:val="20"/>
                <w:szCs w:val="21"/>
              </w:rPr>
              <w:t>加强大气污染治理，环境空气质量、水环境质量、土壤环境质量等良好或持续改善；环境空气主要污染物包括温室气体排放达到要求；防治工业、建筑施工、交通运输和社会生活等噪声。</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查阅资料：上3年度生态环境质量相关监测数据、报告、行政处罚案件等。</w:t>
            </w:r>
          </w:p>
          <w:p>
            <w:pPr>
              <w:widowControl/>
              <w:rPr>
                <w:rFonts w:eastAsia="仿宋_GB2312"/>
                <w:color w:val="000000"/>
                <w:kern w:val="0"/>
                <w:sz w:val="20"/>
                <w:szCs w:val="21"/>
              </w:rPr>
            </w:pPr>
            <w:r>
              <w:rPr>
                <w:rFonts w:eastAsia="仿宋_GB2312"/>
                <w:color w:val="000000"/>
                <w:kern w:val="0"/>
                <w:sz w:val="20"/>
                <w:szCs w:val="21"/>
              </w:rPr>
              <w:t>资料来源：生态环境部门。</w:t>
            </w:r>
          </w:p>
        </w:tc>
        <w:tc>
          <w:tcPr>
            <w:tcW w:w="5545" w:type="dxa"/>
          </w:tcPr>
          <w:p>
            <w:pPr>
              <w:widowControl/>
              <w:rPr>
                <w:rFonts w:eastAsia="仿宋_GB2312"/>
                <w:color w:val="000000"/>
                <w:kern w:val="0"/>
                <w:sz w:val="20"/>
                <w:szCs w:val="21"/>
              </w:rPr>
            </w:pPr>
            <w:r>
              <w:rPr>
                <w:rFonts w:eastAsia="仿宋_GB2312"/>
                <w:color w:val="000000"/>
                <w:kern w:val="0"/>
                <w:sz w:val="20"/>
                <w:szCs w:val="21"/>
              </w:rPr>
              <w:t>1.上1年度环境空气质量优良天数</w:t>
            </w:r>
            <w:r>
              <w:rPr>
                <w:rFonts w:eastAsia="仿宋_GB2312"/>
                <w:kern w:val="0"/>
                <w:sz w:val="20"/>
              </w:rPr>
              <w:t>高于全国同期平均水平</w:t>
            </w:r>
            <w:r>
              <w:rPr>
                <w:rFonts w:eastAsia="仿宋_GB2312"/>
                <w:color w:val="000000"/>
                <w:kern w:val="0"/>
                <w:sz w:val="20"/>
                <w:szCs w:val="21"/>
              </w:rPr>
              <w:t>，得4分；≤全国同期水平但＞前1年水平，得2分；≤全国同期水平且≤前1年水平，不得分。</w:t>
            </w:r>
          </w:p>
          <w:p>
            <w:pPr>
              <w:widowControl/>
              <w:rPr>
                <w:rFonts w:eastAsia="仿宋_GB2312"/>
                <w:color w:val="000000"/>
                <w:kern w:val="0"/>
                <w:sz w:val="20"/>
                <w:szCs w:val="21"/>
              </w:rPr>
            </w:pPr>
            <w:r>
              <w:rPr>
                <w:rFonts w:eastAsia="仿宋_GB2312"/>
                <w:color w:val="000000"/>
                <w:kern w:val="0"/>
                <w:sz w:val="20"/>
                <w:szCs w:val="21"/>
              </w:rPr>
              <w:t>2.上1年度地表水水质达到或优于III类水的比例</w:t>
            </w:r>
            <w:r>
              <w:rPr>
                <w:rFonts w:eastAsia="仿宋_GB2312"/>
                <w:kern w:val="0"/>
                <w:sz w:val="20"/>
              </w:rPr>
              <w:t>高于全国同期平均水平</w:t>
            </w:r>
            <w:r>
              <w:rPr>
                <w:rFonts w:eastAsia="仿宋_GB2312"/>
                <w:color w:val="000000"/>
                <w:kern w:val="0"/>
                <w:sz w:val="20"/>
                <w:szCs w:val="21"/>
              </w:rPr>
              <w:t>，得3分；≤全国同期水平但＞前1年水平，得2分；≤全国同期水平且≤前1年水平，不得分。</w:t>
            </w:r>
          </w:p>
          <w:p>
            <w:pPr>
              <w:widowControl/>
              <w:rPr>
                <w:rFonts w:eastAsia="仿宋_GB2312"/>
                <w:color w:val="000000"/>
                <w:kern w:val="0"/>
                <w:sz w:val="20"/>
                <w:szCs w:val="21"/>
              </w:rPr>
            </w:pPr>
            <w:r>
              <w:rPr>
                <w:rFonts w:eastAsia="仿宋_GB2312"/>
                <w:color w:val="000000"/>
                <w:kern w:val="0"/>
                <w:sz w:val="20"/>
                <w:szCs w:val="21"/>
              </w:rPr>
              <w:t>3.近3年地下水水质达到或优于III类水的比例保持稳定或持续改善，得3分；比例下降，不得分。</w:t>
            </w:r>
          </w:p>
          <w:p>
            <w:pPr>
              <w:widowControl/>
              <w:rPr>
                <w:rFonts w:eastAsia="仿宋_GB2312"/>
                <w:color w:val="000000"/>
                <w:kern w:val="0"/>
                <w:sz w:val="20"/>
                <w:szCs w:val="21"/>
              </w:rPr>
            </w:pPr>
            <w:r>
              <w:rPr>
                <w:rFonts w:eastAsia="仿宋_GB2312"/>
                <w:color w:val="000000"/>
                <w:kern w:val="0"/>
                <w:sz w:val="20"/>
                <w:szCs w:val="21"/>
              </w:rPr>
              <w:t>4.城市功能区声环境达标率达到功能区要求，得2分；未达到要求，不得分。</w:t>
            </w:r>
          </w:p>
          <w:p>
            <w:pPr>
              <w:widowControl/>
              <w:rPr>
                <w:rFonts w:eastAsia="仿宋_GB2312"/>
                <w:color w:val="000000"/>
                <w:kern w:val="0"/>
                <w:sz w:val="20"/>
                <w:szCs w:val="21"/>
              </w:rPr>
            </w:pPr>
            <w:r>
              <w:rPr>
                <w:rFonts w:eastAsia="仿宋_GB2312"/>
                <w:color w:val="000000"/>
                <w:kern w:val="0"/>
                <w:sz w:val="20"/>
                <w:szCs w:val="21"/>
              </w:rPr>
              <w:t>5.年内无噪声污染行政处罚案件，得2分；有案件，不得分。</w:t>
            </w:r>
          </w:p>
          <w:p>
            <w:pPr>
              <w:widowControl/>
              <w:rPr>
                <w:rFonts w:eastAsia="仿宋_GB2312"/>
                <w:color w:val="000000"/>
                <w:kern w:val="0"/>
                <w:sz w:val="20"/>
                <w:szCs w:val="21"/>
              </w:rPr>
            </w:pPr>
            <w:r>
              <w:rPr>
                <w:rFonts w:eastAsia="仿宋_GB2312"/>
                <w:color w:val="000000"/>
                <w:kern w:val="0"/>
                <w:sz w:val="20"/>
                <w:szCs w:val="21"/>
              </w:rPr>
              <w:t>该指标满分为14分。</w:t>
            </w:r>
          </w:p>
        </w:tc>
        <w:tc>
          <w:tcPr>
            <w:tcW w:w="567" w:type="dxa"/>
          </w:tcPr>
          <w:p>
            <w:pPr>
              <w:widowControl/>
              <w:rPr>
                <w:rFonts w:eastAsia="仿宋_GB2312"/>
                <w:color w:val="000000"/>
                <w:kern w:val="0"/>
                <w:sz w:val="20"/>
                <w:szCs w:val="21"/>
              </w:rPr>
            </w:pPr>
            <w:r>
              <w:rPr>
                <w:rFonts w:eastAsia="仿宋_GB2312"/>
                <w:color w:val="000000"/>
                <w:kern w:val="0"/>
                <w:sz w:val="20"/>
                <w:szCs w:val="21"/>
              </w:rPr>
              <w:t>14</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16.重特大环境污染事件</w:t>
            </w:r>
          </w:p>
        </w:tc>
        <w:tc>
          <w:tcPr>
            <w:tcW w:w="3061" w:type="dxa"/>
          </w:tcPr>
          <w:p>
            <w:pPr>
              <w:widowControl/>
              <w:rPr>
                <w:rFonts w:eastAsia="仿宋_GB2312"/>
                <w:color w:val="000000"/>
                <w:kern w:val="0"/>
                <w:sz w:val="20"/>
                <w:szCs w:val="21"/>
              </w:rPr>
            </w:pPr>
            <w:r>
              <w:rPr>
                <w:rFonts w:eastAsia="仿宋_GB2312"/>
                <w:color w:val="000000"/>
                <w:kern w:val="0"/>
                <w:sz w:val="20"/>
                <w:szCs w:val="21"/>
              </w:rPr>
              <w:t>采取综合防控措施，杜绝发生重特大环境污染事件；制定环境突发事件应急预案并进行演练。</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查阅资料：环境突发事件应急预案及其演练的工作记录、照片等。</w:t>
            </w:r>
          </w:p>
          <w:p>
            <w:pPr>
              <w:widowControl/>
              <w:rPr>
                <w:rFonts w:eastAsia="仿宋_GB2312"/>
                <w:color w:val="000000"/>
                <w:kern w:val="0"/>
                <w:sz w:val="20"/>
                <w:szCs w:val="21"/>
              </w:rPr>
            </w:pPr>
            <w:r>
              <w:rPr>
                <w:rFonts w:eastAsia="仿宋_GB2312"/>
                <w:color w:val="000000"/>
                <w:kern w:val="0"/>
                <w:sz w:val="20"/>
                <w:szCs w:val="21"/>
              </w:rPr>
              <w:t>资料来源：生态环境及应急部门、相关企事业单位等。</w:t>
            </w:r>
          </w:p>
        </w:tc>
        <w:tc>
          <w:tcPr>
            <w:tcW w:w="5545" w:type="dxa"/>
          </w:tcPr>
          <w:p>
            <w:pPr>
              <w:widowControl/>
              <w:rPr>
                <w:rFonts w:eastAsia="仿宋_GB2312"/>
                <w:color w:val="000000"/>
                <w:kern w:val="0"/>
                <w:sz w:val="20"/>
                <w:szCs w:val="21"/>
              </w:rPr>
            </w:pPr>
            <w:r>
              <w:rPr>
                <w:rFonts w:eastAsia="仿宋_GB2312"/>
                <w:color w:val="000000"/>
                <w:kern w:val="0"/>
                <w:sz w:val="20"/>
                <w:szCs w:val="21"/>
              </w:rPr>
              <w:t>1.近3年辖区无重特大环境污染事件，得3分；有重特大环境污染事件，不得分。</w:t>
            </w:r>
          </w:p>
          <w:p>
            <w:pPr>
              <w:widowControl/>
              <w:rPr>
                <w:rFonts w:eastAsia="仿宋_GB2312"/>
                <w:color w:val="000000"/>
                <w:kern w:val="0"/>
                <w:sz w:val="20"/>
                <w:szCs w:val="21"/>
              </w:rPr>
            </w:pPr>
            <w:r>
              <w:rPr>
                <w:rFonts w:eastAsia="仿宋_GB2312"/>
                <w:color w:val="000000"/>
                <w:kern w:val="0"/>
                <w:sz w:val="20"/>
                <w:szCs w:val="21"/>
              </w:rPr>
              <w:t>2.制定环境突发事件应急预案并进行演练，得3分；制定预案但未进行演练，得2分；未制定预案，不得分。</w:t>
            </w:r>
          </w:p>
          <w:p>
            <w:pPr>
              <w:widowControl/>
              <w:rPr>
                <w:rFonts w:eastAsia="仿宋_GB2312"/>
                <w:color w:val="000000"/>
                <w:kern w:val="0"/>
                <w:sz w:val="20"/>
                <w:szCs w:val="21"/>
              </w:rPr>
            </w:pPr>
            <w:r>
              <w:rPr>
                <w:rFonts w:eastAsia="仿宋_GB2312"/>
                <w:color w:val="000000"/>
                <w:kern w:val="0"/>
                <w:sz w:val="20"/>
                <w:szCs w:val="21"/>
              </w:rPr>
              <w:t>该指标满分为6分。</w:t>
            </w:r>
          </w:p>
        </w:tc>
        <w:tc>
          <w:tcPr>
            <w:tcW w:w="567" w:type="dxa"/>
          </w:tcPr>
          <w:p>
            <w:pPr>
              <w:widowControl/>
              <w:rPr>
                <w:rFonts w:eastAsia="仿宋_GB2312"/>
                <w:color w:val="000000"/>
                <w:kern w:val="0"/>
                <w:sz w:val="20"/>
                <w:szCs w:val="21"/>
              </w:rPr>
            </w:pPr>
            <w:r>
              <w:rPr>
                <w:rFonts w:eastAsia="仿宋_GB2312"/>
                <w:color w:val="000000"/>
                <w:kern w:val="0"/>
                <w:sz w:val="20"/>
                <w:szCs w:val="21"/>
              </w:rPr>
              <w:t>6</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17.绿色低碳转型</w:t>
            </w:r>
          </w:p>
        </w:tc>
        <w:tc>
          <w:tcPr>
            <w:tcW w:w="3061" w:type="dxa"/>
          </w:tcPr>
          <w:p>
            <w:pPr>
              <w:widowControl/>
              <w:rPr>
                <w:rFonts w:eastAsia="仿宋_GB2312"/>
                <w:color w:val="000000"/>
                <w:kern w:val="0"/>
                <w:sz w:val="20"/>
                <w:szCs w:val="21"/>
              </w:rPr>
            </w:pPr>
            <w:r>
              <w:rPr>
                <w:rFonts w:eastAsia="仿宋_GB2312"/>
                <w:color w:val="000000"/>
                <w:kern w:val="0"/>
                <w:sz w:val="20"/>
                <w:szCs w:val="21"/>
              </w:rPr>
              <w:t>工业、能源、建筑、交通等领域形成绿色低碳循环发展的经济体系。</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查阅资料：上1年度相关年鉴、统计报表、报告等。</w:t>
            </w:r>
          </w:p>
          <w:p>
            <w:pPr>
              <w:widowControl/>
              <w:rPr>
                <w:rFonts w:eastAsia="仿宋_GB2312"/>
                <w:color w:val="000000"/>
                <w:kern w:val="0"/>
                <w:sz w:val="20"/>
                <w:szCs w:val="21"/>
              </w:rPr>
            </w:pPr>
            <w:r>
              <w:rPr>
                <w:rFonts w:eastAsia="仿宋_GB2312"/>
                <w:color w:val="000000"/>
                <w:kern w:val="0"/>
                <w:sz w:val="20"/>
                <w:szCs w:val="21"/>
              </w:rPr>
              <w:t>资料来源：统计局、发改委、工信、生态环境等部门。</w:t>
            </w:r>
          </w:p>
        </w:tc>
        <w:tc>
          <w:tcPr>
            <w:tcW w:w="5545" w:type="dxa"/>
          </w:tcPr>
          <w:p>
            <w:pPr>
              <w:widowControl/>
              <w:rPr>
                <w:rFonts w:eastAsia="仿宋_GB2312"/>
                <w:color w:val="000000"/>
                <w:kern w:val="0"/>
                <w:sz w:val="20"/>
                <w:szCs w:val="21"/>
              </w:rPr>
            </w:pPr>
            <w:r>
              <w:rPr>
                <w:rFonts w:eastAsia="仿宋_GB2312"/>
                <w:color w:val="000000"/>
                <w:kern w:val="0"/>
                <w:sz w:val="20"/>
                <w:szCs w:val="21"/>
              </w:rPr>
              <w:t>单位地区生产总值能耗、单位地区生产总值用水量、碳排放强度，完成上级规定的目标任务，每完成1项得2分，总分为6分；均未完成，不得分。</w:t>
            </w:r>
          </w:p>
        </w:tc>
        <w:tc>
          <w:tcPr>
            <w:tcW w:w="567" w:type="dxa"/>
          </w:tcPr>
          <w:p>
            <w:pPr>
              <w:widowControl/>
              <w:rPr>
                <w:rFonts w:eastAsia="仿宋_GB2312"/>
                <w:color w:val="000000"/>
                <w:kern w:val="0"/>
                <w:sz w:val="20"/>
                <w:szCs w:val="21"/>
              </w:rPr>
            </w:pPr>
            <w:r>
              <w:rPr>
                <w:rFonts w:eastAsia="仿宋_GB2312"/>
                <w:color w:val="000000"/>
                <w:kern w:val="0"/>
                <w:sz w:val="20"/>
                <w:szCs w:val="21"/>
              </w:rPr>
              <w:t>6</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18.饮用水水源地安全保障</w:t>
            </w:r>
          </w:p>
        </w:tc>
        <w:tc>
          <w:tcPr>
            <w:tcW w:w="3061" w:type="dxa"/>
          </w:tcPr>
          <w:p>
            <w:pPr>
              <w:widowControl/>
              <w:rPr>
                <w:rFonts w:eastAsia="仿宋_GB2312"/>
                <w:color w:val="000000"/>
                <w:kern w:val="0"/>
                <w:sz w:val="20"/>
                <w:szCs w:val="21"/>
              </w:rPr>
            </w:pPr>
            <w:r>
              <w:rPr>
                <w:rFonts w:eastAsia="仿宋_GB2312"/>
                <w:color w:val="000000"/>
                <w:kern w:val="0"/>
                <w:sz w:val="20"/>
                <w:szCs w:val="21"/>
              </w:rPr>
              <w:t>饮用水水源地达到国家供水安全要求，保障饮水安全。</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查阅资料：相关文件、预案方案、监测报告、评估报告、网站信息公开、工作记录、工作总结等。</w:t>
            </w:r>
          </w:p>
          <w:p>
            <w:pPr>
              <w:widowControl/>
              <w:rPr>
                <w:rFonts w:eastAsia="仿宋_GB2312"/>
                <w:color w:val="000000"/>
                <w:kern w:val="0"/>
                <w:sz w:val="20"/>
                <w:szCs w:val="21"/>
              </w:rPr>
            </w:pPr>
            <w:r>
              <w:rPr>
                <w:rFonts w:eastAsia="仿宋_GB2312"/>
                <w:color w:val="000000"/>
                <w:kern w:val="0"/>
                <w:sz w:val="20"/>
                <w:szCs w:val="21"/>
              </w:rPr>
              <w:t>资料来源：水务、生态环境等部门。</w:t>
            </w:r>
          </w:p>
        </w:tc>
        <w:tc>
          <w:tcPr>
            <w:tcW w:w="5545" w:type="dxa"/>
          </w:tcPr>
          <w:p>
            <w:pPr>
              <w:widowControl/>
              <w:rPr>
                <w:rFonts w:eastAsia="仿宋_GB2312"/>
                <w:color w:val="000000"/>
                <w:kern w:val="0"/>
                <w:sz w:val="20"/>
                <w:szCs w:val="21"/>
              </w:rPr>
            </w:pPr>
            <w:r>
              <w:rPr>
                <w:rFonts w:eastAsia="仿宋_GB2312"/>
                <w:color w:val="000000"/>
                <w:kern w:val="0"/>
                <w:sz w:val="20"/>
                <w:szCs w:val="21"/>
              </w:rPr>
              <w:t>1.按照规定划定饮用水水源保护区，得1分；未划定，不得分。</w:t>
            </w:r>
          </w:p>
          <w:p>
            <w:pPr>
              <w:widowControl/>
              <w:rPr>
                <w:rFonts w:eastAsia="仿宋_GB2312"/>
                <w:color w:val="000000"/>
                <w:kern w:val="0"/>
                <w:sz w:val="20"/>
                <w:szCs w:val="21"/>
              </w:rPr>
            </w:pPr>
            <w:r>
              <w:rPr>
                <w:rFonts w:eastAsia="仿宋_GB2312"/>
                <w:color w:val="000000"/>
                <w:kern w:val="0"/>
                <w:sz w:val="20"/>
                <w:szCs w:val="21"/>
              </w:rPr>
              <w:t>2.开展饮用水水源地规范化建设，得1分；未开展，不得分。</w:t>
            </w:r>
          </w:p>
          <w:p>
            <w:pPr>
              <w:widowControl/>
              <w:rPr>
                <w:rFonts w:eastAsia="仿宋_GB2312"/>
                <w:color w:val="000000"/>
                <w:kern w:val="0"/>
                <w:sz w:val="20"/>
                <w:szCs w:val="21"/>
              </w:rPr>
            </w:pPr>
            <w:r>
              <w:rPr>
                <w:rFonts w:eastAsia="仿宋_GB2312"/>
                <w:color w:val="000000"/>
                <w:kern w:val="0"/>
                <w:sz w:val="20"/>
                <w:szCs w:val="21"/>
              </w:rPr>
              <w:t>3.持续开展饮用水水源保护区环境问题排查，得1分；未开展，不得分。</w:t>
            </w:r>
          </w:p>
          <w:p>
            <w:pPr>
              <w:widowControl/>
              <w:rPr>
                <w:rFonts w:eastAsia="仿宋_GB2312"/>
                <w:color w:val="000000"/>
                <w:kern w:val="0"/>
                <w:sz w:val="20"/>
                <w:szCs w:val="21"/>
              </w:rPr>
            </w:pPr>
            <w:r>
              <w:rPr>
                <w:rFonts w:eastAsia="仿宋_GB2312"/>
                <w:color w:val="000000"/>
                <w:kern w:val="0"/>
                <w:sz w:val="20"/>
                <w:szCs w:val="21"/>
              </w:rPr>
              <w:t>4.县级以上水源保护区水质达标率达到100%，得1分；＜100%，不得分。</w:t>
            </w:r>
          </w:p>
          <w:p>
            <w:pPr>
              <w:widowControl/>
              <w:rPr>
                <w:rFonts w:eastAsia="仿宋_GB2312"/>
                <w:color w:val="000000"/>
                <w:kern w:val="0"/>
                <w:sz w:val="20"/>
                <w:szCs w:val="21"/>
              </w:rPr>
            </w:pPr>
            <w:r>
              <w:rPr>
                <w:rFonts w:eastAsia="仿宋_GB2312"/>
                <w:color w:val="000000"/>
                <w:kern w:val="0"/>
                <w:sz w:val="20"/>
                <w:szCs w:val="21"/>
              </w:rPr>
              <w:t>5.开展备用水源地相关工作，得1分；未开展，不得分。</w:t>
            </w:r>
          </w:p>
          <w:p>
            <w:pPr>
              <w:widowControl/>
              <w:rPr>
                <w:rFonts w:eastAsia="仿宋_GB2312"/>
                <w:color w:val="000000"/>
                <w:kern w:val="0"/>
                <w:sz w:val="20"/>
                <w:szCs w:val="21"/>
              </w:rPr>
            </w:pPr>
            <w:r>
              <w:rPr>
                <w:rFonts w:eastAsia="仿宋_GB2312"/>
                <w:color w:val="000000"/>
                <w:kern w:val="0"/>
                <w:sz w:val="20"/>
                <w:szCs w:val="21"/>
              </w:rPr>
              <w:t>6.公示水源地水质情况，公开问题清单及整改情况，得1分；未公示公开，不得分。</w:t>
            </w:r>
          </w:p>
          <w:p>
            <w:pPr>
              <w:widowControl/>
              <w:rPr>
                <w:rFonts w:eastAsia="仿宋_GB2312"/>
                <w:color w:val="000000"/>
                <w:kern w:val="0"/>
                <w:sz w:val="20"/>
                <w:szCs w:val="21"/>
              </w:rPr>
            </w:pPr>
            <w:r>
              <w:rPr>
                <w:rFonts w:eastAsia="仿宋_GB2312"/>
                <w:color w:val="000000"/>
                <w:kern w:val="0"/>
                <w:sz w:val="20"/>
                <w:szCs w:val="21"/>
              </w:rPr>
              <w:t>7.开展水源地保护的宣传工作，得1分；未开展，不得分。</w:t>
            </w:r>
          </w:p>
          <w:p>
            <w:pPr>
              <w:widowControl/>
              <w:rPr>
                <w:rFonts w:eastAsia="仿宋_GB2312"/>
                <w:color w:val="000000"/>
                <w:kern w:val="0"/>
                <w:sz w:val="20"/>
                <w:szCs w:val="21"/>
              </w:rPr>
            </w:pPr>
            <w:r>
              <w:rPr>
                <w:rFonts w:eastAsia="仿宋_GB2312"/>
                <w:color w:val="000000"/>
                <w:kern w:val="0"/>
                <w:sz w:val="20"/>
                <w:szCs w:val="21"/>
              </w:rPr>
              <w:t>该指标满分为7分。</w:t>
            </w:r>
          </w:p>
        </w:tc>
        <w:tc>
          <w:tcPr>
            <w:tcW w:w="567" w:type="dxa"/>
          </w:tcPr>
          <w:p>
            <w:pPr>
              <w:widowControl/>
              <w:rPr>
                <w:rFonts w:eastAsia="仿宋_GB2312"/>
                <w:color w:val="000000"/>
                <w:kern w:val="0"/>
                <w:sz w:val="20"/>
                <w:szCs w:val="21"/>
              </w:rPr>
            </w:pPr>
            <w:r>
              <w:rPr>
                <w:rFonts w:eastAsia="仿宋_GB2312"/>
                <w:color w:val="000000"/>
                <w:kern w:val="0"/>
                <w:sz w:val="20"/>
                <w:szCs w:val="21"/>
              </w:rPr>
              <w:t>7</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19.水功能区水质</w:t>
            </w:r>
          </w:p>
        </w:tc>
        <w:tc>
          <w:tcPr>
            <w:tcW w:w="3061" w:type="dxa"/>
          </w:tcPr>
          <w:p>
            <w:pPr>
              <w:rPr>
                <w:rFonts w:eastAsia="仿宋_GB2312"/>
                <w:color w:val="000000"/>
                <w:kern w:val="0"/>
                <w:sz w:val="20"/>
                <w:szCs w:val="21"/>
              </w:rPr>
            </w:pPr>
            <w:r>
              <w:rPr>
                <w:rFonts w:eastAsia="仿宋_GB2312"/>
                <w:color w:val="000000"/>
                <w:kern w:val="0"/>
                <w:sz w:val="20"/>
                <w:szCs w:val="21"/>
              </w:rPr>
              <w:t>水环境功能区划分合理，水质监测项目频次符合要求，水质达到功能区类别对应的要求。规范开展断面监测。河流、湖泊、沟渠、塘等水体无“黑臭”现象，水体水质不低于五类。</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查阅资料：相关文件、监测报告、政府网站信息等。</w:t>
            </w:r>
          </w:p>
          <w:p>
            <w:pPr>
              <w:widowControl/>
              <w:rPr>
                <w:rFonts w:eastAsia="仿宋_GB2312"/>
                <w:color w:val="000000"/>
                <w:kern w:val="0"/>
                <w:sz w:val="20"/>
                <w:szCs w:val="21"/>
              </w:rPr>
            </w:pPr>
            <w:r>
              <w:rPr>
                <w:rFonts w:eastAsia="仿宋_GB2312"/>
                <w:color w:val="000000"/>
                <w:kern w:val="0"/>
                <w:sz w:val="20"/>
                <w:szCs w:val="21"/>
              </w:rPr>
              <w:t>资料来源：水务、生态环境等部门。</w:t>
            </w:r>
          </w:p>
          <w:p>
            <w:pPr>
              <w:widowControl/>
              <w:rPr>
                <w:rFonts w:eastAsia="仿宋_GB2312"/>
                <w:color w:val="000000"/>
                <w:kern w:val="0"/>
                <w:sz w:val="20"/>
                <w:szCs w:val="21"/>
              </w:rPr>
            </w:pPr>
            <w:r>
              <w:rPr>
                <w:rFonts w:eastAsia="仿宋_GB2312"/>
                <w:color w:val="000000"/>
                <w:kern w:val="0"/>
                <w:sz w:val="20"/>
                <w:szCs w:val="21"/>
              </w:rPr>
              <w:t>现场查看：河流、湖泊、沟渠、塘等水体有无黑臭现象。</w:t>
            </w:r>
          </w:p>
        </w:tc>
        <w:tc>
          <w:tcPr>
            <w:tcW w:w="5545" w:type="dxa"/>
          </w:tcPr>
          <w:p>
            <w:pPr>
              <w:rPr>
                <w:rFonts w:eastAsia="仿宋_GB2312"/>
                <w:color w:val="000000"/>
                <w:kern w:val="0"/>
                <w:sz w:val="20"/>
                <w:szCs w:val="21"/>
              </w:rPr>
            </w:pPr>
            <w:r>
              <w:rPr>
                <w:rFonts w:eastAsia="仿宋_GB2312"/>
                <w:color w:val="000000"/>
                <w:kern w:val="0"/>
                <w:sz w:val="20"/>
                <w:szCs w:val="21"/>
              </w:rPr>
              <w:t>1.水质达到功能区类别对应的要求，得3分；部分达到要求，得2分；均未达到要求，不得分。</w:t>
            </w:r>
          </w:p>
          <w:p>
            <w:pPr>
              <w:rPr>
                <w:rFonts w:eastAsia="仿宋_GB2312"/>
                <w:color w:val="000000"/>
                <w:kern w:val="0"/>
                <w:sz w:val="20"/>
                <w:szCs w:val="21"/>
              </w:rPr>
            </w:pPr>
            <w:r>
              <w:rPr>
                <w:rFonts w:eastAsia="仿宋_GB2312"/>
                <w:color w:val="000000"/>
                <w:kern w:val="0"/>
                <w:sz w:val="20"/>
                <w:szCs w:val="21"/>
              </w:rPr>
              <w:t>2.见现场打分。</w:t>
            </w:r>
          </w:p>
          <w:p>
            <w:pPr>
              <w:rPr>
                <w:rFonts w:eastAsia="仿宋_GB2312"/>
                <w:color w:val="000000"/>
                <w:kern w:val="0"/>
                <w:sz w:val="20"/>
                <w:szCs w:val="21"/>
              </w:rPr>
            </w:pPr>
            <w:r>
              <w:rPr>
                <w:rFonts w:eastAsia="仿宋_GB2312"/>
                <w:color w:val="000000"/>
                <w:kern w:val="0"/>
                <w:sz w:val="20"/>
                <w:szCs w:val="21"/>
              </w:rPr>
              <w:t>该指标满分为6分。</w:t>
            </w:r>
          </w:p>
        </w:tc>
        <w:tc>
          <w:tcPr>
            <w:tcW w:w="567" w:type="dxa"/>
          </w:tcPr>
          <w:p>
            <w:pPr>
              <w:widowControl/>
              <w:rPr>
                <w:rFonts w:eastAsia="仿宋_GB2312"/>
                <w:color w:val="000000"/>
                <w:kern w:val="0"/>
                <w:sz w:val="20"/>
                <w:szCs w:val="21"/>
              </w:rPr>
            </w:pPr>
            <w:r>
              <w:rPr>
                <w:rFonts w:eastAsia="仿宋_GB2312"/>
                <w:color w:val="000000"/>
                <w:kern w:val="0"/>
                <w:sz w:val="20"/>
                <w:szCs w:val="21"/>
              </w:rPr>
              <w:t>3</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20.饮水安全保障</w:t>
            </w:r>
          </w:p>
        </w:tc>
        <w:tc>
          <w:tcPr>
            <w:tcW w:w="3061" w:type="dxa"/>
          </w:tcPr>
          <w:p>
            <w:pPr>
              <w:widowControl/>
              <w:rPr>
                <w:rFonts w:eastAsia="仿宋_GB2312"/>
                <w:color w:val="000000"/>
                <w:kern w:val="0"/>
                <w:sz w:val="20"/>
                <w:szCs w:val="21"/>
              </w:rPr>
            </w:pPr>
            <w:r>
              <w:rPr>
                <w:rFonts w:eastAsia="仿宋_GB2312"/>
                <w:color w:val="000000"/>
                <w:kern w:val="0"/>
                <w:sz w:val="20"/>
                <w:szCs w:val="21"/>
              </w:rPr>
              <w:t>建立多部门联合工作机制，全面保障取水、制水、供水（二次供水）及涉水产品安全。加强供水工程设施建设、饮用水水质卫生监督检测、水质安全监督管理、预警应急处置、饮水安全科普宣传等工作，生活饮用水水质卫生达到国家标准要求。</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查阅资料：相关文件、方案、工作记录、检测报告等。</w:t>
            </w:r>
          </w:p>
          <w:p>
            <w:pPr>
              <w:widowControl/>
              <w:rPr>
                <w:rFonts w:eastAsia="仿宋_GB2312"/>
                <w:color w:val="000000"/>
                <w:kern w:val="0"/>
                <w:sz w:val="20"/>
                <w:szCs w:val="21"/>
              </w:rPr>
            </w:pPr>
            <w:r>
              <w:rPr>
                <w:rFonts w:eastAsia="仿宋_GB2312"/>
                <w:color w:val="000000"/>
                <w:kern w:val="0"/>
                <w:sz w:val="20"/>
                <w:szCs w:val="21"/>
              </w:rPr>
              <w:t>资料来源：水务、生态环境、卫生健康等部门。</w:t>
            </w:r>
          </w:p>
        </w:tc>
        <w:tc>
          <w:tcPr>
            <w:tcW w:w="5545" w:type="dxa"/>
          </w:tcPr>
          <w:p>
            <w:pPr>
              <w:widowControl/>
              <w:rPr>
                <w:rFonts w:eastAsia="仿宋_GB2312"/>
                <w:color w:val="000000"/>
                <w:kern w:val="0"/>
                <w:sz w:val="20"/>
                <w:szCs w:val="21"/>
              </w:rPr>
            </w:pPr>
            <w:r>
              <w:rPr>
                <w:rFonts w:eastAsia="仿宋_GB2312"/>
                <w:color w:val="000000"/>
                <w:kern w:val="0"/>
                <w:sz w:val="20"/>
                <w:szCs w:val="21"/>
              </w:rPr>
              <w:t>年内辖区生活饮用水水质监测达标率为100%，得8分；未达到100%者按实际比例得分；未开展监测，不得分。</w:t>
            </w:r>
          </w:p>
        </w:tc>
        <w:tc>
          <w:tcPr>
            <w:tcW w:w="567" w:type="dxa"/>
          </w:tcPr>
          <w:p>
            <w:pPr>
              <w:widowControl/>
              <w:rPr>
                <w:rFonts w:eastAsia="仿宋_GB2312"/>
                <w:color w:val="000000"/>
                <w:kern w:val="0"/>
                <w:sz w:val="20"/>
                <w:szCs w:val="21"/>
              </w:rPr>
            </w:pPr>
            <w:r>
              <w:rPr>
                <w:rFonts w:eastAsia="仿宋_GB2312"/>
                <w:color w:val="000000"/>
                <w:kern w:val="0"/>
                <w:sz w:val="20"/>
                <w:szCs w:val="21"/>
              </w:rPr>
              <w:t>8</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22.污水处理</w:t>
            </w:r>
          </w:p>
        </w:tc>
        <w:tc>
          <w:tcPr>
            <w:tcW w:w="3061" w:type="dxa"/>
          </w:tcPr>
          <w:p>
            <w:pPr>
              <w:widowControl/>
              <w:rPr>
                <w:rFonts w:eastAsia="仿宋_GB2312"/>
                <w:color w:val="000000"/>
                <w:kern w:val="0"/>
                <w:sz w:val="20"/>
                <w:szCs w:val="21"/>
              </w:rPr>
            </w:pPr>
            <w:r>
              <w:rPr>
                <w:rFonts w:eastAsia="仿宋_GB2312"/>
                <w:color w:val="000000"/>
                <w:kern w:val="0"/>
                <w:sz w:val="20"/>
                <w:szCs w:val="21"/>
              </w:rPr>
              <w:t>因地制宜实施雨污分流、老旧破损污水管网改造，基本消除城市建成区生活污水直排口和收集处理设施空白区，生活污水收集管网基本全覆盖，污水处理厂建成并达标运行。</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查阅资料：建成区污水收集处理、污水管网建设运行等资料。</w:t>
            </w:r>
          </w:p>
          <w:p>
            <w:pPr>
              <w:widowControl/>
              <w:rPr>
                <w:rFonts w:eastAsia="仿宋_GB2312"/>
                <w:color w:val="000000"/>
                <w:kern w:val="0"/>
                <w:sz w:val="20"/>
                <w:szCs w:val="21"/>
              </w:rPr>
            </w:pPr>
            <w:r>
              <w:rPr>
                <w:rFonts w:eastAsia="仿宋_GB2312"/>
                <w:color w:val="000000"/>
                <w:kern w:val="0"/>
                <w:sz w:val="20"/>
                <w:szCs w:val="21"/>
              </w:rPr>
              <w:t>资料来源：相关部门、运行管理单位等。</w:t>
            </w:r>
          </w:p>
          <w:p>
            <w:pPr>
              <w:widowControl/>
              <w:rPr>
                <w:rFonts w:eastAsia="仿宋_GB2312"/>
                <w:color w:val="000000"/>
                <w:kern w:val="0"/>
                <w:sz w:val="20"/>
                <w:szCs w:val="21"/>
              </w:rPr>
            </w:pPr>
            <w:r>
              <w:rPr>
                <w:rFonts w:eastAsia="仿宋_GB2312"/>
                <w:color w:val="000000"/>
                <w:kern w:val="0"/>
                <w:sz w:val="20"/>
                <w:szCs w:val="21"/>
              </w:rPr>
              <w:t>现场抽查：抽查1家污水处理厂。</w:t>
            </w:r>
          </w:p>
        </w:tc>
        <w:tc>
          <w:tcPr>
            <w:tcW w:w="5545" w:type="dxa"/>
          </w:tcPr>
          <w:p>
            <w:pPr>
              <w:widowControl/>
              <w:rPr>
                <w:rFonts w:eastAsia="仿宋_GB2312"/>
                <w:color w:val="000000"/>
                <w:kern w:val="0"/>
                <w:sz w:val="20"/>
                <w:szCs w:val="21"/>
              </w:rPr>
            </w:pPr>
            <w:r>
              <w:rPr>
                <w:rFonts w:eastAsia="仿宋_GB2312"/>
                <w:bCs/>
                <w:color w:val="000000"/>
                <w:kern w:val="0"/>
                <w:sz w:val="20"/>
                <w:szCs w:val="21"/>
              </w:rPr>
              <w:t>1.</w:t>
            </w:r>
            <w:r>
              <w:rPr>
                <w:rFonts w:eastAsia="仿宋_GB2312"/>
                <w:color w:val="000000"/>
                <w:kern w:val="0"/>
                <w:sz w:val="20"/>
                <w:szCs w:val="21"/>
              </w:rPr>
              <w:t>建成区污水收集率≥75%，得4分；≥70%且＜75%，得2分；＜70%，不得分。</w:t>
            </w:r>
          </w:p>
          <w:p>
            <w:pPr>
              <w:widowControl/>
              <w:rPr>
                <w:rFonts w:eastAsia="仿宋_GB2312"/>
                <w:color w:val="000000"/>
                <w:kern w:val="0"/>
                <w:sz w:val="20"/>
                <w:szCs w:val="21"/>
              </w:rPr>
            </w:pPr>
            <w:r>
              <w:rPr>
                <w:rFonts w:eastAsia="仿宋_GB2312"/>
                <w:color w:val="000000"/>
                <w:kern w:val="0"/>
                <w:sz w:val="20"/>
                <w:szCs w:val="21"/>
              </w:rPr>
              <w:t xml:space="preserve">2.见现场打分。 </w:t>
            </w:r>
          </w:p>
          <w:p>
            <w:pPr>
              <w:widowControl/>
              <w:rPr>
                <w:rFonts w:eastAsia="仿宋_GB2312"/>
                <w:color w:val="000000"/>
                <w:kern w:val="0"/>
                <w:sz w:val="20"/>
                <w:szCs w:val="21"/>
              </w:rPr>
            </w:pPr>
            <w:r>
              <w:rPr>
                <w:rFonts w:eastAsia="仿宋_GB2312"/>
                <w:color w:val="000000"/>
                <w:kern w:val="0"/>
                <w:sz w:val="20"/>
                <w:szCs w:val="21"/>
              </w:rPr>
              <w:t>该指标满分为8分。</w:t>
            </w:r>
          </w:p>
        </w:tc>
        <w:tc>
          <w:tcPr>
            <w:tcW w:w="567" w:type="dxa"/>
            <w:vAlign w:val="center"/>
          </w:tcPr>
          <w:p>
            <w:pPr>
              <w:widowControl/>
              <w:rPr>
                <w:rFonts w:eastAsia="仿宋_GB2312"/>
                <w:color w:val="000000"/>
                <w:kern w:val="0"/>
                <w:sz w:val="20"/>
                <w:szCs w:val="21"/>
              </w:rPr>
            </w:pPr>
            <w:r>
              <w:rPr>
                <w:rFonts w:eastAsia="仿宋_GB2312"/>
                <w:color w:val="000000"/>
                <w:kern w:val="0"/>
                <w:sz w:val="20"/>
                <w:szCs w:val="21"/>
              </w:rPr>
              <w:t>4</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23.生活垃圾源头减量和分类</w:t>
            </w:r>
          </w:p>
        </w:tc>
        <w:tc>
          <w:tcPr>
            <w:tcW w:w="3061" w:type="dxa"/>
          </w:tcPr>
          <w:p>
            <w:pPr>
              <w:widowControl/>
              <w:rPr>
                <w:rFonts w:eastAsia="仿宋_GB2312"/>
                <w:color w:val="000000"/>
                <w:kern w:val="0"/>
                <w:sz w:val="20"/>
                <w:szCs w:val="21"/>
              </w:rPr>
            </w:pPr>
            <w:r>
              <w:rPr>
                <w:rFonts w:eastAsia="仿宋_GB2312"/>
                <w:color w:val="000000"/>
                <w:kern w:val="0"/>
                <w:sz w:val="20"/>
                <w:szCs w:val="21"/>
              </w:rPr>
              <w:t>出台生活垃圾源头减量和分类工作方案，建成生活垃圾分类工作协调机制，加快建立分类投放、分类收集、分类运输、分类处理的生活垃圾管理系统，实现生活垃圾分类制度有效覆盖，城市生活垃圾回收利用率＞35%。</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查阅资料：生活垃圾减量、分类等工作方案，生活垃圾分类收集、运输和处理设施设备情况等资料。</w:t>
            </w:r>
          </w:p>
          <w:p>
            <w:pPr>
              <w:widowControl/>
              <w:rPr>
                <w:rFonts w:eastAsia="仿宋_GB2312"/>
                <w:color w:val="000000"/>
                <w:kern w:val="0"/>
                <w:sz w:val="20"/>
                <w:szCs w:val="21"/>
              </w:rPr>
            </w:pPr>
            <w:r>
              <w:rPr>
                <w:rFonts w:eastAsia="仿宋_GB2312"/>
                <w:color w:val="000000"/>
                <w:kern w:val="0"/>
                <w:sz w:val="20"/>
                <w:szCs w:val="21"/>
              </w:rPr>
              <w:t>资料来源：相关部门和运行管理单位。</w:t>
            </w:r>
          </w:p>
          <w:p>
            <w:pPr>
              <w:widowControl/>
              <w:rPr>
                <w:rFonts w:eastAsia="仿宋_GB2312"/>
                <w:color w:val="000000"/>
                <w:kern w:val="0"/>
                <w:sz w:val="20"/>
                <w:szCs w:val="21"/>
              </w:rPr>
            </w:pPr>
            <w:r>
              <w:rPr>
                <w:rFonts w:eastAsia="仿宋_GB2312"/>
                <w:color w:val="000000"/>
                <w:kern w:val="0"/>
                <w:sz w:val="20"/>
                <w:szCs w:val="21"/>
              </w:rPr>
              <w:t>现场抽查：随机抽查1个城区居民小区和1个行政村，查看其垃圾分类情况。</w:t>
            </w:r>
          </w:p>
        </w:tc>
        <w:tc>
          <w:tcPr>
            <w:tcW w:w="5545" w:type="dxa"/>
          </w:tcPr>
          <w:p>
            <w:pPr>
              <w:widowControl/>
              <w:rPr>
                <w:rFonts w:eastAsia="仿宋_GB2312"/>
                <w:color w:val="000000"/>
                <w:kern w:val="0"/>
                <w:sz w:val="20"/>
                <w:szCs w:val="21"/>
              </w:rPr>
            </w:pPr>
            <w:r>
              <w:rPr>
                <w:rFonts w:eastAsia="仿宋_GB2312"/>
                <w:color w:val="000000"/>
                <w:kern w:val="0"/>
                <w:sz w:val="20"/>
                <w:szCs w:val="21"/>
              </w:rPr>
              <w:t>1.城市生活垃圾回收利用率＞35%，得6分；＞30%且≤35%，得3分；≤30%，不得分。</w:t>
            </w:r>
          </w:p>
          <w:p>
            <w:pPr>
              <w:widowControl/>
              <w:rPr>
                <w:rFonts w:eastAsia="仿宋_GB2312"/>
                <w:color w:val="000000"/>
                <w:kern w:val="0"/>
                <w:sz w:val="20"/>
                <w:szCs w:val="21"/>
              </w:rPr>
            </w:pPr>
            <w:r>
              <w:rPr>
                <w:rFonts w:eastAsia="仿宋_GB2312"/>
                <w:color w:val="000000"/>
                <w:kern w:val="0"/>
                <w:sz w:val="20"/>
                <w:szCs w:val="21"/>
              </w:rPr>
              <w:t xml:space="preserve">2.见现场打分。 </w:t>
            </w:r>
          </w:p>
          <w:p>
            <w:pPr>
              <w:widowControl/>
              <w:rPr>
                <w:rFonts w:eastAsia="仿宋_GB2312"/>
                <w:color w:val="000000"/>
                <w:kern w:val="0"/>
                <w:sz w:val="20"/>
                <w:szCs w:val="21"/>
              </w:rPr>
            </w:pPr>
            <w:r>
              <w:rPr>
                <w:rFonts w:eastAsia="仿宋_GB2312"/>
                <w:color w:val="000000"/>
                <w:kern w:val="0"/>
                <w:sz w:val="20"/>
                <w:szCs w:val="21"/>
              </w:rPr>
              <w:t>该指标满分为11分。</w:t>
            </w:r>
          </w:p>
        </w:tc>
        <w:tc>
          <w:tcPr>
            <w:tcW w:w="567" w:type="dxa"/>
            <w:vAlign w:val="center"/>
          </w:tcPr>
          <w:p>
            <w:pPr>
              <w:widowControl/>
              <w:spacing w:line="400" w:lineRule="atLeast"/>
              <w:rPr>
                <w:rFonts w:eastAsia="仿宋_GB2312"/>
                <w:color w:val="000000"/>
                <w:kern w:val="0"/>
                <w:sz w:val="20"/>
                <w:szCs w:val="21"/>
              </w:rPr>
            </w:pPr>
            <w:r>
              <w:rPr>
                <w:rFonts w:eastAsia="仿宋_GB2312"/>
                <w:color w:val="000000"/>
                <w:kern w:val="0"/>
                <w:sz w:val="20"/>
                <w:szCs w:val="21"/>
              </w:rPr>
              <w:t>6</w:t>
            </w:r>
          </w:p>
        </w:tc>
        <w:tc>
          <w:tcPr>
            <w:tcW w:w="567" w:type="dxa"/>
          </w:tcPr>
          <w:p>
            <w:pPr>
              <w:widowControl/>
              <w:spacing w:line="400" w:lineRule="atLeast"/>
              <w:rPr>
                <w:rFonts w:eastAsia="仿宋_GB2312"/>
                <w:color w:val="000000"/>
                <w:kern w:val="0"/>
                <w:sz w:val="20"/>
                <w:szCs w:val="21"/>
              </w:rPr>
            </w:pPr>
          </w:p>
        </w:tc>
        <w:tc>
          <w:tcPr>
            <w:tcW w:w="809" w:type="dxa"/>
          </w:tcPr>
          <w:p>
            <w:pPr>
              <w:widowControl/>
              <w:spacing w:line="400" w:lineRule="atLeast"/>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27.农村卫生厕所</w:t>
            </w:r>
          </w:p>
        </w:tc>
        <w:tc>
          <w:tcPr>
            <w:tcW w:w="3061" w:type="dxa"/>
          </w:tcPr>
          <w:p>
            <w:pPr>
              <w:rPr>
                <w:rFonts w:eastAsia="仿宋_GB2312"/>
                <w:color w:val="000000"/>
                <w:kern w:val="0"/>
                <w:sz w:val="20"/>
                <w:szCs w:val="21"/>
              </w:rPr>
            </w:pPr>
            <w:r>
              <w:rPr>
                <w:rFonts w:hint="eastAsia" w:eastAsia="仿宋_GB2312"/>
                <w:color w:val="000000"/>
                <w:kern w:val="0"/>
                <w:sz w:val="20"/>
                <w:szCs w:val="21"/>
              </w:rPr>
              <w:t>统筹推进辖区内农村户厕改造工作，农村卫生厕所普及率达到95%以上，地处偏远、经济欠发达的地区农村卫生厕所普及率达到85%以上。</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查阅资料：农村户厕改造相关资料。</w:t>
            </w:r>
          </w:p>
          <w:p>
            <w:pPr>
              <w:widowControl/>
              <w:rPr>
                <w:rFonts w:eastAsia="仿宋_GB2312"/>
                <w:color w:val="000000"/>
                <w:kern w:val="0"/>
                <w:sz w:val="20"/>
                <w:szCs w:val="21"/>
              </w:rPr>
            </w:pPr>
            <w:r>
              <w:rPr>
                <w:rFonts w:eastAsia="仿宋_GB2312"/>
                <w:color w:val="000000"/>
                <w:kern w:val="0"/>
                <w:sz w:val="20"/>
                <w:szCs w:val="21"/>
              </w:rPr>
              <w:t>资料来源：农业农村、住房和城乡建设等部门。</w:t>
            </w:r>
          </w:p>
          <w:p>
            <w:pPr>
              <w:widowControl/>
              <w:rPr>
                <w:rFonts w:eastAsia="仿宋_GB2312"/>
                <w:color w:val="000000"/>
                <w:kern w:val="0"/>
                <w:sz w:val="20"/>
                <w:szCs w:val="21"/>
              </w:rPr>
            </w:pPr>
            <w:r>
              <w:rPr>
                <w:rFonts w:eastAsia="仿宋_GB2312"/>
                <w:color w:val="000000"/>
                <w:kern w:val="0"/>
                <w:sz w:val="20"/>
                <w:szCs w:val="21"/>
              </w:rPr>
              <w:t>现场抽查：随机抽取1个行政村，现场随机抽取5户农村家庭，查看其卫生厕所情况。</w:t>
            </w:r>
          </w:p>
          <w:p>
            <w:pPr>
              <w:widowControl/>
              <w:rPr>
                <w:rFonts w:eastAsia="仿宋_GB2312"/>
                <w:color w:val="000000"/>
                <w:kern w:val="0"/>
                <w:sz w:val="20"/>
                <w:szCs w:val="21"/>
              </w:rPr>
            </w:pPr>
          </w:p>
        </w:tc>
        <w:tc>
          <w:tcPr>
            <w:tcW w:w="5545" w:type="dxa"/>
          </w:tcPr>
          <w:p>
            <w:pPr>
              <w:widowControl/>
              <w:numPr>
                <w:ilvl w:val="0"/>
                <w:numId w:val="2"/>
              </w:numPr>
              <w:rPr>
                <w:rFonts w:eastAsia="仿宋_GB2312"/>
                <w:color w:val="000000"/>
                <w:kern w:val="0"/>
                <w:sz w:val="20"/>
                <w:szCs w:val="21"/>
              </w:rPr>
            </w:pPr>
            <w:r>
              <w:rPr>
                <w:rFonts w:hint="eastAsia" w:eastAsia="仿宋_GB2312"/>
                <w:color w:val="000000"/>
                <w:kern w:val="0"/>
                <w:sz w:val="20"/>
                <w:szCs w:val="21"/>
              </w:rPr>
              <w:t>农村卫生厕所普及率≥95%，地处偏远、经济欠发达的地区农村卫生厕所普及率≥85%，得4分；农村卫生厕所普及率≥85%且＜95%，地处偏远、经济欠发达的地区农村卫生厕所普及率≥75%且＜85%，得2分；农村卫生厕所普及率＜85%，地处偏远、经济欠发达的地区农村卫生厕所普及率＜75%，不得分。</w:t>
            </w:r>
          </w:p>
          <w:p>
            <w:pPr>
              <w:widowControl/>
              <w:numPr>
                <w:ilvl w:val="0"/>
                <w:numId w:val="2"/>
              </w:numPr>
              <w:rPr>
                <w:rFonts w:eastAsia="仿宋_GB2312"/>
                <w:color w:val="000000"/>
                <w:kern w:val="0"/>
                <w:sz w:val="20"/>
                <w:szCs w:val="21"/>
              </w:rPr>
            </w:pPr>
            <w:r>
              <w:rPr>
                <w:rFonts w:hint="eastAsia" w:eastAsia="仿宋_GB2312"/>
                <w:color w:val="000000"/>
                <w:kern w:val="0"/>
                <w:sz w:val="20"/>
                <w:szCs w:val="21"/>
              </w:rPr>
              <w:t xml:space="preserve">见现场打分。 </w:t>
            </w:r>
          </w:p>
          <w:p>
            <w:pPr>
              <w:widowControl/>
              <w:rPr>
                <w:rFonts w:eastAsia="仿宋_GB2312"/>
                <w:color w:val="000000"/>
                <w:kern w:val="0"/>
                <w:sz w:val="20"/>
                <w:szCs w:val="21"/>
              </w:rPr>
            </w:pPr>
            <w:r>
              <w:rPr>
                <w:rFonts w:hint="eastAsia" w:eastAsia="仿宋_GB2312"/>
                <w:color w:val="000000"/>
                <w:kern w:val="0"/>
                <w:sz w:val="20"/>
                <w:szCs w:val="21"/>
              </w:rPr>
              <w:t>该指标满分为9分。</w:t>
            </w:r>
          </w:p>
        </w:tc>
        <w:tc>
          <w:tcPr>
            <w:tcW w:w="567" w:type="dxa"/>
          </w:tcPr>
          <w:p>
            <w:pPr>
              <w:widowControl/>
              <w:spacing w:line="400" w:lineRule="atLeast"/>
              <w:rPr>
                <w:rFonts w:eastAsia="仿宋_GB2312"/>
                <w:color w:val="000000"/>
                <w:kern w:val="0"/>
                <w:sz w:val="20"/>
                <w:szCs w:val="21"/>
              </w:rPr>
            </w:pPr>
            <w:r>
              <w:rPr>
                <w:rFonts w:eastAsia="仿宋_GB2312"/>
                <w:color w:val="000000"/>
                <w:kern w:val="0"/>
                <w:sz w:val="20"/>
                <w:szCs w:val="21"/>
              </w:rPr>
              <w:t>4</w:t>
            </w:r>
          </w:p>
        </w:tc>
        <w:tc>
          <w:tcPr>
            <w:tcW w:w="567" w:type="dxa"/>
          </w:tcPr>
          <w:p>
            <w:pPr>
              <w:widowControl/>
              <w:spacing w:line="400" w:lineRule="atLeast"/>
              <w:rPr>
                <w:rFonts w:eastAsia="仿宋_GB2312"/>
                <w:color w:val="000000"/>
                <w:kern w:val="0"/>
                <w:sz w:val="20"/>
                <w:szCs w:val="21"/>
              </w:rPr>
            </w:pPr>
          </w:p>
        </w:tc>
        <w:tc>
          <w:tcPr>
            <w:tcW w:w="809" w:type="dxa"/>
          </w:tcPr>
          <w:p>
            <w:pPr>
              <w:widowControl/>
              <w:spacing w:line="400" w:lineRule="atLeast"/>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28.病媒孳生地治理及密度控制</w:t>
            </w:r>
          </w:p>
        </w:tc>
        <w:tc>
          <w:tcPr>
            <w:tcW w:w="3061" w:type="dxa"/>
          </w:tcPr>
          <w:p>
            <w:pPr>
              <w:rPr>
                <w:rFonts w:eastAsia="仿宋_GB2312"/>
                <w:color w:val="000000"/>
                <w:kern w:val="0"/>
                <w:sz w:val="20"/>
                <w:szCs w:val="21"/>
              </w:rPr>
            </w:pPr>
            <w:r>
              <w:rPr>
                <w:rFonts w:eastAsia="仿宋_GB2312"/>
                <w:color w:val="000000"/>
                <w:kern w:val="0"/>
                <w:sz w:val="20"/>
                <w:szCs w:val="21"/>
              </w:rPr>
              <w:t>对蚊、蝇孳生地进行有效管理，鼠、蚊、蝇、蟑螂的密度达到国家病媒生物密度控制水平。</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查阅资料：蚊、蝇孳生地治理或管理方案等,查看1个城市居民小区所在街道的病媒生物密度控制的监测、自评报告等资料。</w:t>
            </w:r>
          </w:p>
          <w:p>
            <w:pPr>
              <w:widowControl/>
              <w:rPr>
                <w:rFonts w:eastAsia="仿宋_GB2312"/>
                <w:color w:val="000000"/>
                <w:kern w:val="0"/>
                <w:sz w:val="20"/>
                <w:szCs w:val="21"/>
              </w:rPr>
            </w:pPr>
            <w:r>
              <w:rPr>
                <w:rFonts w:eastAsia="仿宋_GB2312"/>
                <w:color w:val="000000"/>
                <w:kern w:val="0"/>
                <w:sz w:val="20"/>
                <w:szCs w:val="21"/>
              </w:rPr>
              <w:t>资料来源：卫生健康等部门、街道或相关部门。</w:t>
            </w:r>
          </w:p>
          <w:p>
            <w:pPr>
              <w:widowControl/>
              <w:rPr>
                <w:rFonts w:eastAsia="仿宋_GB2312"/>
                <w:color w:val="000000"/>
                <w:kern w:val="0"/>
                <w:sz w:val="20"/>
                <w:szCs w:val="21"/>
              </w:rPr>
            </w:pPr>
            <w:r>
              <w:rPr>
                <w:rFonts w:eastAsia="仿宋_GB2312"/>
                <w:color w:val="000000"/>
                <w:kern w:val="0"/>
                <w:sz w:val="20"/>
                <w:szCs w:val="21"/>
              </w:rPr>
              <w:t>现场抽查：抽取1个城区的居民小区，查看蚊蝇孳生地情况。</w:t>
            </w:r>
          </w:p>
        </w:tc>
        <w:tc>
          <w:tcPr>
            <w:tcW w:w="5545" w:type="dxa"/>
          </w:tcPr>
          <w:p>
            <w:pPr>
              <w:widowControl/>
              <w:rPr>
                <w:rFonts w:eastAsia="仿宋_GB2312"/>
                <w:color w:val="000000"/>
                <w:kern w:val="0"/>
                <w:sz w:val="20"/>
                <w:szCs w:val="21"/>
              </w:rPr>
            </w:pPr>
            <w:r>
              <w:rPr>
                <w:rFonts w:eastAsia="仿宋_GB2312"/>
                <w:color w:val="000000"/>
                <w:kern w:val="0"/>
                <w:sz w:val="20"/>
                <w:szCs w:val="21"/>
              </w:rPr>
              <w:t>1.制定孳生地治理或管理方案，得2分；未制定，不得分。</w:t>
            </w:r>
          </w:p>
          <w:p>
            <w:pPr>
              <w:widowControl/>
              <w:rPr>
                <w:rFonts w:eastAsia="仿宋_GB2312"/>
                <w:color w:val="000000"/>
                <w:kern w:val="0"/>
                <w:sz w:val="20"/>
                <w:szCs w:val="21"/>
              </w:rPr>
            </w:pPr>
            <w:r>
              <w:rPr>
                <w:rFonts w:eastAsia="仿宋_GB2312"/>
                <w:color w:val="000000"/>
                <w:kern w:val="0"/>
                <w:sz w:val="20"/>
                <w:szCs w:val="21"/>
              </w:rPr>
              <w:t>2.见现场打分。</w:t>
            </w:r>
          </w:p>
          <w:p>
            <w:pPr>
              <w:widowControl/>
              <w:rPr>
                <w:rFonts w:eastAsia="仿宋_GB2312"/>
                <w:color w:val="000000"/>
                <w:kern w:val="0"/>
                <w:sz w:val="20"/>
                <w:szCs w:val="21"/>
              </w:rPr>
            </w:pPr>
            <w:r>
              <w:rPr>
                <w:rFonts w:eastAsia="仿宋_GB2312"/>
                <w:color w:val="000000"/>
                <w:kern w:val="0"/>
                <w:sz w:val="20"/>
                <w:szCs w:val="21"/>
              </w:rPr>
              <w:t>3.见现场打分。</w:t>
            </w:r>
          </w:p>
          <w:p>
            <w:pPr>
              <w:widowControl/>
              <w:rPr>
                <w:rFonts w:eastAsia="仿宋_GB2312"/>
                <w:color w:val="000000"/>
                <w:kern w:val="0"/>
                <w:sz w:val="20"/>
                <w:szCs w:val="21"/>
              </w:rPr>
            </w:pPr>
            <w:r>
              <w:rPr>
                <w:rFonts w:eastAsia="仿宋_GB2312"/>
                <w:color w:val="000000"/>
                <w:kern w:val="0"/>
                <w:sz w:val="20"/>
                <w:szCs w:val="21"/>
              </w:rPr>
              <w:t>该指标满分为16分。</w:t>
            </w:r>
          </w:p>
        </w:tc>
        <w:tc>
          <w:tcPr>
            <w:tcW w:w="567" w:type="dxa"/>
          </w:tcPr>
          <w:p>
            <w:pPr>
              <w:widowControl/>
              <w:spacing w:line="400" w:lineRule="atLeast"/>
              <w:rPr>
                <w:rFonts w:eastAsia="仿宋_GB2312"/>
                <w:color w:val="000000"/>
                <w:kern w:val="0"/>
                <w:sz w:val="20"/>
                <w:szCs w:val="21"/>
              </w:rPr>
            </w:pPr>
            <w:r>
              <w:rPr>
                <w:rFonts w:eastAsia="仿宋_GB2312"/>
                <w:kern w:val="0"/>
                <w:sz w:val="20"/>
                <w:szCs w:val="21"/>
              </w:rPr>
              <w:t>2</w:t>
            </w:r>
          </w:p>
        </w:tc>
        <w:tc>
          <w:tcPr>
            <w:tcW w:w="567" w:type="dxa"/>
          </w:tcPr>
          <w:p>
            <w:pPr>
              <w:widowControl/>
              <w:spacing w:line="400" w:lineRule="atLeast"/>
              <w:rPr>
                <w:rFonts w:eastAsia="仿宋_GB2312"/>
                <w:kern w:val="0"/>
                <w:sz w:val="20"/>
                <w:szCs w:val="21"/>
              </w:rPr>
            </w:pPr>
          </w:p>
        </w:tc>
        <w:tc>
          <w:tcPr>
            <w:tcW w:w="809" w:type="dxa"/>
          </w:tcPr>
          <w:p>
            <w:pPr>
              <w:widowControl/>
              <w:spacing w:line="400" w:lineRule="atLeast"/>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31.禁止贩卖、制售、食用野生动物</w:t>
            </w:r>
          </w:p>
        </w:tc>
        <w:tc>
          <w:tcPr>
            <w:tcW w:w="3061" w:type="dxa"/>
          </w:tcPr>
          <w:p>
            <w:pPr>
              <w:rPr>
                <w:rFonts w:eastAsia="仿宋_GB2312"/>
                <w:color w:val="000000"/>
                <w:kern w:val="0"/>
                <w:sz w:val="20"/>
                <w:szCs w:val="21"/>
              </w:rPr>
            </w:pPr>
            <w:r>
              <w:rPr>
                <w:rFonts w:eastAsia="仿宋_GB2312"/>
                <w:color w:val="000000"/>
                <w:kern w:val="0"/>
                <w:sz w:val="20"/>
                <w:szCs w:val="21"/>
              </w:rPr>
              <w:t>严格落实《全国人民代表大会常务委员会关于全面禁止非法野生动物交易、革除滥食野生动物陋习、切实保障人民群众生命健康安全的决定》《国家林业和草原局关于规范禁食野生动物分类管理范围的通知》等规定，加大宣传，严格执法，禁止贩卖、制售、食用野生动物。</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查阅资料：相关落实文件、执法记录等。</w:t>
            </w:r>
          </w:p>
          <w:p>
            <w:pPr>
              <w:widowControl/>
              <w:rPr>
                <w:rFonts w:eastAsia="仿宋_GB2312"/>
                <w:color w:val="000000"/>
                <w:kern w:val="0"/>
                <w:sz w:val="20"/>
                <w:szCs w:val="21"/>
              </w:rPr>
            </w:pPr>
            <w:r>
              <w:rPr>
                <w:rFonts w:eastAsia="仿宋_GB2312"/>
                <w:color w:val="000000"/>
                <w:kern w:val="0"/>
                <w:sz w:val="20"/>
                <w:szCs w:val="21"/>
              </w:rPr>
              <w:t>资料来源：市场监管、公安、司法等部门。</w:t>
            </w:r>
          </w:p>
          <w:p>
            <w:pPr>
              <w:widowControl/>
              <w:rPr>
                <w:rFonts w:eastAsia="仿宋_GB2312"/>
                <w:color w:val="000000"/>
                <w:kern w:val="0"/>
                <w:sz w:val="20"/>
                <w:szCs w:val="21"/>
              </w:rPr>
            </w:pPr>
            <w:r>
              <w:rPr>
                <w:rFonts w:eastAsia="仿宋_GB2312"/>
                <w:color w:val="000000"/>
                <w:kern w:val="0"/>
                <w:sz w:val="20"/>
                <w:szCs w:val="21"/>
              </w:rPr>
              <w:t>现场抽查：随机抽查1处农贸市场、或集市、或宠物市场，查看有无贩卖、制售、食用野生动物情况。</w:t>
            </w:r>
          </w:p>
        </w:tc>
        <w:tc>
          <w:tcPr>
            <w:tcW w:w="5545" w:type="dxa"/>
          </w:tcPr>
          <w:p>
            <w:pPr>
              <w:widowControl/>
              <w:rPr>
                <w:rFonts w:eastAsia="仿宋_GB2312"/>
                <w:color w:val="000000"/>
                <w:kern w:val="0"/>
                <w:sz w:val="20"/>
                <w:szCs w:val="21"/>
              </w:rPr>
            </w:pPr>
            <w:r>
              <w:rPr>
                <w:rFonts w:eastAsia="仿宋_GB2312"/>
                <w:color w:val="000000"/>
                <w:kern w:val="0"/>
                <w:sz w:val="20"/>
                <w:szCs w:val="21"/>
              </w:rPr>
              <w:t>1.有相关落实文件，得3分；无相关文件，不得分。</w:t>
            </w:r>
          </w:p>
          <w:p>
            <w:pPr>
              <w:widowControl/>
              <w:rPr>
                <w:rFonts w:eastAsia="仿宋_GB2312"/>
                <w:color w:val="000000"/>
                <w:kern w:val="0"/>
                <w:sz w:val="20"/>
                <w:szCs w:val="21"/>
              </w:rPr>
            </w:pPr>
            <w:r>
              <w:rPr>
                <w:rFonts w:eastAsia="仿宋_GB2312"/>
                <w:color w:val="000000"/>
                <w:kern w:val="0"/>
                <w:sz w:val="20"/>
                <w:szCs w:val="21"/>
              </w:rPr>
              <w:t xml:space="preserve">2.见现场打分。 </w:t>
            </w:r>
          </w:p>
          <w:p>
            <w:pPr>
              <w:widowControl/>
              <w:rPr>
                <w:rFonts w:eastAsia="仿宋_GB2312"/>
                <w:color w:val="000000"/>
                <w:kern w:val="0"/>
                <w:sz w:val="20"/>
                <w:szCs w:val="21"/>
              </w:rPr>
            </w:pPr>
            <w:r>
              <w:rPr>
                <w:rFonts w:eastAsia="仿宋_GB2312"/>
                <w:color w:val="000000"/>
                <w:kern w:val="0"/>
                <w:sz w:val="20"/>
                <w:szCs w:val="21"/>
              </w:rPr>
              <w:t>该指标满分为6分。</w:t>
            </w:r>
          </w:p>
        </w:tc>
        <w:tc>
          <w:tcPr>
            <w:tcW w:w="567" w:type="dxa"/>
          </w:tcPr>
          <w:p>
            <w:pPr>
              <w:widowControl/>
              <w:spacing w:line="400" w:lineRule="atLeast"/>
              <w:rPr>
                <w:rFonts w:eastAsia="仿宋_GB2312"/>
                <w:color w:val="000000"/>
                <w:kern w:val="0"/>
                <w:sz w:val="20"/>
                <w:szCs w:val="21"/>
              </w:rPr>
            </w:pPr>
            <w:r>
              <w:rPr>
                <w:rFonts w:eastAsia="仿宋_GB2312"/>
                <w:color w:val="000000"/>
                <w:kern w:val="0"/>
                <w:sz w:val="20"/>
                <w:szCs w:val="21"/>
              </w:rPr>
              <w:t>3</w:t>
            </w:r>
          </w:p>
        </w:tc>
        <w:tc>
          <w:tcPr>
            <w:tcW w:w="567" w:type="dxa"/>
          </w:tcPr>
          <w:p>
            <w:pPr>
              <w:widowControl/>
              <w:spacing w:line="400" w:lineRule="atLeast"/>
              <w:rPr>
                <w:rFonts w:eastAsia="仿宋_GB2312"/>
                <w:color w:val="000000"/>
                <w:kern w:val="0"/>
                <w:sz w:val="20"/>
                <w:szCs w:val="21"/>
              </w:rPr>
            </w:pPr>
          </w:p>
        </w:tc>
        <w:tc>
          <w:tcPr>
            <w:tcW w:w="809" w:type="dxa"/>
          </w:tcPr>
          <w:p>
            <w:pPr>
              <w:widowControl/>
              <w:spacing w:line="400" w:lineRule="atLeast"/>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35.农药化肥使用及废弃农膜回收利用</w:t>
            </w:r>
          </w:p>
        </w:tc>
        <w:tc>
          <w:tcPr>
            <w:tcW w:w="3061" w:type="dxa"/>
          </w:tcPr>
          <w:p>
            <w:pPr>
              <w:widowControl/>
              <w:rPr>
                <w:rFonts w:eastAsia="仿宋_GB2312"/>
                <w:color w:val="000000"/>
                <w:kern w:val="0"/>
                <w:sz w:val="20"/>
                <w:szCs w:val="21"/>
              </w:rPr>
            </w:pPr>
            <w:r>
              <w:rPr>
                <w:rFonts w:eastAsia="仿宋_GB2312"/>
                <w:color w:val="000000"/>
                <w:kern w:val="0"/>
                <w:sz w:val="20"/>
                <w:szCs w:val="21"/>
              </w:rPr>
              <w:t>以农药化肥减量增效为重点，推行绿色防控和病虫害统防统治，应用新型高效植保机械和高效低毒低残留农药，推广科学施肥技术和新型肥料，推进有机肥替代化肥，健全废旧农膜和农药化肥包装物等白色污染回收利用机制，建立回收利用体系，强化田间监测。</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查阅资料：农药化肥减量增效和农膜的统计年鉴、工作记录、年度总结报告等。</w:t>
            </w:r>
          </w:p>
          <w:p>
            <w:pPr>
              <w:widowControl/>
              <w:rPr>
                <w:rFonts w:eastAsia="仿宋_GB2312"/>
                <w:color w:val="000000"/>
                <w:kern w:val="0"/>
                <w:sz w:val="20"/>
                <w:szCs w:val="21"/>
              </w:rPr>
            </w:pPr>
            <w:r>
              <w:rPr>
                <w:rFonts w:eastAsia="仿宋_GB2312"/>
                <w:color w:val="000000"/>
                <w:kern w:val="0"/>
                <w:sz w:val="20"/>
                <w:szCs w:val="21"/>
              </w:rPr>
              <w:t>资料来源：农业农村、统计等行政主管部门。</w:t>
            </w:r>
          </w:p>
        </w:tc>
        <w:tc>
          <w:tcPr>
            <w:tcW w:w="5545" w:type="dxa"/>
          </w:tcPr>
          <w:p>
            <w:pPr>
              <w:widowControl/>
              <w:numPr>
                <w:ilvl w:val="0"/>
                <w:numId w:val="3"/>
              </w:numPr>
              <w:rPr>
                <w:rFonts w:eastAsia="仿宋_GB2312"/>
                <w:color w:val="000000"/>
                <w:kern w:val="0"/>
                <w:sz w:val="20"/>
                <w:szCs w:val="21"/>
              </w:rPr>
            </w:pPr>
            <w:r>
              <w:rPr>
                <w:rFonts w:hint="eastAsia" w:eastAsia="仿宋_GB2312"/>
                <w:color w:val="000000"/>
                <w:kern w:val="0"/>
                <w:sz w:val="20"/>
                <w:szCs w:val="21"/>
              </w:rPr>
              <w:t>主要作物农药利用率＞40%，得2分；≤40%，不得分。</w:t>
            </w:r>
          </w:p>
          <w:p>
            <w:pPr>
              <w:widowControl/>
              <w:numPr>
                <w:ilvl w:val="0"/>
                <w:numId w:val="3"/>
              </w:numPr>
              <w:rPr>
                <w:rFonts w:eastAsia="仿宋_GB2312"/>
                <w:color w:val="000000"/>
                <w:kern w:val="0"/>
                <w:sz w:val="20"/>
                <w:szCs w:val="21"/>
              </w:rPr>
            </w:pPr>
            <w:r>
              <w:rPr>
                <w:rFonts w:hint="eastAsia" w:eastAsia="仿宋_GB2312"/>
                <w:color w:val="000000"/>
                <w:kern w:val="0"/>
                <w:sz w:val="20"/>
                <w:szCs w:val="21"/>
              </w:rPr>
              <w:t>主要作物化肥利用率＞40%，得2分；≤40%，不得分。3.废旧农膜回收率＞80%，得2分；≤80%，不得分。</w:t>
            </w:r>
          </w:p>
          <w:p>
            <w:pPr>
              <w:widowControl/>
              <w:rPr>
                <w:rFonts w:eastAsia="仿宋_GB2312"/>
                <w:color w:val="000000"/>
                <w:kern w:val="0"/>
                <w:sz w:val="20"/>
                <w:szCs w:val="21"/>
              </w:rPr>
            </w:pPr>
            <w:r>
              <w:rPr>
                <w:rFonts w:hint="eastAsia" w:eastAsia="仿宋_GB2312"/>
                <w:color w:val="000000"/>
                <w:kern w:val="0"/>
                <w:sz w:val="20"/>
                <w:szCs w:val="21"/>
              </w:rPr>
              <w:t>该指标满分为6分。</w:t>
            </w:r>
          </w:p>
        </w:tc>
        <w:tc>
          <w:tcPr>
            <w:tcW w:w="567" w:type="dxa"/>
          </w:tcPr>
          <w:p>
            <w:pPr>
              <w:widowControl/>
              <w:rPr>
                <w:rFonts w:eastAsia="仿宋_GB2312"/>
                <w:color w:val="000000"/>
                <w:kern w:val="0"/>
                <w:sz w:val="20"/>
                <w:szCs w:val="21"/>
              </w:rPr>
            </w:pPr>
            <w:r>
              <w:rPr>
                <w:rFonts w:eastAsia="仿宋_GB2312"/>
                <w:color w:val="000000"/>
                <w:kern w:val="0"/>
                <w:sz w:val="20"/>
                <w:szCs w:val="21"/>
              </w:rPr>
              <w:t>6</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36.畜禽粪污和秸秆资源化利用</w:t>
            </w:r>
          </w:p>
        </w:tc>
        <w:tc>
          <w:tcPr>
            <w:tcW w:w="3061" w:type="dxa"/>
          </w:tcPr>
          <w:p>
            <w:pPr>
              <w:widowControl/>
              <w:rPr>
                <w:rFonts w:eastAsia="仿宋_GB2312"/>
                <w:color w:val="000000"/>
                <w:kern w:val="0"/>
                <w:sz w:val="20"/>
                <w:szCs w:val="21"/>
              </w:rPr>
            </w:pPr>
            <w:r>
              <w:rPr>
                <w:rFonts w:eastAsia="仿宋_GB2312"/>
                <w:color w:val="000000"/>
                <w:kern w:val="0"/>
                <w:sz w:val="20"/>
                <w:szCs w:val="21"/>
              </w:rPr>
              <w:t>开展畜禽粪污资源化利用和秸秆综合利用工作，建立秸秆台账和养殖场直联直报系统，支持规模养殖场粪污处理和粪肥还田设施建设与管理机制创新，支持开展秸秆肥料化、饲料化、能源化等“五料化”利用，不断提升促进畜禽粪污和秸秆资源化利用水平。</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查阅资料：畜禽粪污资源化利用、秸秆综合利用的工作记录、年度总结报告，以及养殖场直联直报系统和秸秆台账。</w:t>
            </w:r>
          </w:p>
          <w:p>
            <w:pPr>
              <w:widowControl/>
              <w:rPr>
                <w:rFonts w:eastAsia="仿宋_GB2312"/>
                <w:color w:val="000000"/>
                <w:kern w:val="0"/>
                <w:sz w:val="20"/>
                <w:szCs w:val="21"/>
              </w:rPr>
            </w:pPr>
            <w:r>
              <w:rPr>
                <w:rFonts w:eastAsia="仿宋_GB2312"/>
                <w:color w:val="000000"/>
                <w:kern w:val="0"/>
                <w:sz w:val="20"/>
                <w:szCs w:val="21"/>
              </w:rPr>
              <w:t>资料来源：农业农村行政主管部门。</w:t>
            </w:r>
          </w:p>
        </w:tc>
        <w:tc>
          <w:tcPr>
            <w:tcW w:w="5545" w:type="dxa"/>
          </w:tcPr>
          <w:p>
            <w:pPr>
              <w:widowControl/>
              <w:rPr>
                <w:rFonts w:eastAsia="仿宋_GB2312"/>
                <w:color w:val="000000"/>
                <w:kern w:val="0"/>
                <w:sz w:val="20"/>
                <w:szCs w:val="21"/>
              </w:rPr>
            </w:pPr>
            <w:r>
              <w:rPr>
                <w:rFonts w:eastAsia="仿宋_GB2312"/>
                <w:color w:val="000000"/>
                <w:kern w:val="0"/>
                <w:sz w:val="20"/>
                <w:szCs w:val="21"/>
              </w:rPr>
              <w:t>1.畜禽粪污综合利用率＞76%，得4分；≤76%，不得分。</w:t>
            </w:r>
          </w:p>
          <w:p>
            <w:pPr>
              <w:widowControl/>
              <w:rPr>
                <w:rFonts w:eastAsia="仿宋_GB2312"/>
                <w:color w:val="000000"/>
                <w:kern w:val="0"/>
                <w:sz w:val="20"/>
                <w:szCs w:val="21"/>
              </w:rPr>
            </w:pPr>
            <w:r>
              <w:rPr>
                <w:rFonts w:eastAsia="仿宋_GB2312"/>
                <w:color w:val="000000"/>
                <w:kern w:val="0"/>
                <w:sz w:val="20"/>
                <w:szCs w:val="21"/>
              </w:rPr>
              <w:t>2.秸秆综合利用率＞86%，得2分；≤86%，不得分。</w:t>
            </w:r>
          </w:p>
          <w:p>
            <w:pPr>
              <w:widowControl/>
              <w:rPr>
                <w:rFonts w:eastAsia="仿宋_GB2312"/>
                <w:color w:val="000000"/>
                <w:kern w:val="0"/>
                <w:sz w:val="20"/>
                <w:szCs w:val="21"/>
              </w:rPr>
            </w:pPr>
            <w:r>
              <w:rPr>
                <w:rFonts w:eastAsia="仿宋_GB2312"/>
                <w:color w:val="000000"/>
                <w:kern w:val="0"/>
                <w:sz w:val="20"/>
                <w:szCs w:val="21"/>
              </w:rPr>
              <w:t>该指标满分为6分。</w:t>
            </w:r>
          </w:p>
        </w:tc>
        <w:tc>
          <w:tcPr>
            <w:tcW w:w="567" w:type="dxa"/>
          </w:tcPr>
          <w:p>
            <w:pPr>
              <w:widowControl/>
              <w:rPr>
                <w:rFonts w:eastAsia="仿宋_GB2312"/>
                <w:color w:val="000000"/>
                <w:kern w:val="0"/>
                <w:sz w:val="20"/>
                <w:szCs w:val="21"/>
              </w:rPr>
            </w:pPr>
            <w:r>
              <w:rPr>
                <w:rFonts w:eastAsia="仿宋_GB2312"/>
                <w:color w:val="000000"/>
                <w:kern w:val="0"/>
                <w:sz w:val="20"/>
                <w:szCs w:val="21"/>
              </w:rPr>
              <w:t>6</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82" w:type="dxa"/>
            <w:vMerge w:val="restart"/>
          </w:tcPr>
          <w:p>
            <w:pPr>
              <w:spacing w:line="400" w:lineRule="atLeast"/>
              <w:rPr>
                <w:rFonts w:eastAsia="仿宋_GB2312"/>
                <w:color w:val="000000"/>
                <w:kern w:val="0"/>
                <w:sz w:val="20"/>
                <w:szCs w:val="21"/>
              </w:rPr>
            </w:pPr>
            <w:r>
              <w:rPr>
                <w:rFonts w:eastAsia="仿宋_GB2312"/>
                <w:b/>
                <w:bCs/>
                <w:kern w:val="0"/>
                <w:sz w:val="20"/>
                <w:szCs w:val="21"/>
              </w:rPr>
              <w:t>三、健康社会</w:t>
            </w:r>
          </w:p>
        </w:tc>
        <w:tc>
          <w:tcPr>
            <w:tcW w:w="1020" w:type="dxa"/>
          </w:tcPr>
          <w:p>
            <w:pPr>
              <w:widowControl/>
              <w:rPr>
                <w:rFonts w:eastAsia="仿宋_GB2312"/>
                <w:color w:val="000000"/>
                <w:kern w:val="0"/>
                <w:sz w:val="20"/>
                <w:szCs w:val="21"/>
              </w:rPr>
            </w:pPr>
            <w:r>
              <w:rPr>
                <w:rFonts w:eastAsia="仿宋_GB2312"/>
                <w:color w:val="000000"/>
                <w:kern w:val="0"/>
                <w:sz w:val="20"/>
                <w:szCs w:val="21"/>
              </w:rPr>
              <w:t>37.健康乡镇和健康细胞建设管理</w:t>
            </w:r>
          </w:p>
        </w:tc>
        <w:tc>
          <w:tcPr>
            <w:tcW w:w="3061" w:type="dxa"/>
          </w:tcPr>
          <w:p>
            <w:pPr>
              <w:widowControl/>
              <w:rPr>
                <w:rFonts w:eastAsia="仿宋_GB2312"/>
                <w:color w:val="000000"/>
                <w:kern w:val="0"/>
                <w:sz w:val="20"/>
                <w:szCs w:val="21"/>
              </w:rPr>
            </w:pPr>
            <w:r>
              <w:rPr>
                <w:rFonts w:eastAsia="仿宋_GB2312"/>
                <w:color w:val="000000"/>
                <w:kern w:val="0"/>
                <w:sz w:val="20"/>
                <w:szCs w:val="21"/>
              </w:rPr>
              <w:t>辖区内参照全国爱卫办、健康中国行动推进办下发的健康乡镇和健康村、健康社区、健康机关、健康企业、健康学校、健康促进医院、健康家庭等建设规范，全面推进健康乡镇建设，并广泛开展7类健康细胞建设。建立推进机制，出台相关文件、实施方案等，并开展人员培训、指导评估、总结宣传等管理工作。</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查阅资料：健康细胞建设实施方案、工作报告等相关资料。</w:t>
            </w:r>
          </w:p>
          <w:p>
            <w:pPr>
              <w:widowControl/>
              <w:rPr>
                <w:rFonts w:eastAsia="仿宋_GB2312"/>
                <w:color w:val="000000"/>
                <w:kern w:val="0"/>
                <w:sz w:val="20"/>
                <w:szCs w:val="21"/>
              </w:rPr>
            </w:pPr>
            <w:r>
              <w:rPr>
                <w:rFonts w:eastAsia="仿宋_GB2312"/>
                <w:color w:val="000000"/>
                <w:kern w:val="0"/>
                <w:sz w:val="20"/>
                <w:szCs w:val="21"/>
              </w:rPr>
              <w:t>资料来源：健康细胞建设主管部门及相关部门等。</w:t>
            </w:r>
          </w:p>
        </w:tc>
        <w:tc>
          <w:tcPr>
            <w:tcW w:w="5545" w:type="dxa"/>
          </w:tcPr>
          <w:p>
            <w:pPr>
              <w:widowControl/>
              <w:rPr>
                <w:rFonts w:eastAsia="仿宋_GB2312"/>
                <w:color w:val="000000"/>
                <w:kern w:val="0"/>
                <w:sz w:val="20"/>
                <w:szCs w:val="21"/>
              </w:rPr>
            </w:pPr>
            <w:r>
              <w:rPr>
                <w:rFonts w:eastAsia="仿宋_GB2312"/>
                <w:color w:val="000000"/>
                <w:kern w:val="0"/>
                <w:sz w:val="20"/>
                <w:szCs w:val="21"/>
              </w:rPr>
              <w:t>1.在辖区内开展健康乡镇建设，得6分；未开展，不得分。</w:t>
            </w:r>
          </w:p>
          <w:p>
            <w:pPr>
              <w:widowControl/>
              <w:rPr>
                <w:rFonts w:eastAsia="仿宋_GB2312"/>
                <w:color w:val="000000"/>
                <w:kern w:val="0"/>
                <w:sz w:val="20"/>
                <w:szCs w:val="21"/>
              </w:rPr>
            </w:pPr>
            <w:r>
              <w:rPr>
                <w:rFonts w:eastAsia="仿宋_GB2312"/>
                <w:color w:val="000000"/>
                <w:kern w:val="0"/>
                <w:sz w:val="20"/>
                <w:szCs w:val="21"/>
              </w:rPr>
              <w:t>2.在辖区内开展前述7类健康细胞建设，每开展1类，得2分；未开展建设，不得分；满分14分。</w:t>
            </w:r>
          </w:p>
          <w:p>
            <w:pPr>
              <w:widowControl/>
              <w:rPr>
                <w:rFonts w:eastAsia="仿宋_GB2312"/>
                <w:color w:val="000000"/>
                <w:kern w:val="0"/>
                <w:sz w:val="20"/>
                <w:szCs w:val="21"/>
              </w:rPr>
            </w:pPr>
            <w:r>
              <w:rPr>
                <w:rFonts w:eastAsia="仿宋_GB2312"/>
                <w:color w:val="000000"/>
                <w:kern w:val="0"/>
                <w:sz w:val="20"/>
                <w:szCs w:val="21"/>
              </w:rPr>
              <w:t>该指标满分为20分。</w:t>
            </w:r>
          </w:p>
        </w:tc>
        <w:tc>
          <w:tcPr>
            <w:tcW w:w="567" w:type="dxa"/>
          </w:tcPr>
          <w:p>
            <w:pPr>
              <w:widowControl/>
              <w:rPr>
                <w:rFonts w:eastAsia="仿宋_GB2312"/>
                <w:color w:val="000000"/>
                <w:kern w:val="0"/>
                <w:sz w:val="20"/>
                <w:szCs w:val="21"/>
              </w:rPr>
            </w:pPr>
            <w:r>
              <w:rPr>
                <w:rFonts w:eastAsia="仿宋_GB2312"/>
                <w:color w:val="000000"/>
                <w:kern w:val="0"/>
                <w:sz w:val="20"/>
                <w:szCs w:val="21"/>
              </w:rPr>
              <w:t>20</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82" w:type="dxa"/>
            <w:vMerge w:val="continue"/>
          </w:tcPr>
          <w:p>
            <w:pPr>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38.健康乡镇和健康细胞建设覆盖率</w:t>
            </w:r>
          </w:p>
        </w:tc>
        <w:tc>
          <w:tcPr>
            <w:tcW w:w="3061" w:type="dxa"/>
          </w:tcPr>
          <w:p>
            <w:pPr>
              <w:widowControl/>
              <w:rPr>
                <w:rFonts w:eastAsia="仿宋_GB2312"/>
                <w:color w:val="000000"/>
                <w:kern w:val="0"/>
                <w:sz w:val="20"/>
                <w:szCs w:val="21"/>
              </w:rPr>
            </w:pPr>
            <w:r>
              <w:rPr>
                <w:rFonts w:eastAsia="仿宋_GB2312"/>
                <w:color w:val="000000"/>
                <w:kern w:val="0"/>
                <w:sz w:val="20"/>
                <w:szCs w:val="21"/>
              </w:rPr>
              <w:t>健康乡镇、健康促进医院和健康企业建设的比例和数量达到要求，其他5类健康细胞建设的覆盖率逐年提升。建设覆盖率达到100%的继续保持。</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查阅资料：健康细胞建设清单及本底资料等。</w:t>
            </w:r>
          </w:p>
          <w:p>
            <w:pPr>
              <w:widowControl/>
              <w:rPr>
                <w:rFonts w:eastAsia="仿宋_GB2312"/>
                <w:color w:val="000000"/>
                <w:kern w:val="0"/>
                <w:sz w:val="20"/>
                <w:szCs w:val="21"/>
              </w:rPr>
            </w:pPr>
            <w:r>
              <w:rPr>
                <w:rFonts w:eastAsia="仿宋_GB2312"/>
                <w:color w:val="000000"/>
                <w:kern w:val="0"/>
                <w:sz w:val="20"/>
                <w:szCs w:val="21"/>
              </w:rPr>
              <w:t>资料来源：健康细胞建设主管部门及相关部门等。</w:t>
            </w:r>
          </w:p>
        </w:tc>
        <w:tc>
          <w:tcPr>
            <w:tcW w:w="5545" w:type="dxa"/>
          </w:tcPr>
          <w:p>
            <w:pPr>
              <w:widowControl/>
              <w:rPr>
                <w:rFonts w:eastAsia="仿宋_GB2312"/>
                <w:color w:val="000000"/>
                <w:kern w:val="0"/>
                <w:sz w:val="20"/>
                <w:szCs w:val="21"/>
              </w:rPr>
            </w:pPr>
            <w:r>
              <w:rPr>
                <w:rFonts w:eastAsia="仿宋_GB2312"/>
                <w:color w:val="000000"/>
                <w:kern w:val="0"/>
                <w:sz w:val="20"/>
                <w:szCs w:val="21"/>
              </w:rPr>
              <w:t>1.辖区内健康乡镇建设覆盖率≥30%，得9分；＜30%，得5分；未开展建设，不得分。</w:t>
            </w:r>
          </w:p>
          <w:p>
            <w:pPr>
              <w:widowControl/>
              <w:rPr>
                <w:rFonts w:eastAsia="仿宋_GB2312"/>
                <w:color w:val="000000"/>
                <w:kern w:val="0"/>
                <w:sz w:val="20"/>
                <w:szCs w:val="21"/>
              </w:rPr>
            </w:pPr>
            <w:r>
              <w:rPr>
                <w:rFonts w:eastAsia="仿宋_GB2312"/>
                <w:color w:val="000000"/>
                <w:kern w:val="0"/>
                <w:sz w:val="20"/>
                <w:szCs w:val="21"/>
              </w:rPr>
              <w:t>2.辖区内二级及以上医院中，健康促进医院建设比例≥50%，得6分；＜50%，得3分；未开展建设，不得分。</w:t>
            </w:r>
          </w:p>
          <w:p>
            <w:pPr>
              <w:widowControl/>
              <w:rPr>
                <w:rFonts w:eastAsia="仿宋_GB2312"/>
                <w:color w:val="000000"/>
                <w:kern w:val="0"/>
                <w:sz w:val="20"/>
                <w:szCs w:val="21"/>
              </w:rPr>
            </w:pPr>
            <w:r>
              <w:rPr>
                <w:rFonts w:eastAsia="仿宋_GB2312"/>
                <w:color w:val="000000"/>
                <w:kern w:val="0"/>
                <w:sz w:val="20"/>
                <w:szCs w:val="21"/>
              </w:rPr>
              <w:t>3.辖区内健康企业数量≥3家，得3分；＜3家，得2分；无健康企业，不得分。</w:t>
            </w:r>
          </w:p>
          <w:p>
            <w:pPr>
              <w:widowControl/>
              <w:rPr>
                <w:rFonts w:eastAsia="仿宋_GB2312"/>
                <w:color w:val="000000"/>
                <w:kern w:val="0"/>
                <w:sz w:val="20"/>
                <w:szCs w:val="21"/>
              </w:rPr>
            </w:pPr>
            <w:r>
              <w:rPr>
                <w:rFonts w:eastAsia="仿宋_GB2312"/>
                <w:color w:val="000000"/>
                <w:kern w:val="0"/>
                <w:sz w:val="20"/>
                <w:szCs w:val="21"/>
              </w:rPr>
              <w:t>4.辖区每年新增健康企业≥1家，得3分；无新增，不得分。</w:t>
            </w:r>
          </w:p>
          <w:p>
            <w:pPr>
              <w:widowControl/>
              <w:rPr>
                <w:rFonts w:eastAsia="仿宋_GB2312"/>
                <w:color w:val="000000"/>
                <w:kern w:val="0"/>
                <w:sz w:val="20"/>
                <w:szCs w:val="21"/>
              </w:rPr>
            </w:pPr>
            <w:r>
              <w:rPr>
                <w:rFonts w:eastAsia="仿宋_GB2312"/>
                <w:color w:val="000000"/>
                <w:kern w:val="0"/>
                <w:sz w:val="20"/>
                <w:szCs w:val="21"/>
              </w:rPr>
              <w:t>5.辖区内其他5类健康细胞建设覆盖率逐年提升，每类得5分；无提升，每类得3分；未开展建设，不得分；满分25分。</w:t>
            </w:r>
          </w:p>
          <w:p>
            <w:pPr>
              <w:widowControl/>
              <w:rPr>
                <w:rFonts w:eastAsia="仿宋_GB2312"/>
                <w:color w:val="000000"/>
                <w:kern w:val="0"/>
                <w:sz w:val="20"/>
                <w:szCs w:val="21"/>
              </w:rPr>
            </w:pPr>
            <w:r>
              <w:rPr>
                <w:rFonts w:eastAsia="仿宋_GB2312"/>
                <w:color w:val="000000"/>
                <w:kern w:val="0"/>
                <w:sz w:val="20"/>
                <w:szCs w:val="21"/>
              </w:rPr>
              <w:t>该指标满分为46分。</w:t>
            </w:r>
          </w:p>
        </w:tc>
        <w:tc>
          <w:tcPr>
            <w:tcW w:w="567" w:type="dxa"/>
          </w:tcPr>
          <w:p>
            <w:pPr>
              <w:widowControl/>
              <w:rPr>
                <w:rFonts w:eastAsia="仿宋_GB2312"/>
                <w:color w:val="000000"/>
                <w:kern w:val="0"/>
                <w:sz w:val="20"/>
                <w:szCs w:val="21"/>
              </w:rPr>
            </w:pPr>
            <w:r>
              <w:rPr>
                <w:rFonts w:eastAsia="仿宋_GB2312"/>
                <w:color w:val="000000"/>
                <w:kern w:val="0"/>
                <w:sz w:val="20"/>
                <w:szCs w:val="21"/>
              </w:rPr>
              <w:t>46</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82" w:type="dxa"/>
            <w:vMerge w:val="continue"/>
          </w:tcPr>
          <w:p>
            <w:pPr>
              <w:widowControl/>
              <w:spacing w:line="400" w:lineRule="atLeast"/>
              <w:rPr>
                <w:rFonts w:eastAsia="仿宋_GB2312"/>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40.基本医疗保险覆盖率</w:t>
            </w:r>
          </w:p>
        </w:tc>
        <w:tc>
          <w:tcPr>
            <w:tcW w:w="3061" w:type="dxa"/>
          </w:tcPr>
          <w:p>
            <w:pPr>
              <w:widowControl/>
              <w:rPr>
                <w:rFonts w:eastAsia="仿宋_GB2312"/>
                <w:color w:val="000000"/>
                <w:kern w:val="0"/>
                <w:sz w:val="20"/>
                <w:szCs w:val="21"/>
              </w:rPr>
            </w:pPr>
            <w:r>
              <w:rPr>
                <w:rFonts w:eastAsia="仿宋_GB2312"/>
                <w:color w:val="000000"/>
                <w:kern w:val="0"/>
                <w:sz w:val="20"/>
                <w:szCs w:val="21"/>
              </w:rPr>
              <w:t>基本医疗保险参保率每年稳定在95%以上。</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查阅资料：医疗保障信息平台。</w:t>
            </w:r>
          </w:p>
          <w:p>
            <w:pPr>
              <w:widowControl/>
              <w:rPr>
                <w:rFonts w:eastAsia="仿宋_GB2312"/>
                <w:color w:val="000000"/>
                <w:kern w:val="0"/>
                <w:sz w:val="20"/>
                <w:szCs w:val="21"/>
              </w:rPr>
            </w:pPr>
            <w:r>
              <w:rPr>
                <w:rFonts w:eastAsia="仿宋_GB2312"/>
                <w:color w:val="000000"/>
                <w:kern w:val="0"/>
                <w:sz w:val="20"/>
                <w:szCs w:val="21"/>
              </w:rPr>
              <w:t>资料来源：医保等部门。</w:t>
            </w:r>
          </w:p>
        </w:tc>
        <w:tc>
          <w:tcPr>
            <w:tcW w:w="5545" w:type="dxa"/>
          </w:tcPr>
          <w:p>
            <w:pPr>
              <w:widowControl/>
              <w:rPr>
                <w:rFonts w:eastAsia="仿宋_GB2312"/>
                <w:color w:val="000000"/>
                <w:kern w:val="0"/>
                <w:sz w:val="20"/>
                <w:szCs w:val="21"/>
              </w:rPr>
            </w:pPr>
            <w:r>
              <w:rPr>
                <w:rFonts w:eastAsia="仿宋_GB2312"/>
                <w:color w:val="000000"/>
                <w:kern w:val="0"/>
                <w:sz w:val="20"/>
                <w:szCs w:val="21"/>
              </w:rPr>
              <w:t>参保率≥95%，得8分；＜95%者，计算公式为：（N%/95%）×8，N%为受评对象参保率。</w:t>
            </w:r>
          </w:p>
        </w:tc>
        <w:tc>
          <w:tcPr>
            <w:tcW w:w="567" w:type="dxa"/>
          </w:tcPr>
          <w:p>
            <w:pPr>
              <w:widowControl/>
              <w:rPr>
                <w:rFonts w:eastAsia="仿宋_GB2312"/>
                <w:color w:val="000000"/>
                <w:kern w:val="0"/>
                <w:sz w:val="20"/>
                <w:szCs w:val="21"/>
              </w:rPr>
            </w:pPr>
            <w:r>
              <w:rPr>
                <w:rFonts w:eastAsia="仿宋_GB2312"/>
                <w:color w:val="000000"/>
                <w:kern w:val="0"/>
                <w:sz w:val="20"/>
                <w:szCs w:val="21"/>
              </w:rPr>
              <w:t>8</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382" w:type="dxa"/>
            <w:vMerge w:val="continue"/>
          </w:tcPr>
          <w:p>
            <w:pPr>
              <w:rPr>
                <w:rFonts w:eastAsia="仿宋_GB2312"/>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41.医疗保障水平</w:t>
            </w:r>
          </w:p>
        </w:tc>
        <w:tc>
          <w:tcPr>
            <w:tcW w:w="3061" w:type="dxa"/>
          </w:tcPr>
          <w:p>
            <w:pPr>
              <w:widowControl/>
              <w:rPr>
                <w:rFonts w:eastAsia="仿宋_GB2312"/>
                <w:color w:val="000000"/>
                <w:kern w:val="0"/>
                <w:sz w:val="20"/>
                <w:szCs w:val="21"/>
              </w:rPr>
            </w:pPr>
            <w:r>
              <w:rPr>
                <w:rFonts w:eastAsia="仿宋_GB2312"/>
                <w:color w:val="000000"/>
                <w:kern w:val="0"/>
                <w:sz w:val="20"/>
                <w:szCs w:val="21"/>
              </w:rPr>
              <w:t>城乡居民基本医疗保险政策范围内住院费用基金支付比例稳定在70%左右。</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查阅资料：医疗保障信息平台。</w:t>
            </w:r>
          </w:p>
          <w:p>
            <w:pPr>
              <w:widowControl/>
              <w:rPr>
                <w:rFonts w:eastAsia="仿宋_GB2312"/>
                <w:color w:val="000000"/>
                <w:kern w:val="0"/>
                <w:sz w:val="20"/>
                <w:szCs w:val="21"/>
              </w:rPr>
            </w:pPr>
            <w:r>
              <w:rPr>
                <w:rFonts w:eastAsia="仿宋_GB2312"/>
                <w:color w:val="000000"/>
                <w:kern w:val="0"/>
                <w:sz w:val="20"/>
                <w:szCs w:val="21"/>
              </w:rPr>
              <w:t>资料来源：医保等部门。</w:t>
            </w:r>
          </w:p>
        </w:tc>
        <w:tc>
          <w:tcPr>
            <w:tcW w:w="5545" w:type="dxa"/>
          </w:tcPr>
          <w:p>
            <w:pPr>
              <w:widowControl/>
              <w:rPr>
                <w:rFonts w:eastAsia="仿宋_GB2312"/>
                <w:color w:val="000000"/>
                <w:kern w:val="0"/>
                <w:sz w:val="20"/>
                <w:szCs w:val="21"/>
              </w:rPr>
            </w:pPr>
            <w:r>
              <w:rPr>
                <w:rFonts w:eastAsia="仿宋_GB2312"/>
                <w:color w:val="000000"/>
                <w:kern w:val="0"/>
                <w:sz w:val="20"/>
                <w:szCs w:val="21"/>
              </w:rPr>
              <w:t>城乡居民基本医疗保险政策范围内住院费用基金支付比例≥65%且≤75%者，得8分；＜65%者，计算公式为：（N%/65%）×8，N%为受评对象基金支付比例；＞75%者，计算公式为：（75%/N%）×8,N%为受评对象基金支付比例。</w:t>
            </w:r>
          </w:p>
        </w:tc>
        <w:tc>
          <w:tcPr>
            <w:tcW w:w="567" w:type="dxa"/>
          </w:tcPr>
          <w:p>
            <w:pPr>
              <w:widowControl/>
              <w:rPr>
                <w:rFonts w:eastAsia="仿宋_GB2312"/>
                <w:color w:val="000000"/>
                <w:kern w:val="0"/>
                <w:sz w:val="20"/>
                <w:szCs w:val="21"/>
              </w:rPr>
            </w:pPr>
            <w:r>
              <w:rPr>
                <w:rFonts w:eastAsia="仿宋_GB2312"/>
                <w:color w:val="000000"/>
                <w:kern w:val="0"/>
                <w:sz w:val="20"/>
                <w:szCs w:val="21"/>
              </w:rPr>
              <w:t>8</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rPr>
                <w:rFonts w:eastAsia="仿宋_GB2312"/>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42.强化社会福利保障</w:t>
            </w:r>
          </w:p>
        </w:tc>
        <w:tc>
          <w:tcPr>
            <w:tcW w:w="3061" w:type="dxa"/>
          </w:tcPr>
          <w:p>
            <w:pPr>
              <w:widowControl/>
              <w:rPr>
                <w:rFonts w:eastAsia="仿宋_GB2312"/>
                <w:color w:val="000000"/>
                <w:kern w:val="0"/>
                <w:sz w:val="20"/>
                <w:szCs w:val="21"/>
              </w:rPr>
            </w:pPr>
            <w:r>
              <w:rPr>
                <w:rFonts w:eastAsia="仿宋_GB2312"/>
                <w:color w:val="000000"/>
                <w:kern w:val="0"/>
                <w:sz w:val="20"/>
                <w:szCs w:val="21"/>
              </w:rPr>
              <w:t>合理确定社会福利保障范围，确保老年人、残疾人、孤儿、精神障碍患者等特殊群体有尊严地生活和平等参与社会发展。</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查阅资料：相关统计信息系统。</w:t>
            </w:r>
          </w:p>
          <w:p>
            <w:pPr>
              <w:widowControl/>
              <w:rPr>
                <w:rFonts w:eastAsia="仿宋_GB2312"/>
                <w:color w:val="000000"/>
                <w:kern w:val="0"/>
                <w:sz w:val="20"/>
                <w:szCs w:val="21"/>
              </w:rPr>
            </w:pPr>
            <w:r>
              <w:rPr>
                <w:rFonts w:eastAsia="仿宋_GB2312"/>
                <w:color w:val="000000"/>
                <w:kern w:val="0"/>
                <w:sz w:val="20"/>
                <w:szCs w:val="21"/>
              </w:rPr>
              <w:t>资料来源：民政、社保等部门。</w:t>
            </w:r>
          </w:p>
        </w:tc>
        <w:tc>
          <w:tcPr>
            <w:tcW w:w="5545" w:type="dxa"/>
          </w:tcPr>
          <w:p>
            <w:pPr>
              <w:widowControl/>
              <w:rPr>
                <w:rFonts w:eastAsia="仿宋_GB2312"/>
                <w:color w:val="000000"/>
                <w:kern w:val="0"/>
                <w:sz w:val="20"/>
                <w:szCs w:val="21"/>
              </w:rPr>
            </w:pPr>
            <w:r>
              <w:rPr>
                <w:rFonts w:eastAsia="仿宋_GB2312"/>
                <w:color w:val="000000"/>
                <w:kern w:val="0"/>
                <w:sz w:val="20"/>
                <w:szCs w:val="21"/>
              </w:rPr>
              <w:t>1.基本养老保险参保率≥95%，得4分；＜95%者，计算公式为:（N%/95%）×4，N%为受评对象基本养老保险参保率。</w:t>
            </w:r>
          </w:p>
          <w:p>
            <w:pPr>
              <w:widowControl/>
              <w:rPr>
                <w:rFonts w:eastAsia="仿宋_GB2312"/>
                <w:color w:val="000000"/>
                <w:kern w:val="0"/>
                <w:sz w:val="20"/>
                <w:szCs w:val="21"/>
              </w:rPr>
            </w:pPr>
            <w:r>
              <w:rPr>
                <w:rFonts w:eastAsia="仿宋_GB2312"/>
                <w:color w:val="000000"/>
                <w:kern w:val="0"/>
                <w:sz w:val="20"/>
                <w:szCs w:val="21"/>
              </w:rPr>
              <w:t>2.困难残疾人生活补贴目标人群覆盖率达到100%，得4分；＜100%者，计算公式为：（N%/100%）×4，N%为受评对象覆盖率。</w:t>
            </w:r>
          </w:p>
          <w:p>
            <w:pPr>
              <w:widowControl/>
              <w:rPr>
                <w:rFonts w:eastAsia="仿宋_GB2312"/>
                <w:color w:val="000000"/>
                <w:kern w:val="0"/>
                <w:sz w:val="20"/>
                <w:szCs w:val="21"/>
              </w:rPr>
            </w:pPr>
            <w:r>
              <w:rPr>
                <w:rFonts w:eastAsia="仿宋_GB2312"/>
                <w:color w:val="000000"/>
                <w:kern w:val="0"/>
                <w:sz w:val="20"/>
                <w:szCs w:val="21"/>
              </w:rPr>
              <w:t>3.重度残疾人护理补贴目标人群覆盖率达到100%，得4分；＜100%者，计算公式为：（N%/100%）×4，N%为受评对象覆盖率。</w:t>
            </w:r>
          </w:p>
          <w:p>
            <w:pPr>
              <w:widowControl/>
              <w:rPr>
                <w:rFonts w:eastAsia="仿宋_GB2312"/>
                <w:color w:val="000000"/>
                <w:kern w:val="0"/>
                <w:sz w:val="20"/>
                <w:szCs w:val="21"/>
              </w:rPr>
            </w:pPr>
            <w:r>
              <w:rPr>
                <w:rFonts w:eastAsia="仿宋_GB2312"/>
                <w:color w:val="000000"/>
                <w:kern w:val="0"/>
                <w:sz w:val="20"/>
                <w:szCs w:val="21"/>
              </w:rPr>
              <w:t>4.孤儿和事实无人抚养儿童保障覆盖率达到100%，得4分；＜100%者，计算公式为：（N%/100%）×4，N%为受评对象覆盖率。</w:t>
            </w:r>
          </w:p>
          <w:p>
            <w:pPr>
              <w:widowControl/>
              <w:rPr>
                <w:rFonts w:eastAsia="仿宋_GB2312"/>
                <w:color w:val="000000"/>
                <w:kern w:val="0"/>
                <w:sz w:val="20"/>
                <w:szCs w:val="21"/>
              </w:rPr>
            </w:pPr>
            <w:r>
              <w:rPr>
                <w:rFonts w:eastAsia="仿宋_GB2312"/>
                <w:color w:val="000000"/>
                <w:kern w:val="0"/>
                <w:sz w:val="20"/>
                <w:szCs w:val="21"/>
              </w:rPr>
              <w:t>该指标满分为16分。</w:t>
            </w:r>
          </w:p>
        </w:tc>
        <w:tc>
          <w:tcPr>
            <w:tcW w:w="567" w:type="dxa"/>
          </w:tcPr>
          <w:p>
            <w:pPr>
              <w:widowControl/>
              <w:rPr>
                <w:rFonts w:eastAsia="仿宋_GB2312"/>
                <w:color w:val="000000"/>
                <w:kern w:val="0"/>
                <w:sz w:val="20"/>
                <w:szCs w:val="21"/>
              </w:rPr>
            </w:pPr>
            <w:r>
              <w:rPr>
                <w:rFonts w:eastAsia="仿宋_GB2312"/>
                <w:color w:val="000000"/>
                <w:kern w:val="0"/>
                <w:sz w:val="20"/>
                <w:szCs w:val="21"/>
              </w:rPr>
              <w:t>16</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dxa"/>
            <w:vMerge w:val="continue"/>
          </w:tcPr>
          <w:p>
            <w:pPr>
              <w:rPr>
                <w:rFonts w:eastAsia="仿宋_GB2312"/>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43.强化老龄工作顶层设计</w:t>
            </w:r>
          </w:p>
        </w:tc>
        <w:tc>
          <w:tcPr>
            <w:tcW w:w="3061" w:type="dxa"/>
          </w:tcPr>
          <w:p>
            <w:pPr>
              <w:widowControl/>
              <w:rPr>
                <w:rFonts w:eastAsia="仿宋_GB2312"/>
                <w:color w:val="000000"/>
                <w:kern w:val="0"/>
                <w:sz w:val="20"/>
                <w:szCs w:val="21"/>
              </w:rPr>
            </w:pPr>
            <w:r>
              <w:rPr>
                <w:rFonts w:eastAsia="仿宋_GB2312"/>
                <w:color w:val="000000"/>
                <w:kern w:val="0"/>
                <w:sz w:val="20"/>
                <w:szCs w:val="21"/>
              </w:rPr>
              <w:t>依据《“十四五”国家老龄事业发展和养老服务体系规划》，将老龄事业发展和养老服务体系主要任务指标纳入当地经济社会发展规划，纳入为民办实事项目，纳入政府工作议事日程和目标责任考核内容。落实《中共中央国务院关于加强新时代老龄工作的意见》、国家和省级老龄事业发展和养老服务体系规划。</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查阅资料：工作报告、会议纪要、相关规划和实施方案等政策文件。</w:t>
            </w:r>
          </w:p>
          <w:p>
            <w:pPr>
              <w:widowControl/>
              <w:rPr>
                <w:rFonts w:eastAsia="仿宋_GB2312"/>
                <w:color w:val="000000"/>
                <w:kern w:val="0"/>
                <w:sz w:val="20"/>
                <w:szCs w:val="21"/>
              </w:rPr>
            </w:pPr>
            <w:r>
              <w:rPr>
                <w:rFonts w:eastAsia="仿宋_GB2312"/>
                <w:color w:val="000000"/>
                <w:kern w:val="0"/>
                <w:sz w:val="20"/>
                <w:szCs w:val="21"/>
              </w:rPr>
              <w:t>资料来源：文件印发部门。</w:t>
            </w:r>
          </w:p>
        </w:tc>
        <w:tc>
          <w:tcPr>
            <w:tcW w:w="5545" w:type="dxa"/>
          </w:tcPr>
          <w:p>
            <w:pPr>
              <w:widowControl/>
              <w:rPr>
                <w:rFonts w:eastAsia="仿宋_GB2312"/>
                <w:color w:val="000000"/>
                <w:kern w:val="0"/>
                <w:sz w:val="20"/>
                <w:szCs w:val="21"/>
              </w:rPr>
            </w:pPr>
            <w:r>
              <w:rPr>
                <w:rFonts w:eastAsia="仿宋_GB2312"/>
                <w:color w:val="000000"/>
                <w:kern w:val="0"/>
                <w:sz w:val="20"/>
                <w:szCs w:val="21"/>
              </w:rPr>
              <w:t>1.根据工作需要召开老龄委工作会议，得2分；未召开，不得分。</w:t>
            </w:r>
          </w:p>
          <w:p>
            <w:pPr>
              <w:widowControl/>
              <w:rPr>
                <w:rFonts w:eastAsia="仿宋_GB2312"/>
                <w:color w:val="000000"/>
                <w:kern w:val="0"/>
                <w:sz w:val="20"/>
                <w:szCs w:val="21"/>
              </w:rPr>
            </w:pPr>
            <w:r>
              <w:rPr>
                <w:rFonts w:eastAsia="仿宋_GB2312"/>
                <w:color w:val="000000"/>
                <w:kern w:val="0"/>
                <w:sz w:val="20"/>
                <w:szCs w:val="21"/>
              </w:rPr>
              <w:t>2.制定《中共中央国务院关于加强新时代老龄工作的意见》、老龄事业发展和养老服务体系规划的实施方案，得3分；未制定，不得分。</w:t>
            </w:r>
          </w:p>
          <w:p>
            <w:pPr>
              <w:widowControl/>
              <w:rPr>
                <w:rFonts w:eastAsia="仿宋_GB2312"/>
                <w:color w:val="000000"/>
                <w:kern w:val="0"/>
                <w:sz w:val="20"/>
                <w:szCs w:val="21"/>
              </w:rPr>
            </w:pPr>
            <w:r>
              <w:rPr>
                <w:rFonts w:eastAsia="仿宋_GB2312"/>
                <w:color w:val="000000"/>
                <w:kern w:val="0"/>
                <w:sz w:val="20"/>
                <w:szCs w:val="21"/>
              </w:rPr>
              <w:t>3.将老龄工作纳入本地区经济社会发展规划，得3分；未纳入，不得分。</w:t>
            </w:r>
          </w:p>
          <w:p>
            <w:pPr>
              <w:widowControl/>
              <w:rPr>
                <w:rFonts w:eastAsia="仿宋_GB2312"/>
                <w:color w:val="000000"/>
                <w:kern w:val="0"/>
                <w:sz w:val="20"/>
                <w:szCs w:val="21"/>
              </w:rPr>
            </w:pPr>
            <w:r>
              <w:rPr>
                <w:rFonts w:eastAsia="仿宋_GB2312"/>
                <w:color w:val="000000"/>
                <w:kern w:val="0"/>
                <w:sz w:val="20"/>
                <w:szCs w:val="21"/>
              </w:rPr>
              <w:t>该指标满分为8分。</w:t>
            </w:r>
          </w:p>
        </w:tc>
        <w:tc>
          <w:tcPr>
            <w:tcW w:w="567" w:type="dxa"/>
          </w:tcPr>
          <w:p>
            <w:pPr>
              <w:widowControl/>
              <w:rPr>
                <w:rFonts w:eastAsia="仿宋_GB2312"/>
                <w:color w:val="000000"/>
                <w:kern w:val="0"/>
                <w:sz w:val="20"/>
                <w:szCs w:val="21"/>
              </w:rPr>
            </w:pPr>
            <w:r>
              <w:rPr>
                <w:rFonts w:eastAsia="仿宋_GB2312"/>
                <w:color w:val="000000"/>
                <w:kern w:val="0"/>
                <w:sz w:val="20"/>
                <w:szCs w:val="21"/>
              </w:rPr>
              <w:t>8</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rPr>
                <w:rFonts w:eastAsia="仿宋_GB2312"/>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44.健康养老服务</w:t>
            </w:r>
          </w:p>
        </w:tc>
        <w:tc>
          <w:tcPr>
            <w:tcW w:w="3061" w:type="dxa"/>
          </w:tcPr>
          <w:p>
            <w:pPr>
              <w:widowControl/>
              <w:rPr>
                <w:rFonts w:eastAsia="仿宋_GB2312"/>
                <w:color w:val="000000"/>
                <w:kern w:val="0"/>
                <w:sz w:val="20"/>
                <w:szCs w:val="21"/>
              </w:rPr>
            </w:pPr>
            <w:r>
              <w:rPr>
                <w:rFonts w:eastAsia="仿宋_GB2312"/>
                <w:color w:val="000000"/>
                <w:kern w:val="0"/>
                <w:sz w:val="20"/>
                <w:szCs w:val="21"/>
              </w:rPr>
              <w:t>养老服务覆盖城乡，兜底与普惠养老服务健全。发展医养结合服务，为老年人提供多层次、多样化养老服务，保障独居、空巢、失能（含失智）、重残计划生育特殊家庭等特殊困难老年人的养老服务需求。</w:t>
            </w:r>
          </w:p>
        </w:tc>
        <w:tc>
          <w:tcPr>
            <w:tcW w:w="2551" w:type="dxa"/>
          </w:tcPr>
          <w:p>
            <w:pPr>
              <w:widowControl/>
              <w:rPr>
                <w:rFonts w:eastAsia="仿宋_GB2312"/>
                <w:kern w:val="0"/>
                <w:sz w:val="20"/>
                <w:szCs w:val="21"/>
              </w:rPr>
            </w:pPr>
            <w:r>
              <w:rPr>
                <w:rFonts w:eastAsia="仿宋_GB2312"/>
                <w:color w:val="000000"/>
                <w:kern w:val="0"/>
                <w:sz w:val="20"/>
                <w:szCs w:val="21"/>
              </w:rPr>
              <w:t>查阅资料：</w:t>
            </w:r>
            <w:r>
              <w:rPr>
                <w:rFonts w:eastAsia="仿宋_GB2312"/>
                <w:kern w:val="0"/>
                <w:sz w:val="20"/>
                <w:szCs w:val="21"/>
              </w:rPr>
              <w:t>健康</w:t>
            </w:r>
            <w:r>
              <w:rPr>
                <w:rFonts w:eastAsia="仿宋_GB2312"/>
                <w:color w:val="000000"/>
                <w:kern w:val="0"/>
                <w:sz w:val="20"/>
                <w:szCs w:val="21"/>
              </w:rPr>
              <w:t>养老服务相关</w:t>
            </w:r>
            <w:r>
              <w:rPr>
                <w:rFonts w:eastAsia="仿宋_GB2312"/>
                <w:kern w:val="0"/>
                <w:sz w:val="20"/>
                <w:szCs w:val="21"/>
              </w:rPr>
              <w:t>资料。</w:t>
            </w:r>
          </w:p>
          <w:p>
            <w:pPr>
              <w:widowControl/>
              <w:rPr>
                <w:rFonts w:eastAsia="仿宋_GB2312"/>
                <w:color w:val="000000"/>
                <w:kern w:val="0"/>
                <w:sz w:val="20"/>
                <w:szCs w:val="21"/>
              </w:rPr>
            </w:pPr>
            <w:r>
              <w:rPr>
                <w:rFonts w:eastAsia="仿宋_GB2312"/>
                <w:kern w:val="0"/>
                <w:sz w:val="20"/>
                <w:szCs w:val="21"/>
              </w:rPr>
              <w:t>资料来源：民政、卫生健康等相关部门</w:t>
            </w:r>
            <w:r>
              <w:rPr>
                <w:rFonts w:eastAsia="仿宋_GB2312"/>
                <w:color w:val="000000"/>
                <w:kern w:val="0"/>
                <w:sz w:val="20"/>
                <w:szCs w:val="21"/>
              </w:rPr>
              <w:t>。</w:t>
            </w:r>
          </w:p>
        </w:tc>
        <w:tc>
          <w:tcPr>
            <w:tcW w:w="5545" w:type="dxa"/>
          </w:tcPr>
          <w:p>
            <w:pPr>
              <w:widowControl/>
              <w:rPr>
                <w:rFonts w:eastAsia="仿宋_GB2312"/>
                <w:color w:val="000000"/>
                <w:kern w:val="0"/>
                <w:sz w:val="20"/>
                <w:szCs w:val="21"/>
              </w:rPr>
            </w:pPr>
            <w:r>
              <w:rPr>
                <w:rFonts w:eastAsia="仿宋_GB2312"/>
                <w:color w:val="000000"/>
                <w:kern w:val="0"/>
                <w:sz w:val="20"/>
                <w:szCs w:val="21"/>
              </w:rPr>
              <w:t>1.至少有1个县级特困人员供养服务设施（敬老院），得4分；没有，不得分。</w:t>
            </w:r>
          </w:p>
          <w:p>
            <w:pPr>
              <w:widowControl/>
              <w:rPr>
                <w:rFonts w:eastAsia="仿宋_GB2312"/>
                <w:color w:val="000000"/>
                <w:kern w:val="0"/>
                <w:sz w:val="20"/>
                <w:szCs w:val="21"/>
              </w:rPr>
            </w:pPr>
            <w:r>
              <w:rPr>
                <w:rFonts w:eastAsia="仿宋_GB2312"/>
                <w:color w:val="000000"/>
                <w:kern w:val="0"/>
                <w:sz w:val="20"/>
                <w:szCs w:val="21"/>
              </w:rPr>
              <w:t>2.发展医养结合服务：</w:t>
            </w:r>
          </w:p>
          <w:p>
            <w:pPr>
              <w:widowControl/>
              <w:rPr>
                <w:rFonts w:eastAsia="仿宋_GB2312"/>
                <w:color w:val="000000"/>
                <w:kern w:val="0"/>
                <w:sz w:val="20"/>
                <w:szCs w:val="21"/>
              </w:rPr>
            </w:pPr>
            <w:r>
              <w:rPr>
                <w:rFonts w:hint="eastAsia" w:eastAsia="仿宋_GB2312" w:cs="宋体"/>
                <w:color w:val="000000"/>
                <w:kern w:val="0"/>
                <w:sz w:val="20"/>
                <w:szCs w:val="21"/>
              </w:rPr>
              <w:t>①</w:t>
            </w:r>
            <w:r>
              <w:rPr>
                <w:rFonts w:eastAsia="仿宋_GB2312"/>
                <w:color w:val="000000"/>
                <w:kern w:val="0"/>
                <w:sz w:val="20"/>
                <w:szCs w:val="21"/>
              </w:rPr>
              <w:t>制定推进医养结合发展的政策措施，得1分；未制定，不得分。</w:t>
            </w:r>
          </w:p>
          <w:p>
            <w:pPr>
              <w:widowControl/>
              <w:rPr>
                <w:rFonts w:eastAsia="仿宋_GB2312"/>
                <w:color w:val="000000"/>
                <w:kern w:val="0"/>
                <w:sz w:val="20"/>
                <w:szCs w:val="21"/>
              </w:rPr>
            </w:pPr>
            <w:r>
              <w:rPr>
                <w:rFonts w:hint="eastAsia" w:eastAsia="仿宋_GB2312" w:cs="宋体"/>
                <w:color w:val="000000"/>
                <w:kern w:val="0"/>
                <w:sz w:val="20"/>
                <w:szCs w:val="21"/>
              </w:rPr>
              <w:t>②</w:t>
            </w:r>
            <w:r>
              <w:rPr>
                <w:rFonts w:eastAsia="仿宋_GB2312"/>
                <w:color w:val="000000"/>
                <w:kern w:val="0"/>
                <w:sz w:val="20"/>
                <w:szCs w:val="21"/>
              </w:rPr>
              <w:t>开展多种形式的医养结合服务，得1分；未开展，不得分。</w:t>
            </w:r>
          </w:p>
          <w:p>
            <w:pPr>
              <w:widowControl/>
              <w:rPr>
                <w:rFonts w:eastAsia="仿宋_GB2312"/>
                <w:color w:val="000000"/>
                <w:kern w:val="0"/>
                <w:sz w:val="20"/>
                <w:szCs w:val="21"/>
              </w:rPr>
            </w:pPr>
            <w:r>
              <w:rPr>
                <w:rFonts w:hint="eastAsia" w:eastAsia="仿宋_GB2312" w:cs="宋体"/>
                <w:color w:val="000000"/>
                <w:kern w:val="0"/>
                <w:sz w:val="20"/>
                <w:szCs w:val="21"/>
              </w:rPr>
              <w:t>③</w:t>
            </w:r>
            <w:r>
              <w:rPr>
                <w:rFonts w:eastAsia="仿宋_GB2312"/>
                <w:color w:val="000000"/>
                <w:kern w:val="0"/>
                <w:sz w:val="20"/>
                <w:szCs w:val="21"/>
              </w:rPr>
              <w:t>养老机构以不同形式为入住老年人提供医疗卫生服务的比例≥90%，得2分；＜90%，不得分。</w:t>
            </w:r>
          </w:p>
          <w:p>
            <w:pPr>
              <w:widowControl/>
              <w:rPr>
                <w:rFonts w:eastAsia="仿宋_GB2312"/>
                <w:color w:val="000000"/>
                <w:kern w:val="0"/>
                <w:sz w:val="20"/>
                <w:szCs w:val="21"/>
              </w:rPr>
            </w:pPr>
            <w:r>
              <w:rPr>
                <w:rFonts w:eastAsia="仿宋_GB2312"/>
                <w:color w:val="000000"/>
                <w:kern w:val="0"/>
                <w:sz w:val="20"/>
                <w:szCs w:val="21"/>
              </w:rPr>
              <w:t>3.养老机构护理型床位占比≥55%，得3分；＜55%，不得分。</w:t>
            </w:r>
          </w:p>
          <w:p>
            <w:pPr>
              <w:widowControl/>
              <w:rPr>
                <w:rFonts w:eastAsia="仿宋_GB2312"/>
                <w:color w:val="000000"/>
                <w:kern w:val="0"/>
                <w:sz w:val="20"/>
                <w:szCs w:val="21"/>
              </w:rPr>
            </w:pPr>
            <w:r>
              <w:rPr>
                <w:rFonts w:eastAsia="仿宋_GB2312"/>
                <w:color w:val="000000"/>
                <w:kern w:val="0"/>
                <w:sz w:val="20"/>
                <w:szCs w:val="21"/>
              </w:rPr>
              <w:t>4.综合性医院、康复医院、护理院和基层医疗卫生机构中老年友善医疗卫生机构占比≥85%，得3分；＜85%，不得分。</w:t>
            </w:r>
          </w:p>
          <w:p>
            <w:pPr>
              <w:widowControl/>
              <w:rPr>
                <w:rFonts w:eastAsia="仿宋_GB2312"/>
                <w:color w:val="000000"/>
                <w:kern w:val="0"/>
                <w:sz w:val="20"/>
                <w:szCs w:val="21"/>
              </w:rPr>
            </w:pPr>
            <w:r>
              <w:rPr>
                <w:rFonts w:eastAsia="仿宋_GB2312"/>
                <w:kern w:val="0"/>
                <w:sz w:val="20"/>
                <w:szCs w:val="21"/>
              </w:rPr>
              <w:t>5.</w:t>
            </w:r>
            <w:r>
              <w:rPr>
                <w:rFonts w:eastAsia="仿宋_GB2312"/>
                <w:color w:val="000000"/>
                <w:kern w:val="0"/>
                <w:sz w:val="20"/>
                <w:szCs w:val="21"/>
              </w:rPr>
              <w:t>特</w:t>
            </w:r>
            <w:r>
              <w:rPr>
                <w:rFonts w:eastAsia="仿宋_GB2312"/>
                <w:kern w:val="0"/>
                <w:sz w:val="20"/>
                <w:szCs w:val="21"/>
              </w:rPr>
              <w:t>殊困难老年人远程或上门形式的月探访率达到100%</w:t>
            </w:r>
            <w:r>
              <w:rPr>
                <w:rFonts w:eastAsia="仿宋_GB2312"/>
                <w:color w:val="000000"/>
                <w:kern w:val="0"/>
                <w:sz w:val="20"/>
                <w:szCs w:val="21"/>
              </w:rPr>
              <w:t>，得4分；＜100%，不得分。</w:t>
            </w:r>
          </w:p>
          <w:p>
            <w:pPr>
              <w:widowControl/>
              <w:rPr>
                <w:rFonts w:eastAsia="仿宋_GB2312"/>
                <w:color w:val="000000"/>
                <w:kern w:val="0"/>
                <w:sz w:val="20"/>
                <w:szCs w:val="21"/>
              </w:rPr>
            </w:pPr>
            <w:r>
              <w:rPr>
                <w:rFonts w:eastAsia="仿宋_GB2312"/>
                <w:color w:val="000000"/>
                <w:kern w:val="0"/>
                <w:sz w:val="20"/>
                <w:szCs w:val="21"/>
              </w:rPr>
              <w:t>6.</w:t>
            </w:r>
            <w:r>
              <w:rPr>
                <w:rFonts w:eastAsia="仿宋_GB2312"/>
                <w:kern w:val="0"/>
                <w:sz w:val="20"/>
                <w:szCs w:val="21"/>
              </w:rPr>
              <w:t>每千名老年人配备社会工作者人数≥1人</w:t>
            </w:r>
            <w:r>
              <w:rPr>
                <w:rFonts w:eastAsia="仿宋_GB2312"/>
                <w:color w:val="000000"/>
                <w:kern w:val="0"/>
                <w:sz w:val="20"/>
                <w:szCs w:val="21"/>
              </w:rPr>
              <w:t>，得4分；＜1人，得2分；未配备，不得分。</w:t>
            </w:r>
          </w:p>
          <w:p>
            <w:pPr>
              <w:widowControl/>
              <w:rPr>
                <w:rFonts w:eastAsia="仿宋_GB2312"/>
                <w:color w:val="000000"/>
                <w:kern w:val="0"/>
                <w:sz w:val="20"/>
                <w:szCs w:val="21"/>
              </w:rPr>
            </w:pPr>
            <w:r>
              <w:rPr>
                <w:rFonts w:eastAsia="仿宋_GB2312"/>
                <w:color w:val="000000"/>
                <w:kern w:val="0"/>
                <w:sz w:val="20"/>
                <w:szCs w:val="21"/>
              </w:rPr>
              <w:t>该指标满分为22分。</w:t>
            </w:r>
          </w:p>
        </w:tc>
        <w:tc>
          <w:tcPr>
            <w:tcW w:w="567" w:type="dxa"/>
          </w:tcPr>
          <w:p>
            <w:pPr>
              <w:widowControl/>
              <w:rPr>
                <w:rFonts w:eastAsia="仿宋_GB2312"/>
                <w:color w:val="000000"/>
                <w:kern w:val="0"/>
                <w:sz w:val="20"/>
                <w:szCs w:val="21"/>
              </w:rPr>
            </w:pPr>
            <w:r>
              <w:rPr>
                <w:rFonts w:eastAsia="仿宋_GB2312"/>
                <w:color w:val="000000"/>
                <w:kern w:val="0"/>
                <w:sz w:val="20"/>
                <w:szCs w:val="21"/>
              </w:rPr>
              <w:t>22</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rPr>
                <w:rFonts w:eastAsia="仿宋_GB2312"/>
                <w:kern w:val="0"/>
                <w:sz w:val="20"/>
                <w:szCs w:val="21"/>
              </w:rPr>
            </w:pPr>
          </w:p>
        </w:tc>
        <w:tc>
          <w:tcPr>
            <w:tcW w:w="1020" w:type="dxa"/>
          </w:tcPr>
          <w:p>
            <w:pPr>
              <w:rPr>
                <w:rFonts w:eastAsia="仿宋_GB2312"/>
                <w:kern w:val="0"/>
                <w:sz w:val="20"/>
                <w:szCs w:val="21"/>
              </w:rPr>
            </w:pPr>
            <w:r>
              <w:rPr>
                <w:rFonts w:eastAsia="仿宋_GB2312"/>
                <w:kern w:val="0"/>
                <w:sz w:val="20"/>
                <w:szCs w:val="21"/>
              </w:rPr>
              <w:t>45.居家适老化改造</w:t>
            </w:r>
          </w:p>
        </w:tc>
        <w:tc>
          <w:tcPr>
            <w:tcW w:w="3061" w:type="dxa"/>
          </w:tcPr>
          <w:p>
            <w:pPr>
              <w:rPr>
                <w:rFonts w:eastAsia="仿宋_GB2312"/>
                <w:color w:val="000000"/>
                <w:kern w:val="0"/>
                <w:sz w:val="20"/>
                <w:szCs w:val="21"/>
              </w:rPr>
            </w:pPr>
            <w:r>
              <w:rPr>
                <w:rFonts w:eastAsia="仿宋_GB2312"/>
                <w:kern w:val="0"/>
                <w:sz w:val="20"/>
                <w:szCs w:val="21"/>
              </w:rPr>
              <w:t>对有需求的经济困难的失能、残疾、高龄等老年人家庭实施适老化改造，提供引导支持。</w:t>
            </w:r>
          </w:p>
        </w:tc>
        <w:tc>
          <w:tcPr>
            <w:tcW w:w="2551" w:type="dxa"/>
          </w:tcPr>
          <w:p>
            <w:pPr>
              <w:rPr>
                <w:rFonts w:eastAsia="仿宋_GB2312"/>
                <w:kern w:val="0"/>
                <w:sz w:val="20"/>
                <w:szCs w:val="21"/>
              </w:rPr>
            </w:pPr>
            <w:r>
              <w:rPr>
                <w:rFonts w:eastAsia="仿宋_GB2312"/>
                <w:kern w:val="0"/>
                <w:sz w:val="20"/>
                <w:szCs w:val="21"/>
              </w:rPr>
              <w:t>查阅资料：相关文件和数据记录等。</w:t>
            </w:r>
          </w:p>
          <w:p>
            <w:pPr>
              <w:rPr>
                <w:rFonts w:eastAsia="仿宋_GB2312"/>
                <w:color w:val="000000"/>
                <w:kern w:val="0"/>
                <w:sz w:val="20"/>
                <w:szCs w:val="21"/>
              </w:rPr>
            </w:pPr>
            <w:r>
              <w:rPr>
                <w:rFonts w:eastAsia="仿宋_GB2312"/>
                <w:kern w:val="0"/>
                <w:sz w:val="20"/>
                <w:szCs w:val="21"/>
              </w:rPr>
              <w:t>资料来源：民政、住房和城乡建设等相关部门。</w:t>
            </w:r>
          </w:p>
        </w:tc>
        <w:tc>
          <w:tcPr>
            <w:tcW w:w="5545" w:type="dxa"/>
          </w:tcPr>
          <w:p>
            <w:pPr>
              <w:rPr>
                <w:rFonts w:eastAsia="仿宋_GB2312"/>
                <w:kern w:val="0"/>
                <w:sz w:val="20"/>
                <w:szCs w:val="21"/>
              </w:rPr>
            </w:pPr>
            <w:r>
              <w:rPr>
                <w:rFonts w:eastAsia="仿宋_GB2312"/>
                <w:kern w:val="0"/>
                <w:sz w:val="20"/>
                <w:szCs w:val="21"/>
              </w:rPr>
              <w:t>1.有家庭适老化改造相关文件，得2分；无文件，不得分。</w:t>
            </w:r>
          </w:p>
          <w:p>
            <w:pPr>
              <w:rPr>
                <w:rFonts w:eastAsia="仿宋_GB2312"/>
                <w:kern w:val="0"/>
                <w:sz w:val="20"/>
                <w:szCs w:val="21"/>
              </w:rPr>
            </w:pPr>
            <w:r>
              <w:rPr>
                <w:rFonts w:eastAsia="仿宋_GB2312"/>
                <w:kern w:val="0"/>
                <w:sz w:val="20"/>
                <w:szCs w:val="21"/>
              </w:rPr>
              <w:t>2.有需求的特殊困难老年人居家适老化改造覆盖率≥80%，得6分；≥50%且＜80%，得3分；＜50%，得2分；未实施改造，不得分。</w:t>
            </w:r>
          </w:p>
          <w:p>
            <w:pPr>
              <w:rPr>
                <w:rFonts w:eastAsia="仿宋_GB2312"/>
                <w:color w:val="000000"/>
                <w:kern w:val="0"/>
                <w:sz w:val="20"/>
                <w:szCs w:val="21"/>
              </w:rPr>
            </w:pPr>
            <w:r>
              <w:rPr>
                <w:rFonts w:eastAsia="仿宋_GB2312"/>
                <w:kern w:val="0"/>
                <w:sz w:val="20"/>
                <w:szCs w:val="21"/>
              </w:rPr>
              <w:t>该指标满分为8分。</w:t>
            </w:r>
          </w:p>
        </w:tc>
        <w:tc>
          <w:tcPr>
            <w:tcW w:w="567" w:type="dxa"/>
          </w:tcPr>
          <w:p>
            <w:pPr>
              <w:rPr>
                <w:rFonts w:eastAsia="仿宋_GB2312"/>
                <w:color w:val="000000"/>
                <w:kern w:val="0"/>
                <w:sz w:val="20"/>
                <w:szCs w:val="21"/>
              </w:rPr>
            </w:pPr>
            <w:r>
              <w:rPr>
                <w:rFonts w:eastAsia="仿宋_GB2312"/>
                <w:kern w:val="0"/>
                <w:sz w:val="20"/>
                <w:szCs w:val="21"/>
              </w:rPr>
              <w:t>8</w:t>
            </w:r>
          </w:p>
        </w:tc>
        <w:tc>
          <w:tcPr>
            <w:tcW w:w="567" w:type="dxa"/>
          </w:tcPr>
          <w:p>
            <w:pPr>
              <w:rPr>
                <w:rFonts w:eastAsia="仿宋_GB2312"/>
                <w:kern w:val="0"/>
                <w:sz w:val="20"/>
                <w:szCs w:val="21"/>
              </w:rPr>
            </w:pPr>
          </w:p>
        </w:tc>
        <w:tc>
          <w:tcPr>
            <w:tcW w:w="809" w:type="dxa"/>
          </w:tcPr>
          <w:p>
            <w:pP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rPr>
                <w:rFonts w:eastAsia="仿宋_GB2312"/>
                <w:kern w:val="0"/>
                <w:sz w:val="20"/>
                <w:szCs w:val="21"/>
              </w:rPr>
            </w:pPr>
          </w:p>
        </w:tc>
        <w:tc>
          <w:tcPr>
            <w:tcW w:w="1020" w:type="dxa"/>
          </w:tcPr>
          <w:p>
            <w:pPr>
              <w:rPr>
                <w:rFonts w:eastAsia="仿宋_GB2312"/>
                <w:kern w:val="0"/>
                <w:sz w:val="20"/>
                <w:szCs w:val="21"/>
              </w:rPr>
            </w:pPr>
            <w:r>
              <w:rPr>
                <w:rFonts w:eastAsia="仿宋_GB2312"/>
                <w:kern w:val="0"/>
                <w:sz w:val="20"/>
                <w:szCs w:val="21"/>
              </w:rPr>
              <w:t>46.特殊儿童医疗康复和教育资助</w:t>
            </w:r>
          </w:p>
        </w:tc>
        <w:tc>
          <w:tcPr>
            <w:tcW w:w="3061" w:type="dxa"/>
          </w:tcPr>
          <w:p>
            <w:pPr>
              <w:rPr>
                <w:rFonts w:eastAsia="仿宋_GB2312"/>
                <w:kern w:val="0"/>
                <w:sz w:val="20"/>
                <w:szCs w:val="21"/>
              </w:rPr>
            </w:pPr>
            <w:r>
              <w:rPr>
                <w:rFonts w:eastAsia="仿宋_GB2312"/>
                <w:kern w:val="0"/>
                <w:sz w:val="20"/>
                <w:szCs w:val="21"/>
              </w:rPr>
              <w:t>建立针对孤儿、事实无人抚养儿童、困境儿童等特殊儿童群体的康复和教育资助制度，出台相关文件，明确相关部门职责，规范认定和申领流程。</w:t>
            </w:r>
          </w:p>
        </w:tc>
        <w:tc>
          <w:tcPr>
            <w:tcW w:w="2551" w:type="dxa"/>
          </w:tcPr>
          <w:p>
            <w:pPr>
              <w:rPr>
                <w:rFonts w:eastAsia="仿宋_GB2312"/>
                <w:kern w:val="0"/>
                <w:sz w:val="20"/>
                <w:szCs w:val="21"/>
              </w:rPr>
            </w:pPr>
            <w:r>
              <w:rPr>
                <w:rFonts w:eastAsia="仿宋_GB2312"/>
                <w:kern w:val="0"/>
                <w:sz w:val="20"/>
                <w:szCs w:val="21"/>
              </w:rPr>
              <w:t>查阅资料：特殊儿童康复和教育资助制度建设相关资料。</w:t>
            </w:r>
          </w:p>
          <w:p>
            <w:pPr>
              <w:rPr>
                <w:rFonts w:eastAsia="仿宋_GB2312"/>
                <w:kern w:val="0"/>
                <w:sz w:val="20"/>
                <w:szCs w:val="21"/>
              </w:rPr>
            </w:pPr>
            <w:r>
              <w:rPr>
                <w:rFonts w:eastAsia="仿宋_GB2312"/>
                <w:kern w:val="0"/>
                <w:sz w:val="20"/>
                <w:szCs w:val="21"/>
              </w:rPr>
              <w:t>资料来源：民政、卫生健康、教育、残联等相关部门。</w:t>
            </w:r>
          </w:p>
        </w:tc>
        <w:tc>
          <w:tcPr>
            <w:tcW w:w="5545" w:type="dxa"/>
          </w:tcPr>
          <w:p>
            <w:pPr>
              <w:rPr>
                <w:rFonts w:eastAsia="仿宋_GB2312"/>
                <w:kern w:val="0"/>
                <w:sz w:val="20"/>
                <w:szCs w:val="21"/>
              </w:rPr>
            </w:pPr>
            <w:r>
              <w:rPr>
                <w:rFonts w:eastAsia="仿宋_GB2312"/>
                <w:kern w:val="0"/>
                <w:sz w:val="20"/>
                <w:szCs w:val="21"/>
              </w:rPr>
              <w:t>1.印发专门文件，得2分；未印发，不得分。</w:t>
            </w:r>
          </w:p>
          <w:p>
            <w:pPr>
              <w:rPr>
                <w:rFonts w:eastAsia="仿宋_GB2312"/>
                <w:kern w:val="0"/>
                <w:sz w:val="20"/>
                <w:szCs w:val="21"/>
              </w:rPr>
            </w:pPr>
            <w:r>
              <w:rPr>
                <w:rFonts w:eastAsia="仿宋_GB2312"/>
                <w:kern w:val="0"/>
                <w:sz w:val="20"/>
                <w:szCs w:val="21"/>
              </w:rPr>
              <w:t>2.明确相关部门职责，得2分；未明确，不得分。</w:t>
            </w:r>
          </w:p>
          <w:p>
            <w:pPr>
              <w:rPr>
                <w:rFonts w:eastAsia="仿宋_GB2312"/>
                <w:kern w:val="0"/>
                <w:sz w:val="20"/>
                <w:szCs w:val="21"/>
              </w:rPr>
            </w:pPr>
            <w:r>
              <w:rPr>
                <w:rFonts w:eastAsia="仿宋_GB2312"/>
                <w:kern w:val="0"/>
                <w:sz w:val="20"/>
                <w:szCs w:val="21"/>
              </w:rPr>
              <w:t>3.具有规范的认定和申领流程，得2分；无流程，不得分。</w:t>
            </w:r>
          </w:p>
          <w:p>
            <w:pPr>
              <w:rPr>
                <w:rFonts w:eastAsia="仿宋_GB2312"/>
                <w:kern w:val="0"/>
                <w:sz w:val="20"/>
                <w:szCs w:val="21"/>
              </w:rPr>
            </w:pPr>
            <w:r>
              <w:rPr>
                <w:rFonts w:eastAsia="仿宋_GB2312"/>
                <w:kern w:val="0"/>
                <w:sz w:val="20"/>
                <w:szCs w:val="21"/>
              </w:rPr>
              <w:t>该指标满分为6分。</w:t>
            </w:r>
          </w:p>
        </w:tc>
        <w:tc>
          <w:tcPr>
            <w:tcW w:w="567" w:type="dxa"/>
          </w:tcPr>
          <w:p>
            <w:pPr>
              <w:rPr>
                <w:rFonts w:eastAsia="仿宋_GB2312"/>
                <w:kern w:val="0"/>
                <w:sz w:val="20"/>
                <w:szCs w:val="21"/>
              </w:rPr>
            </w:pPr>
            <w:r>
              <w:rPr>
                <w:rFonts w:eastAsia="仿宋_GB2312"/>
                <w:kern w:val="0"/>
                <w:sz w:val="20"/>
                <w:szCs w:val="21"/>
              </w:rPr>
              <w:t>6</w:t>
            </w:r>
          </w:p>
        </w:tc>
        <w:tc>
          <w:tcPr>
            <w:tcW w:w="567" w:type="dxa"/>
          </w:tcPr>
          <w:p>
            <w:pPr>
              <w:rPr>
                <w:rFonts w:eastAsia="仿宋_GB2312"/>
                <w:kern w:val="0"/>
                <w:sz w:val="20"/>
                <w:szCs w:val="21"/>
              </w:rPr>
            </w:pPr>
          </w:p>
        </w:tc>
        <w:tc>
          <w:tcPr>
            <w:tcW w:w="809" w:type="dxa"/>
          </w:tcPr>
          <w:p>
            <w:pP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rPr>
                <w:rFonts w:eastAsia="仿宋_GB2312"/>
                <w:kern w:val="0"/>
                <w:sz w:val="20"/>
                <w:szCs w:val="21"/>
              </w:rPr>
            </w:pPr>
          </w:p>
        </w:tc>
        <w:tc>
          <w:tcPr>
            <w:tcW w:w="1020" w:type="dxa"/>
          </w:tcPr>
          <w:p>
            <w:pPr>
              <w:rPr>
                <w:rFonts w:eastAsia="仿宋_GB2312"/>
                <w:kern w:val="0"/>
                <w:sz w:val="20"/>
                <w:szCs w:val="21"/>
              </w:rPr>
            </w:pPr>
            <w:r>
              <w:rPr>
                <w:rFonts w:eastAsia="仿宋_GB2312"/>
                <w:kern w:val="0"/>
                <w:sz w:val="20"/>
                <w:szCs w:val="21"/>
              </w:rPr>
              <w:t>47.托位数年增长率</w:t>
            </w:r>
          </w:p>
        </w:tc>
        <w:tc>
          <w:tcPr>
            <w:tcW w:w="3061" w:type="dxa"/>
          </w:tcPr>
          <w:p>
            <w:pPr>
              <w:rPr>
                <w:rFonts w:eastAsia="仿宋_GB2312"/>
                <w:kern w:val="0"/>
                <w:sz w:val="20"/>
                <w:szCs w:val="21"/>
              </w:rPr>
            </w:pPr>
            <w:r>
              <w:rPr>
                <w:rFonts w:eastAsia="仿宋_GB2312"/>
                <w:kern w:val="0"/>
                <w:sz w:val="20"/>
                <w:szCs w:val="21"/>
              </w:rPr>
              <w:t>通过新建、改扩建、支持一批嵌入式、分布式、连锁化、专业化的社区托育服务设施建设，提供多样化的普惠托育服务，提高社区托育服务设施覆盖率。完善婴幼儿照护服务设施，辖区内托位数逐年增长。</w:t>
            </w:r>
          </w:p>
        </w:tc>
        <w:tc>
          <w:tcPr>
            <w:tcW w:w="2551" w:type="dxa"/>
          </w:tcPr>
          <w:p>
            <w:pPr>
              <w:rPr>
                <w:rFonts w:eastAsia="仿宋_GB2312"/>
                <w:kern w:val="0"/>
                <w:sz w:val="20"/>
                <w:szCs w:val="21"/>
              </w:rPr>
            </w:pPr>
            <w:r>
              <w:rPr>
                <w:rFonts w:eastAsia="仿宋_GB2312"/>
                <w:kern w:val="0"/>
                <w:sz w:val="20"/>
                <w:szCs w:val="21"/>
              </w:rPr>
              <w:t>查阅资料：近2年婴幼儿托位数统计数据。</w:t>
            </w:r>
          </w:p>
          <w:p>
            <w:pPr>
              <w:rPr>
                <w:rFonts w:eastAsia="仿宋_GB2312"/>
                <w:kern w:val="0"/>
                <w:sz w:val="20"/>
                <w:szCs w:val="21"/>
              </w:rPr>
            </w:pPr>
            <w:r>
              <w:rPr>
                <w:rFonts w:eastAsia="仿宋_GB2312"/>
                <w:kern w:val="0"/>
                <w:sz w:val="20"/>
                <w:szCs w:val="21"/>
              </w:rPr>
              <w:t>资料来源：民政、卫生健康、教育等相关部门。</w:t>
            </w:r>
          </w:p>
          <w:p>
            <w:pPr>
              <w:rPr>
                <w:rFonts w:eastAsia="仿宋_GB2312"/>
                <w:kern w:val="0"/>
                <w:sz w:val="20"/>
                <w:szCs w:val="21"/>
              </w:rPr>
            </w:pPr>
            <w:r>
              <w:rPr>
                <w:rFonts w:eastAsia="仿宋_GB2312"/>
                <w:kern w:val="0"/>
                <w:sz w:val="20"/>
                <w:szCs w:val="21"/>
              </w:rPr>
              <w:t>现场抽查：随机抽查1个城区居民小区，现场查看托育服务设施的建设情况。</w:t>
            </w:r>
          </w:p>
        </w:tc>
        <w:tc>
          <w:tcPr>
            <w:tcW w:w="5545" w:type="dxa"/>
          </w:tcPr>
          <w:p>
            <w:pPr>
              <w:rPr>
                <w:rFonts w:eastAsia="仿宋_GB2312"/>
                <w:kern w:val="0"/>
                <w:sz w:val="20"/>
                <w:szCs w:val="21"/>
              </w:rPr>
            </w:pPr>
            <w:r>
              <w:rPr>
                <w:rFonts w:eastAsia="仿宋_GB2312"/>
                <w:kern w:val="0"/>
                <w:sz w:val="20"/>
                <w:szCs w:val="21"/>
              </w:rPr>
              <w:t>1.</w:t>
            </w:r>
            <w:r>
              <w:rPr>
                <w:rFonts w:eastAsia="仿宋_GB2312"/>
                <w:color w:val="000000"/>
                <w:kern w:val="0"/>
                <w:sz w:val="20"/>
                <w:szCs w:val="21"/>
              </w:rPr>
              <w:t>见现场打分。</w:t>
            </w:r>
            <w:r>
              <w:rPr>
                <w:rFonts w:eastAsia="仿宋_GB2312"/>
                <w:kern w:val="0"/>
                <w:sz w:val="20"/>
                <w:szCs w:val="21"/>
              </w:rPr>
              <w:t xml:space="preserve"> </w:t>
            </w:r>
          </w:p>
          <w:p>
            <w:pPr>
              <w:rPr>
                <w:rFonts w:eastAsia="仿宋_GB2312"/>
                <w:kern w:val="0"/>
                <w:sz w:val="20"/>
                <w:szCs w:val="21"/>
              </w:rPr>
            </w:pPr>
            <w:r>
              <w:rPr>
                <w:rFonts w:eastAsia="仿宋_GB2312"/>
                <w:kern w:val="0"/>
                <w:sz w:val="20"/>
                <w:szCs w:val="21"/>
              </w:rPr>
              <w:t>2.托位数增长率≥20%，得5分；≥10%且＜20%，得3分；＞0且＜10%，得1分；无增长或负增长，不得分。</w:t>
            </w:r>
          </w:p>
          <w:p>
            <w:pPr>
              <w:rPr>
                <w:rFonts w:eastAsia="仿宋_GB2312"/>
                <w:kern w:val="0"/>
                <w:sz w:val="20"/>
                <w:szCs w:val="21"/>
              </w:rPr>
            </w:pPr>
            <w:r>
              <w:rPr>
                <w:rFonts w:eastAsia="仿宋_GB2312"/>
                <w:kern w:val="0"/>
                <w:sz w:val="20"/>
                <w:szCs w:val="21"/>
              </w:rPr>
              <w:t>该指标满分为10分。</w:t>
            </w:r>
          </w:p>
        </w:tc>
        <w:tc>
          <w:tcPr>
            <w:tcW w:w="567" w:type="dxa"/>
          </w:tcPr>
          <w:p>
            <w:pPr>
              <w:rPr>
                <w:rFonts w:eastAsia="仿宋_GB2312"/>
                <w:kern w:val="0"/>
                <w:sz w:val="20"/>
                <w:szCs w:val="21"/>
              </w:rPr>
            </w:pPr>
            <w:r>
              <w:rPr>
                <w:rFonts w:eastAsia="仿宋_GB2312"/>
                <w:kern w:val="0"/>
                <w:sz w:val="20"/>
                <w:szCs w:val="21"/>
              </w:rPr>
              <w:t>5</w:t>
            </w:r>
          </w:p>
        </w:tc>
        <w:tc>
          <w:tcPr>
            <w:tcW w:w="567" w:type="dxa"/>
          </w:tcPr>
          <w:p>
            <w:pPr>
              <w:rPr>
                <w:rFonts w:eastAsia="仿宋_GB2312"/>
                <w:kern w:val="0"/>
                <w:sz w:val="20"/>
                <w:szCs w:val="21"/>
              </w:rPr>
            </w:pPr>
          </w:p>
        </w:tc>
        <w:tc>
          <w:tcPr>
            <w:tcW w:w="809" w:type="dxa"/>
          </w:tcPr>
          <w:p>
            <w:pP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rPr>
                <w:rFonts w:eastAsia="仿宋_GB2312"/>
                <w:kern w:val="0"/>
                <w:sz w:val="20"/>
                <w:szCs w:val="21"/>
              </w:rPr>
            </w:pPr>
          </w:p>
        </w:tc>
        <w:tc>
          <w:tcPr>
            <w:tcW w:w="1020" w:type="dxa"/>
          </w:tcPr>
          <w:p>
            <w:pPr>
              <w:rPr>
                <w:rFonts w:eastAsia="仿宋_GB2312"/>
                <w:kern w:val="0"/>
                <w:sz w:val="20"/>
                <w:szCs w:val="21"/>
              </w:rPr>
            </w:pPr>
            <w:r>
              <w:rPr>
                <w:rFonts w:eastAsia="仿宋_GB2312"/>
                <w:kern w:val="0"/>
                <w:sz w:val="20"/>
                <w:szCs w:val="21"/>
              </w:rPr>
              <w:t>48.精神卫生工作</w:t>
            </w:r>
          </w:p>
        </w:tc>
        <w:tc>
          <w:tcPr>
            <w:tcW w:w="3061" w:type="dxa"/>
          </w:tcPr>
          <w:p>
            <w:pPr>
              <w:rPr>
                <w:rFonts w:eastAsia="仿宋_GB2312"/>
                <w:kern w:val="0"/>
                <w:sz w:val="20"/>
                <w:szCs w:val="21"/>
              </w:rPr>
            </w:pPr>
            <w:r>
              <w:rPr>
                <w:rFonts w:eastAsia="仿宋_GB2312"/>
                <w:kern w:val="0"/>
                <w:sz w:val="20"/>
                <w:szCs w:val="21"/>
              </w:rPr>
              <w:t>登记在册的严重精神障碍患者规范管理率达到80%，精神分裂症服药率达到80%。开展精神障碍社区康复服务，覆盖50%以上的居家精神障碍患者。</w:t>
            </w:r>
          </w:p>
        </w:tc>
        <w:tc>
          <w:tcPr>
            <w:tcW w:w="2551" w:type="dxa"/>
          </w:tcPr>
          <w:p>
            <w:pPr>
              <w:rPr>
                <w:rFonts w:eastAsia="仿宋_GB2312"/>
                <w:kern w:val="0"/>
                <w:sz w:val="20"/>
                <w:szCs w:val="21"/>
              </w:rPr>
            </w:pPr>
            <w:r>
              <w:rPr>
                <w:rFonts w:eastAsia="仿宋_GB2312"/>
                <w:kern w:val="0"/>
                <w:sz w:val="20"/>
                <w:szCs w:val="21"/>
              </w:rPr>
              <w:t>查阅资料：精神卫生相关资料。</w:t>
            </w:r>
          </w:p>
          <w:p>
            <w:pPr>
              <w:rPr>
                <w:rFonts w:eastAsia="仿宋_GB2312"/>
                <w:kern w:val="0"/>
                <w:sz w:val="20"/>
                <w:szCs w:val="21"/>
              </w:rPr>
            </w:pPr>
            <w:r>
              <w:rPr>
                <w:rFonts w:eastAsia="仿宋_GB2312"/>
                <w:kern w:val="0"/>
                <w:sz w:val="20"/>
                <w:szCs w:val="21"/>
              </w:rPr>
              <w:t>资料来源：相关部门。</w:t>
            </w:r>
          </w:p>
        </w:tc>
        <w:tc>
          <w:tcPr>
            <w:tcW w:w="5545" w:type="dxa"/>
          </w:tcPr>
          <w:p>
            <w:pPr>
              <w:rPr>
                <w:rFonts w:eastAsia="仿宋_GB2312"/>
                <w:kern w:val="0"/>
                <w:sz w:val="20"/>
                <w:szCs w:val="21"/>
              </w:rPr>
            </w:pPr>
            <w:r>
              <w:rPr>
                <w:rFonts w:eastAsia="仿宋_GB2312"/>
                <w:kern w:val="0"/>
                <w:sz w:val="20"/>
                <w:szCs w:val="21"/>
              </w:rPr>
              <w:t>1.至少有1所县级公立医院根据要求设置精神科/精神心理门诊，得1分；未设置，不得分。</w:t>
            </w:r>
          </w:p>
          <w:p>
            <w:pPr>
              <w:rPr>
                <w:rFonts w:eastAsia="仿宋_GB2312"/>
                <w:kern w:val="0"/>
                <w:sz w:val="20"/>
                <w:szCs w:val="21"/>
              </w:rPr>
            </w:pPr>
            <w:r>
              <w:rPr>
                <w:rFonts w:eastAsia="仿宋_GB2312"/>
                <w:kern w:val="0"/>
                <w:sz w:val="20"/>
                <w:szCs w:val="21"/>
              </w:rPr>
              <w:t>2.登记在册的严重精神障碍患者规范管理率≥80%，得2分；＜80%，不得分。</w:t>
            </w:r>
          </w:p>
          <w:p>
            <w:pPr>
              <w:rPr>
                <w:rFonts w:eastAsia="仿宋_GB2312"/>
                <w:kern w:val="0"/>
                <w:sz w:val="20"/>
                <w:szCs w:val="21"/>
              </w:rPr>
            </w:pPr>
            <w:r>
              <w:rPr>
                <w:rFonts w:eastAsia="仿宋_GB2312"/>
                <w:kern w:val="0"/>
                <w:sz w:val="20"/>
                <w:szCs w:val="21"/>
              </w:rPr>
              <w:t>3.精神分裂症服药率≥80%，得2分；＜80%，不得分。</w:t>
            </w:r>
          </w:p>
          <w:p>
            <w:pPr>
              <w:rPr>
                <w:rFonts w:eastAsia="仿宋_GB2312"/>
                <w:kern w:val="0"/>
                <w:sz w:val="20"/>
                <w:szCs w:val="21"/>
              </w:rPr>
            </w:pPr>
            <w:r>
              <w:rPr>
                <w:rFonts w:eastAsia="仿宋_GB2312"/>
                <w:kern w:val="0"/>
                <w:sz w:val="20"/>
                <w:szCs w:val="21"/>
              </w:rPr>
              <w:t>4.组织开展精神障碍社区康复服务，得1分；未开展，不得分。</w:t>
            </w:r>
          </w:p>
          <w:p>
            <w:pPr>
              <w:rPr>
                <w:rFonts w:eastAsia="仿宋_GB2312"/>
                <w:kern w:val="0"/>
                <w:sz w:val="20"/>
                <w:szCs w:val="21"/>
              </w:rPr>
            </w:pPr>
            <w:r>
              <w:rPr>
                <w:rFonts w:eastAsia="仿宋_GB2312"/>
                <w:kern w:val="0"/>
                <w:sz w:val="20"/>
                <w:szCs w:val="21"/>
              </w:rPr>
              <w:t>该指标满分为6分。</w:t>
            </w:r>
          </w:p>
        </w:tc>
        <w:tc>
          <w:tcPr>
            <w:tcW w:w="567" w:type="dxa"/>
          </w:tcPr>
          <w:p>
            <w:pPr>
              <w:rPr>
                <w:rFonts w:eastAsia="仿宋_GB2312"/>
                <w:kern w:val="0"/>
                <w:sz w:val="20"/>
                <w:szCs w:val="21"/>
              </w:rPr>
            </w:pPr>
            <w:r>
              <w:rPr>
                <w:rFonts w:eastAsia="仿宋_GB2312"/>
                <w:kern w:val="0"/>
                <w:sz w:val="20"/>
                <w:szCs w:val="21"/>
              </w:rPr>
              <w:t>6</w:t>
            </w:r>
          </w:p>
        </w:tc>
        <w:tc>
          <w:tcPr>
            <w:tcW w:w="567" w:type="dxa"/>
          </w:tcPr>
          <w:p>
            <w:pPr>
              <w:rPr>
                <w:rFonts w:eastAsia="仿宋_GB2312"/>
                <w:kern w:val="0"/>
                <w:sz w:val="20"/>
                <w:szCs w:val="21"/>
              </w:rPr>
            </w:pPr>
          </w:p>
        </w:tc>
        <w:tc>
          <w:tcPr>
            <w:tcW w:w="809" w:type="dxa"/>
          </w:tcPr>
          <w:p>
            <w:pP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rPr>
                <w:rFonts w:eastAsia="仿宋_GB2312"/>
                <w:kern w:val="0"/>
                <w:sz w:val="20"/>
                <w:szCs w:val="21"/>
              </w:rPr>
            </w:pPr>
          </w:p>
        </w:tc>
        <w:tc>
          <w:tcPr>
            <w:tcW w:w="1020" w:type="dxa"/>
          </w:tcPr>
          <w:p>
            <w:pPr>
              <w:rPr>
                <w:rFonts w:eastAsia="仿宋_GB2312"/>
                <w:kern w:val="0"/>
                <w:sz w:val="20"/>
                <w:szCs w:val="21"/>
              </w:rPr>
            </w:pPr>
            <w:r>
              <w:rPr>
                <w:rFonts w:eastAsia="仿宋_GB2312"/>
                <w:kern w:val="0"/>
                <w:sz w:val="20"/>
                <w:szCs w:val="21"/>
              </w:rPr>
              <w:t>49.精神障碍社区康复服务体系</w:t>
            </w:r>
          </w:p>
        </w:tc>
        <w:tc>
          <w:tcPr>
            <w:tcW w:w="3061" w:type="dxa"/>
          </w:tcPr>
          <w:p>
            <w:pPr>
              <w:rPr>
                <w:rFonts w:eastAsia="仿宋_GB2312"/>
                <w:kern w:val="0"/>
                <w:sz w:val="20"/>
                <w:szCs w:val="21"/>
              </w:rPr>
            </w:pPr>
            <w:r>
              <w:rPr>
                <w:rFonts w:eastAsia="仿宋_GB2312"/>
                <w:kern w:val="0"/>
                <w:sz w:val="20"/>
                <w:szCs w:val="21"/>
              </w:rPr>
              <w:t>建立精神卫生医疗机构、社区康复机构及社会组织、家庭相互衔接的精神障碍社区康复服务体系，建立和完善心理健康教育、心理热线服务、心理评估、心理咨询、心理治疗、精神科治疗等衔接合作的心理危机干预和心理援助服务模式。</w:t>
            </w:r>
          </w:p>
        </w:tc>
        <w:tc>
          <w:tcPr>
            <w:tcW w:w="2551" w:type="dxa"/>
          </w:tcPr>
          <w:p>
            <w:pPr>
              <w:rPr>
                <w:rFonts w:eastAsia="仿宋_GB2312"/>
                <w:kern w:val="0"/>
                <w:sz w:val="20"/>
                <w:szCs w:val="21"/>
              </w:rPr>
            </w:pPr>
            <w:r>
              <w:rPr>
                <w:rFonts w:eastAsia="仿宋_GB2312"/>
                <w:kern w:val="0"/>
                <w:sz w:val="20"/>
                <w:szCs w:val="21"/>
              </w:rPr>
              <w:t>查阅资料：精神卫生相关资料。</w:t>
            </w:r>
          </w:p>
          <w:p>
            <w:pPr>
              <w:rPr>
                <w:rFonts w:eastAsia="仿宋_GB2312"/>
                <w:kern w:val="0"/>
                <w:sz w:val="20"/>
                <w:szCs w:val="21"/>
              </w:rPr>
            </w:pPr>
            <w:r>
              <w:rPr>
                <w:rFonts w:eastAsia="仿宋_GB2312"/>
                <w:kern w:val="0"/>
                <w:sz w:val="20"/>
                <w:szCs w:val="21"/>
              </w:rPr>
              <w:t>资料来源：相关部门。</w:t>
            </w:r>
          </w:p>
        </w:tc>
        <w:tc>
          <w:tcPr>
            <w:tcW w:w="5545" w:type="dxa"/>
          </w:tcPr>
          <w:p>
            <w:pPr>
              <w:rPr>
                <w:rFonts w:eastAsia="仿宋_GB2312"/>
                <w:kern w:val="0"/>
                <w:sz w:val="20"/>
                <w:szCs w:val="21"/>
              </w:rPr>
            </w:pPr>
            <w:r>
              <w:rPr>
                <w:rFonts w:eastAsia="仿宋_GB2312"/>
                <w:kern w:val="0"/>
                <w:sz w:val="20"/>
                <w:szCs w:val="21"/>
              </w:rPr>
              <w:t>1.出台关于加强精神障碍社区康复服务体系建设相关文件，得3分；未出台文件，不得分。</w:t>
            </w:r>
          </w:p>
          <w:p>
            <w:pPr>
              <w:rPr>
                <w:rFonts w:eastAsia="仿宋_GB2312"/>
                <w:kern w:val="0"/>
                <w:sz w:val="20"/>
                <w:szCs w:val="21"/>
              </w:rPr>
            </w:pPr>
            <w:r>
              <w:rPr>
                <w:rFonts w:eastAsia="仿宋_GB2312"/>
                <w:kern w:val="0"/>
                <w:sz w:val="20"/>
                <w:szCs w:val="21"/>
              </w:rPr>
              <w:t>2.将心理危机干预和心理救援纳入各类突发事件应急预案和技术方案并定期开展培训和演练，得3分；纳入应急预案和技术方案但未开展培训和演练，得2分；未纳入应急预案和技术方案，不得分。</w:t>
            </w:r>
          </w:p>
          <w:p>
            <w:pPr>
              <w:rPr>
                <w:rFonts w:eastAsia="仿宋_GB2312"/>
                <w:kern w:val="0"/>
                <w:sz w:val="20"/>
                <w:szCs w:val="21"/>
              </w:rPr>
            </w:pPr>
            <w:r>
              <w:rPr>
                <w:rFonts w:eastAsia="仿宋_GB2312"/>
                <w:kern w:val="0"/>
                <w:sz w:val="20"/>
                <w:szCs w:val="21"/>
              </w:rPr>
              <w:t>该指标满分为6分。</w:t>
            </w:r>
          </w:p>
        </w:tc>
        <w:tc>
          <w:tcPr>
            <w:tcW w:w="567" w:type="dxa"/>
          </w:tcPr>
          <w:p>
            <w:pPr>
              <w:rPr>
                <w:rFonts w:eastAsia="仿宋_GB2312"/>
                <w:kern w:val="0"/>
                <w:sz w:val="20"/>
                <w:szCs w:val="21"/>
              </w:rPr>
            </w:pPr>
            <w:r>
              <w:rPr>
                <w:rFonts w:eastAsia="仿宋_GB2312"/>
                <w:kern w:val="0"/>
                <w:sz w:val="20"/>
                <w:szCs w:val="21"/>
              </w:rPr>
              <w:t>6</w:t>
            </w:r>
          </w:p>
        </w:tc>
        <w:tc>
          <w:tcPr>
            <w:tcW w:w="567" w:type="dxa"/>
          </w:tcPr>
          <w:p>
            <w:pPr>
              <w:rPr>
                <w:rFonts w:eastAsia="仿宋_GB2312"/>
                <w:kern w:val="0"/>
                <w:sz w:val="20"/>
                <w:szCs w:val="21"/>
              </w:rPr>
            </w:pPr>
          </w:p>
        </w:tc>
        <w:tc>
          <w:tcPr>
            <w:tcW w:w="809" w:type="dxa"/>
          </w:tcPr>
          <w:p>
            <w:pP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50.交通和安全管理</w:t>
            </w:r>
          </w:p>
        </w:tc>
        <w:tc>
          <w:tcPr>
            <w:tcW w:w="3061" w:type="dxa"/>
          </w:tcPr>
          <w:p>
            <w:pPr>
              <w:widowControl/>
              <w:rPr>
                <w:rFonts w:eastAsia="仿宋_GB2312"/>
                <w:color w:val="000000"/>
                <w:kern w:val="0"/>
                <w:sz w:val="20"/>
                <w:szCs w:val="21"/>
              </w:rPr>
            </w:pPr>
            <w:r>
              <w:rPr>
                <w:rFonts w:eastAsia="仿宋_GB2312"/>
                <w:color w:val="000000"/>
                <w:kern w:val="0"/>
                <w:sz w:val="20"/>
                <w:szCs w:val="21"/>
              </w:rPr>
              <w:t>强化治安防控、交通和安全管理，落实安全生产责任制，杜绝重特大安全事件。</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查阅资料：交通事故相关数据，近3年内重特大安全事件发生情况。</w:t>
            </w:r>
          </w:p>
          <w:p>
            <w:pPr>
              <w:widowControl/>
              <w:rPr>
                <w:rFonts w:eastAsia="仿宋_GB2312"/>
                <w:color w:val="000000"/>
                <w:kern w:val="0"/>
                <w:sz w:val="20"/>
                <w:szCs w:val="21"/>
              </w:rPr>
            </w:pPr>
            <w:r>
              <w:rPr>
                <w:rFonts w:eastAsia="仿宋_GB2312"/>
                <w:color w:val="000000"/>
                <w:kern w:val="0"/>
                <w:sz w:val="20"/>
                <w:szCs w:val="21"/>
              </w:rPr>
              <w:t>资料来源：交通运输部门或统计部门、应急管理部门等。</w:t>
            </w:r>
          </w:p>
        </w:tc>
        <w:tc>
          <w:tcPr>
            <w:tcW w:w="5545" w:type="dxa"/>
          </w:tcPr>
          <w:p>
            <w:pPr>
              <w:widowControl/>
              <w:rPr>
                <w:rFonts w:eastAsia="仿宋_GB2312"/>
                <w:color w:val="000000"/>
                <w:kern w:val="0"/>
                <w:sz w:val="20"/>
                <w:szCs w:val="21"/>
              </w:rPr>
            </w:pPr>
            <w:r>
              <w:rPr>
                <w:rFonts w:eastAsia="仿宋_GB2312"/>
                <w:color w:val="000000"/>
                <w:kern w:val="0"/>
                <w:sz w:val="20"/>
                <w:szCs w:val="21"/>
              </w:rPr>
              <w:t>1.每万人交通事故发生数＜全国平均水平（可从国家统计局网站查询年度全国交通事故相关数据），得4分；</w:t>
            </w:r>
            <w:r>
              <w:rPr>
                <w:rFonts w:eastAsia="仿宋_GB2312"/>
                <w:kern w:val="0"/>
                <w:sz w:val="20"/>
                <w:szCs w:val="21"/>
              </w:rPr>
              <w:t>≥</w:t>
            </w:r>
            <w:r>
              <w:rPr>
                <w:rFonts w:eastAsia="仿宋_GB2312"/>
                <w:color w:val="000000"/>
                <w:kern w:val="0"/>
                <w:sz w:val="20"/>
                <w:szCs w:val="21"/>
              </w:rPr>
              <w:t>全国平均水平，不得分。</w:t>
            </w:r>
          </w:p>
          <w:p>
            <w:pPr>
              <w:widowControl/>
              <w:rPr>
                <w:rFonts w:eastAsia="仿宋_GB2312"/>
                <w:color w:val="000000"/>
                <w:kern w:val="0"/>
                <w:sz w:val="20"/>
                <w:szCs w:val="21"/>
              </w:rPr>
            </w:pPr>
            <w:r>
              <w:rPr>
                <w:rFonts w:eastAsia="仿宋_GB2312"/>
                <w:color w:val="000000"/>
                <w:kern w:val="0"/>
                <w:sz w:val="20"/>
                <w:szCs w:val="21"/>
              </w:rPr>
              <w:t>2.每万人交通事故死亡人数＜全国平均水平，得4分；</w:t>
            </w:r>
            <w:r>
              <w:rPr>
                <w:rFonts w:eastAsia="仿宋_GB2312"/>
                <w:kern w:val="0"/>
                <w:sz w:val="20"/>
                <w:szCs w:val="21"/>
              </w:rPr>
              <w:t>≥</w:t>
            </w:r>
            <w:r>
              <w:rPr>
                <w:rFonts w:eastAsia="仿宋_GB2312"/>
                <w:color w:val="000000"/>
                <w:kern w:val="0"/>
                <w:sz w:val="20"/>
                <w:szCs w:val="21"/>
              </w:rPr>
              <w:t>全国平均水平，不得分。</w:t>
            </w:r>
          </w:p>
          <w:p>
            <w:pPr>
              <w:widowControl/>
              <w:rPr>
                <w:rFonts w:eastAsia="仿宋_GB2312"/>
                <w:color w:val="000000"/>
                <w:kern w:val="0"/>
                <w:sz w:val="20"/>
                <w:szCs w:val="21"/>
              </w:rPr>
            </w:pPr>
            <w:r>
              <w:rPr>
                <w:rFonts w:eastAsia="仿宋_GB2312"/>
                <w:color w:val="000000"/>
                <w:kern w:val="0"/>
                <w:sz w:val="20"/>
                <w:szCs w:val="21"/>
              </w:rPr>
              <w:t>3.近3年内没有发生过重特大安全事件，得4分；发生过，不得分。</w:t>
            </w:r>
          </w:p>
          <w:p>
            <w:pPr>
              <w:widowControl/>
              <w:rPr>
                <w:rFonts w:eastAsia="仿宋_GB2312"/>
                <w:color w:val="000000"/>
                <w:kern w:val="0"/>
                <w:sz w:val="20"/>
                <w:szCs w:val="21"/>
              </w:rPr>
            </w:pPr>
            <w:r>
              <w:rPr>
                <w:rFonts w:eastAsia="仿宋_GB2312"/>
                <w:color w:val="000000"/>
                <w:kern w:val="0"/>
                <w:sz w:val="20"/>
                <w:szCs w:val="21"/>
              </w:rPr>
              <w:t>该指标满分为12分。</w:t>
            </w:r>
          </w:p>
        </w:tc>
        <w:tc>
          <w:tcPr>
            <w:tcW w:w="567" w:type="dxa"/>
          </w:tcPr>
          <w:p>
            <w:pPr>
              <w:widowControl/>
              <w:rPr>
                <w:rFonts w:eastAsia="仿宋_GB2312"/>
                <w:color w:val="000000"/>
                <w:kern w:val="0"/>
                <w:sz w:val="20"/>
                <w:szCs w:val="21"/>
              </w:rPr>
            </w:pPr>
            <w:r>
              <w:rPr>
                <w:rFonts w:eastAsia="仿宋_GB2312"/>
                <w:color w:val="000000"/>
                <w:kern w:val="0"/>
                <w:sz w:val="20"/>
                <w:szCs w:val="21"/>
              </w:rPr>
              <w:t>12</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51.医疗秩序安全</w:t>
            </w:r>
          </w:p>
        </w:tc>
        <w:tc>
          <w:tcPr>
            <w:tcW w:w="3061" w:type="dxa"/>
          </w:tcPr>
          <w:p>
            <w:pPr>
              <w:widowControl/>
              <w:rPr>
                <w:rFonts w:eastAsia="仿宋_GB2312"/>
                <w:color w:val="000000"/>
                <w:kern w:val="0"/>
                <w:sz w:val="20"/>
                <w:szCs w:val="21"/>
              </w:rPr>
            </w:pPr>
            <w:r>
              <w:rPr>
                <w:rFonts w:eastAsia="仿宋_GB2312"/>
                <w:color w:val="000000"/>
                <w:kern w:val="0"/>
                <w:sz w:val="20"/>
                <w:szCs w:val="21"/>
              </w:rPr>
              <w:t>避免发生社会影响恶劣的伤医案件和严重扰乱正常医疗秩序的案件。</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查阅资料：近3年内发生社会影响恶劣的伤医案件和严重扰乱正常医疗秩序的案件情况。</w:t>
            </w:r>
          </w:p>
          <w:p>
            <w:pPr>
              <w:widowControl/>
              <w:rPr>
                <w:rFonts w:eastAsia="仿宋_GB2312"/>
                <w:color w:val="000000"/>
                <w:kern w:val="0"/>
                <w:sz w:val="20"/>
                <w:szCs w:val="21"/>
              </w:rPr>
            </w:pPr>
            <w:r>
              <w:rPr>
                <w:rFonts w:eastAsia="仿宋_GB2312"/>
                <w:color w:val="000000"/>
                <w:kern w:val="0"/>
                <w:sz w:val="20"/>
                <w:szCs w:val="21"/>
              </w:rPr>
              <w:t>资料来源：卫生健康、公安等部门。</w:t>
            </w:r>
          </w:p>
        </w:tc>
        <w:tc>
          <w:tcPr>
            <w:tcW w:w="5545" w:type="dxa"/>
          </w:tcPr>
          <w:p>
            <w:pPr>
              <w:widowControl/>
              <w:rPr>
                <w:rFonts w:eastAsia="仿宋_GB2312"/>
                <w:color w:val="000000"/>
                <w:kern w:val="0"/>
                <w:sz w:val="20"/>
                <w:szCs w:val="21"/>
              </w:rPr>
            </w:pPr>
            <w:r>
              <w:rPr>
                <w:rFonts w:eastAsia="仿宋_GB2312"/>
                <w:color w:val="000000"/>
                <w:kern w:val="0"/>
                <w:sz w:val="20"/>
                <w:szCs w:val="21"/>
              </w:rPr>
              <w:t>1.近3年内没有发生过社会影响恶劣的伤医案件,得3分；发生过，不得分。</w:t>
            </w:r>
          </w:p>
          <w:p>
            <w:pPr>
              <w:widowControl/>
              <w:rPr>
                <w:rFonts w:eastAsia="仿宋_GB2312"/>
                <w:color w:val="000000"/>
                <w:kern w:val="0"/>
                <w:sz w:val="20"/>
                <w:szCs w:val="21"/>
              </w:rPr>
            </w:pPr>
            <w:r>
              <w:rPr>
                <w:rFonts w:eastAsia="仿宋_GB2312"/>
                <w:color w:val="000000"/>
                <w:kern w:val="0"/>
                <w:sz w:val="20"/>
                <w:szCs w:val="21"/>
              </w:rPr>
              <w:t>2.近3年内没有发生过严重扰乱正常医疗秩序的案件，得3分；发生过，不得分。</w:t>
            </w:r>
          </w:p>
          <w:p>
            <w:pPr>
              <w:widowControl/>
              <w:rPr>
                <w:rFonts w:eastAsia="仿宋_GB2312"/>
                <w:color w:val="000000"/>
                <w:kern w:val="0"/>
                <w:sz w:val="20"/>
                <w:szCs w:val="21"/>
              </w:rPr>
            </w:pPr>
            <w:r>
              <w:rPr>
                <w:rFonts w:eastAsia="仿宋_GB2312"/>
                <w:color w:val="000000"/>
                <w:kern w:val="0"/>
                <w:sz w:val="20"/>
                <w:szCs w:val="21"/>
              </w:rPr>
              <w:t>该指标满分为6分。</w:t>
            </w:r>
          </w:p>
        </w:tc>
        <w:tc>
          <w:tcPr>
            <w:tcW w:w="567" w:type="dxa"/>
          </w:tcPr>
          <w:p>
            <w:pPr>
              <w:widowControl/>
              <w:rPr>
                <w:rFonts w:eastAsia="仿宋_GB2312"/>
                <w:color w:val="000000"/>
                <w:kern w:val="0"/>
                <w:sz w:val="20"/>
                <w:szCs w:val="21"/>
              </w:rPr>
            </w:pPr>
            <w:r>
              <w:rPr>
                <w:rFonts w:eastAsia="仿宋_GB2312"/>
                <w:color w:val="000000"/>
                <w:kern w:val="0"/>
                <w:sz w:val="20"/>
                <w:szCs w:val="21"/>
              </w:rPr>
              <w:t>6</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382" w:type="dxa"/>
            <w:vMerge w:val="restart"/>
          </w:tcPr>
          <w:p>
            <w:pPr>
              <w:widowControl/>
              <w:spacing w:line="400" w:lineRule="atLeast"/>
              <w:rPr>
                <w:rFonts w:eastAsia="仿宋_GB2312"/>
                <w:color w:val="000000"/>
                <w:kern w:val="0"/>
                <w:sz w:val="20"/>
                <w:szCs w:val="21"/>
              </w:rPr>
            </w:pPr>
            <w:r>
              <w:rPr>
                <w:rFonts w:eastAsia="仿宋_GB2312"/>
                <w:b/>
                <w:bCs/>
                <w:kern w:val="0"/>
                <w:sz w:val="20"/>
                <w:szCs w:val="21"/>
              </w:rPr>
              <w:t>四、健康服务</w:t>
            </w:r>
          </w:p>
        </w:tc>
        <w:tc>
          <w:tcPr>
            <w:tcW w:w="1020" w:type="dxa"/>
          </w:tcPr>
          <w:p>
            <w:pPr>
              <w:widowControl/>
              <w:rPr>
                <w:rFonts w:eastAsia="仿宋_GB2312"/>
                <w:color w:val="000000"/>
                <w:kern w:val="0"/>
                <w:sz w:val="20"/>
                <w:szCs w:val="21"/>
              </w:rPr>
            </w:pPr>
            <w:r>
              <w:rPr>
                <w:rFonts w:eastAsia="仿宋_GB2312"/>
                <w:color w:val="000000"/>
                <w:kern w:val="0"/>
                <w:sz w:val="20"/>
                <w:szCs w:val="21"/>
              </w:rPr>
              <w:t>53.县域内基本医疗卫生资源配置</w:t>
            </w:r>
          </w:p>
        </w:tc>
        <w:tc>
          <w:tcPr>
            <w:tcW w:w="3061" w:type="dxa"/>
          </w:tcPr>
          <w:p>
            <w:pPr>
              <w:widowControl/>
              <w:rPr>
                <w:rFonts w:eastAsia="仿宋_GB2312"/>
                <w:color w:val="000000"/>
                <w:kern w:val="0"/>
                <w:sz w:val="20"/>
                <w:szCs w:val="21"/>
              </w:rPr>
            </w:pPr>
            <w:r>
              <w:rPr>
                <w:rFonts w:eastAsia="仿宋_GB2312"/>
                <w:color w:val="000000"/>
                <w:kern w:val="0"/>
                <w:sz w:val="20"/>
                <w:szCs w:val="21"/>
              </w:rPr>
              <w:t>专业公共卫生机构、医院、基层医疗卫生机构等按常住人口和服务半径合理布局，各级各类医疗卫生机构符合国家设置和建设标准，促进人人享有均等化的基本医疗卫生服务。</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查阅资料：医疗卫生服务体系建设相关资料。</w:t>
            </w:r>
          </w:p>
          <w:p>
            <w:pPr>
              <w:widowControl/>
              <w:rPr>
                <w:rFonts w:eastAsia="仿宋_GB2312"/>
                <w:color w:val="000000"/>
                <w:kern w:val="0"/>
                <w:sz w:val="20"/>
                <w:szCs w:val="21"/>
              </w:rPr>
            </w:pPr>
            <w:r>
              <w:rPr>
                <w:rFonts w:eastAsia="仿宋_GB2312"/>
                <w:color w:val="000000"/>
                <w:kern w:val="0"/>
                <w:sz w:val="20"/>
                <w:szCs w:val="21"/>
              </w:rPr>
              <w:t>资料来源：卫生健康等部门。</w:t>
            </w:r>
          </w:p>
        </w:tc>
        <w:tc>
          <w:tcPr>
            <w:tcW w:w="5545" w:type="dxa"/>
          </w:tcPr>
          <w:p>
            <w:pPr>
              <w:widowControl/>
              <w:rPr>
                <w:rFonts w:eastAsia="仿宋_GB2312"/>
                <w:color w:val="000000"/>
                <w:kern w:val="0"/>
                <w:sz w:val="20"/>
                <w:szCs w:val="21"/>
              </w:rPr>
            </w:pPr>
            <w:r>
              <w:rPr>
                <w:rFonts w:eastAsia="仿宋_GB2312"/>
                <w:color w:val="000000"/>
                <w:kern w:val="0"/>
                <w:sz w:val="20"/>
                <w:szCs w:val="21"/>
              </w:rPr>
              <w:t>1.每万人口公共卫生人员数近3年持续增长，得1分；维持不变或有下降趋势，不得分。</w:t>
            </w:r>
          </w:p>
          <w:p>
            <w:pPr>
              <w:widowControl/>
              <w:rPr>
                <w:rFonts w:eastAsia="仿宋_GB2312"/>
                <w:color w:val="000000"/>
                <w:kern w:val="0"/>
                <w:sz w:val="20"/>
                <w:szCs w:val="21"/>
              </w:rPr>
            </w:pPr>
            <w:r>
              <w:rPr>
                <w:rFonts w:eastAsia="仿宋_GB2312"/>
                <w:color w:val="000000"/>
                <w:kern w:val="0"/>
                <w:sz w:val="20"/>
                <w:szCs w:val="21"/>
              </w:rPr>
              <w:t>2.每千人口执业（助理）医师数≥所在省份同期平均水平，得1分；＜平均水平，不得分。</w:t>
            </w:r>
          </w:p>
          <w:p>
            <w:pPr>
              <w:widowControl/>
              <w:rPr>
                <w:rFonts w:eastAsia="仿宋_GB2312"/>
                <w:color w:val="000000"/>
                <w:kern w:val="0"/>
                <w:sz w:val="20"/>
                <w:szCs w:val="21"/>
              </w:rPr>
            </w:pPr>
            <w:r>
              <w:rPr>
                <w:rFonts w:eastAsia="仿宋_GB2312"/>
                <w:color w:val="000000"/>
                <w:kern w:val="0"/>
                <w:sz w:val="20"/>
                <w:szCs w:val="21"/>
              </w:rPr>
              <w:t>3.每万人全科医生数≥所在省份同期平均水平，得1分；＜平均水平，不得分。</w:t>
            </w:r>
          </w:p>
          <w:p>
            <w:pPr>
              <w:widowControl/>
              <w:rPr>
                <w:rFonts w:eastAsia="仿宋_GB2312"/>
                <w:color w:val="000000"/>
                <w:kern w:val="0"/>
                <w:sz w:val="20"/>
                <w:szCs w:val="21"/>
              </w:rPr>
            </w:pPr>
            <w:r>
              <w:rPr>
                <w:rFonts w:eastAsia="仿宋_GB2312"/>
                <w:color w:val="000000"/>
                <w:kern w:val="0"/>
                <w:sz w:val="20"/>
                <w:szCs w:val="21"/>
              </w:rPr>
              <w:t>4.辖区社区卫生服务中心配置达到要求，即每个街道办或每3万-10万人口设置1所社区卫生服务中心，得1分；未达标，不得分。</w:t>
            </w:r>
          </w:p>
          <w:p>
            <w:pPr>
              <w:widowControl/>
              <w:rPr>
                <w:rFonts w:eastAsia="仿宋_GB2312"/>
                <w:color w:val="000000"/>
                <w:kern w:val="0"/>
                <w:sz w:val="20"/>
                <w:szCs w:val="21"/>
              </w:rPr>
            </w:pPr>
            <w:r>
              <w:rPr>
                <w:rFonts w:eastAsia="仿宋_GB2312"/>
                <w:color w:val="000000"/>
                <w:kern w:val="0"/>
                <w:sz w:val="20"/>
                <w:szCs w:val="21"/>
              </w:rPr>
              <w:t>5.辖区社区卫生服务站配置达到要求，即每3-5个居委会或每1万-2万人口设置1所社区卫生服务站，得1分；未达标，不得分。</w:t>
            </w:r>
          </w:p>
          <w:p>
            <w:pPr>
              <w:widowControl/>
              <w:rPr>
                <w:rFonts w:eastAsia="仿宋_GB2312"/>
                <w:color w:val="000000"/>
                <w:kern w:val="0"/>
                <w:sz w:val="20"/>
                <w:szCs w:val="21"/>
              </w:rPr>
            </w:pPr>
            <w:r>
              <w:rPr>
                <w:rFonts w:eastAsia="仿宋_GB2312"/>
                <w:color w:val="000000"/>
                <w:kern w:val="0"/>
                <w:sz w:val="20"/>
                <w:szCs w:val="21"/>
              </w:rPr>
              <w:t>6.每个乡镇都建有标准化乡镇卫生院，得1分；乡镇卫生院未能全覆盖，不得分。</w:t>
            </w:r>
          </w:p>
          <w:p>
            <w:pPr>
              <w:widowControl/>
              <w:rPr>
                <w:rFonts w:eastAsia="仿宋_GB2312"/>
                <w:color w:val="000000"/>
                <w:kern w:val="0"/>
                <w:sz w:val="20"/>
                <w:szCs w:val="21"/>
              </w:rPr>
            </w:pPr>
            <w:r>
              <w:rPr>
                <w:rFonts w:eastAsia="仿宋_GB2312"/>
                <w:color w:val="000000"/>
                <w:kern w:val="0"/>
                <w:sz w:val="20"/>
                <w:szCs w:val="21"/>
              </w:rPr>
              <w:t>该指标满分为6分。</w:t>
            </w:r>
          </w:p>
        </w:tc>
        <w:tc>
          <w:tcPr>
            <w:tcW w:w="567" w:type="dxa"/>
          </w:tcPr>
          <w:p>
            <w:pPr>
              <w:widowControl/>
              <w:rPr>
                <w:rFonts w:eastAsia="仿宋_GB2312"/>
                <w:color w:val="000000"/>
                <w:kern w:val="0"/>
                <w:sz w:val="20"/>
                <w:szCs w:val="21"/>
              </w:rPr>
            </w:pPr>
            <w:r>
              <w:rPr>
                <w:rFonts w:eastAsia="仿宋_GB2312"/>
                <w:color w:val="000000"/>
                <w:kern w:val="0"/>
                <w:sz w:val="20"/>
                <w:szCs w:val="21"/>
              </w:rPr>
              <w:t>6</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54.全方位全周期健康服务</w:t>
            </w:r>
          </w:p>
        </w:tc>
        <w:tc>
          <w:tcPr>
            <w:tcW w:w="3061" w:type="dxa"/>
          </w:tcPr>
          <w:p>
            <w:pPr>
              <w:widowControl/>
              <w:rPr>
                <w:rFonts w:eastAsia="仿宋_GB2312"/>
                <w:color w:val="000000"/>
                <w:kern w:val="0"/>
                <w:sz w:val="20"/>
                <w:szCs w:val="21"/>
              </w:rPr>
            </w:pPr>
            <w:r>
              <w:rPr>
                <w:rFonts w:eastAsia="仿宋_GB2312"/>
                <w:color w:val="000000"/>
                <w:kern w:val="0"/>
                <w:sz w:val="20"/>
                <w:szCs w:val="21"/>
              </w:rPr>
              <w:t>建立完善全方位全周期健康服务体系，满足辖区健康服务需求。</w:t>
            </w:r>
            <w:r>
              <w:rPr>
                <w:rFonts w:eastAsia="仿宋_GB2312"/>
                <w:kern w:val="0"/>
                <w:sz w:val="20"/>
                <w:szCs w:val="21"/>
              </w:rPr>
              <w:t>加强高血压、糖尿病患者管理，逐步实现高血压、糖尿病患者管理干预全覆盖。</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查阅资料：全方位全周期健康服务体系建设相关资料。</w:t>
            </w:r>
          </w:p>
          <w:p>
            <w:pPr>
              <w:widowControl/>
              <w:rPr>
                <w:rFonts w:eastAsia="仿宋_GB2312"/>
                <w:color w:val="000000"/>
                <w:kern w:val="0"/>
                <w:sz w:val="20"/>
                <w:szCs w:val="21"/>
              </w:rPr>
            </w:pPr>
            <w:r>
              <w:rPr>
                <w:rFonts w:eastAsia="仿宋_GB2312"/>
                <w:color w:val="000000"/>
                <w:kern w:val="0"/>
                <w:sz w:val="20"/>
                <w:szCs w:val="21"/>
              </w:rPr>
              <w:t>资料来源：卫生健康等部门。</w:t>
            </w:r>
          </w:p>
        </w:tc>
        <w:tc>
          <w:tcPr>
            <w:tcW w:w="5545" w:type="dxa"/>
          </w:tcPr>
          <w:p>
            <w:pPr>
              <w:widowControl/>
              <w:rPr>
                <w:rFonts w:eastAsia="仿宋_GB2312"/>
                <w:color w:val="000000"/>
                <w:kern w:val="0"/>
                <w:sz w:val="20"/>
                <w:szCs w:val="21"/>
              </w:rPr>
            </w:pPr>
            <w:r>
              <w:rPr>
                <w:rFonts w:eastAsia="仿宋_GB2312"/>
                <w:color w:val="000000"/>
                <w:kern w:val="0"/>
                <w:sz w:val="20"/>
                <w:szCs w:val="21"/>
              </w:rPr>
              <w:t>1.辖区内建有标准化的妇幼保健机构，得2分；未建，不得分。</w:t>
            </w:r>
          </w:p>
          <w:p>
            <w:pPr>
              <w:widowControl/>
              <w:rPr>
                <w:rFonts w:eastAsia="仿宋_GB2312"/>
                <w:color w:val="000000"/>
                <w:kern w:val="0"/>
                <w:sz w:val="20"/>
                <w:szCs w:val="21"/>
              </w:rPr>
            </w:pPr>
            <w:r>
              <w:rPr>
                <w:rFonts w:eastAsia="仿宋_GB2312"/>
                <w:color w:val="000000"/>
                <w:kern w:val="0"/>
                <w:sz w:val="20"/>
                <w:szCs w:val="21"/>
              </w:rPr>
              <w:t>2.辖区内≥80%的乡镇卫生院、社区卫生服务中心配备2名以上专业从事儿童保健的医生，得2分；≥60％且＜80％，得1分；≥50％且＜60％，得0.5分；＜50％，不得分。</w:t>
            </w:r>
          </w:p>
          <w:p>
            <w:pPr>
              <w:widowControl/>
              <w:rPr>
                <w:rFonts w:eastAsia="仿宋_GB2312"/>
                <w:color w:val="000000"/>
                <w:kern w:val="0"/>
                <w:sz w:val="20"/>
                <w:szCs w:val="21"/>
              </w:rPr>
            </w:pPr>
            <w:r>
              <w:rPr>
                <w:rFonts w:eastAsia="仿宋_GB2312"/>
                <w:color w:val="000000"/>
                <w:kern w:val="0"/>
                <w:sz w:val="20"/>
                <w:szCs w:val="21"/>
              </w:rPr>
              <w:t>3.县区范围内至少有1家承担职业健康检查的医疗卫生机构，得2分；没有，不得分。</w:t>
            </w:r>
          </w:p>
          <w:p>
            <w:pPr>
              <w:widowControl/>
              <w:rPr>
                <w:rFonts w:eastAsia="仿宋_GB2312"/>
                <w:color w:val="000000"/>
                <w:kern w:val="0"/>
                <w:sz w:val="20"/>
                <w:szCs w:val="21"/>
              </w:rPr>
            </w:pPr>
            <w:r>
              <w:rPr>
                <w:rFonts w:eastAsia="仿宋_GB2312"/>
                <w:color w:val="000000"/>
                <w:kern w:val="0"/>
                <w:sz w:val="20"/>
                <w:szCs w:val="21"/>
              </w:rPr>
              <w:t>4.慢性病管理率：</w:t>
            </w:r>
          </w:p>
          <w:p>
            <w:pPr>
              <w:widowControl/>
              <w:rPr>
                <w:rFonts w:eastAsia="仿宋_GB2312"/>
                <w:kern w:val="0"/>
                <w:sz w:val="20"/>
                <w:szCs w:val="21"/>
              </w:rPr>
            </w:pPr>
            <w:r>
              <w:rPr>
                <w:rFonts w:hint="eastAsia" w:eastAsia="仿宋_GB2312" w:cs="宋体"/>
                <w:kern w:val="0"/>
                <w:sz w:val="20"/>
                <w:szCs w:val="21"/>
              </w:rPr>
              <w:t>①</w:t>
            </w:r>
            <w:r>
              <w:rPr>
                <w:rFonts w:eastAsia="仿宋_GB2312"/>
                <w:kern w:val="0"/>
                <w:sz w:val="20"/>
                <w:szCs w:val="21"/>
              </w:rPr>
              <w:t>高血压患者规范管理率≥60%，得1分；＜60%，不得分。</w:t>
            </w:r>
          </w:p>
          <w:p>
            <w:pPr>
              <w:widowControl/>
              <w:rPr>
                <w:rFonts w:eastAsia="仿宋_GB2312"/>
                <w:kern w:val="0"/>
                <w:sz w:val="20"/>
                <w:szCs w:val="21"/>
              </w:rPr>
            </w:pPr>
            <w:r>
              <w:rPr>
                <w:rFonts w:hint="eastAsia" w:eastAsia="仿宋_GB2312" w:cs="宋体"/>
                <w:kern w:val="0"/>
                <w:sz w:val="20"/>
                <w:szCs w:val="21"/>
              </w:rPr>
              <w:t>②</w:t>
            </w:r>
            <w:r>
              <w:rPr>
                <w:rFonts w:eastAsia="仿宋_GB2312"/>
                <w:kern w:val="0"/>
                <w:sz w:val="20"/>
                <w:szCs w:val="21"/>
              </w:rPr>
              <w:t>糖尿病患者规范管理率≥60%，得1分；＜60%，不得分。</w:t>
            </w:r>
          </w:p>
          <w:p>
            <w:pPr>
              <w:widowControl/>
              <w:rPr>
                <w:rFonts w:eastAsia="仿宋_GB2312"/>
                <w:color w:val="000000"/>
                <w:kern w:val="0"/>
                <w:sz w:val="20"/>
                <w:szCs w:val="21"/>
              </w:rPr>
            </w:pPr>
            <w:r>
              <w:rPr>
                <w:rFonts w:eastAsia="仿宋_GB2312"/>
                <w:color w:val="000000"/>
                <w:kern w:val="0"/>
                <w:sz w:val="20"/>
                <w:szCs w:val="21"/>
              </w:rPr>
              <w:t>该指标满分为8分。</w:t>
            </w:r>
          </w:p>
        </w:tc>
        <w:tc>
          <w:tcPr>
            <w:tcW w:w="567" w:type="dxa"/>
          </w:tcPr>
          <w:p>
            <w:pPr>
              <w:widowControl/>
              <w:rPr>
                <w:rFonts w:eastAsia="仿宋_GB2312"/>
                <w:color w:val="000000"/>
                <w:kern w:val="0"/>
                <w:sz w:val="20"/>
                <w:szCs w:val="21"/>
              </w:rPr>
            </w:pPr>
            <w:r>
              <w:rPr>
                <w:rFonts w:eastAsia="仿宋_GB2312"/>
                <w:color w:val="000000"/>
                <w:kern w:val="0"/>
                <w:sz w:val="20"/>
                <w:szCs w:val="21"/>
              </w:rPr>
              <w:t>8</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56.县域内就诊率逐年提升</w:t>
            </w:r>
          </w:p>
        </w:tc>
        <w:tc>
          <w:tcPr>
            <w:tcW w:w="3061" w:type="dxa"/>
          </w:tcPr>
          <w:p>
            <w:pPr>
              <w:widowControl/>
              <w:rPr>
                <w:rFonts w:eastAsia="仿宋_GB2312"/>
                <w:color w:val="000000"/>
                <w:kern w:val="0"/>
                <w:sz w:val="20"/>
                <w:szCs w:val="21"/>
              </w:rPr>
            </w:pPr>
            <w:r>
              <w:rPr>
                <w:rFonts w:eastAsia="仿宋_GB2312"/>
                <w:color w:val="000000"/>
                <w:kern w:val="0"/>
                <w:sz w:val="20"/>
                <w:szCs w:val="21"/>
              </w:rPr>
              <w:t>县域内就诊率达到90%且近3年县域内就诊率逐年提升。县域就诊率（%）=参保人员县域内门急诊人次/参保人员门急诊总人次×100%。</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查阅资料：县域内就诊率相关资料。</w:t>
            </w:r>
          </w:p>
          <w:p>
            <w:pPr>
              <w:widowControl/>
              <w:rPr>
                <w:rFonts w:eastAsia="仿宋_GB2312"/>
                <w:color w:val="000000"/>
                <w:kern w:val="0"/>
                <w:sz w:val="20"/>
                <w:szCs w:val="21"/>
              </w:rPr>
            </w:pPr>
            <w:r>
              <w:rPr>
                <w:rFonts w:eastAsia="仿宋_GB2312"/>
                <w:color w:val="000000"/>
                <w:kern w:val="0"/>
                <w:sz w:val="20"/>
                <w:szCs w:val="21"/>
              </w:rPr>
              <w:t>资料来源：卫生健康部门或医保信息系统。</w:t>
            </w:r>
          </w:p>
        </w:tc>
        <w:tc>
          <w:tcPr>
            <w:tcW w:w="5545" w:type="dxa"/>
          </w:tcPr>
          <w:p>
            <w:pPr>
              <w:rPr>
                <w:rFonts w:eastAsia="仿宋_GB2312"/>
                <w:color w:val="000000"/>
                <w:kern w:val="0"/>
                <w:sz w:val="20"/>
                <w:szCs w:val="21"/>
              </w:rPr>
            </w:pPr>
            <w:r>
              <w:rPr>
                <w:rFonts w:eastAsia="仿宋_GB2312"/>
                <w:color w:val="000000"/>
                <w:kern w:val="0"/>
                <w:sz w:val="20"/>
                <w:szCs w:val="21"/>
              </w:rPr>
              <w:t>1.县域内就诊率≥90%，得4分；＜90%，不得分。</w:t>
            </w:r>
          </w:p>
          <w:p>
            <w:pPr>
              <w:rPr>
                <w:rFonts w:eastAsia="仿宋_GB2312"/>
                <w:color w:val="000000"/>
                <w:kern w:val="0"/>
                <w:sz w:val="20"/>
                <w:szCs w:val="21"/>
              </w:rPr>
            </w:pPr>
            <w:r>
              <w:rPr>
                <w:rFonts w:eastAsia="仿宋_GB2312"/>
                <w:color w:val="000000"/>
                <w:kern w:val="0"/>
                <w:sz w:val="20"/>
                <w:szCs w:val="21"/>
              </w:rPr>
              <w:t>2.近3年县域内就诊率逐年提高，得4分；其中有1年下降，得2分；逐年下降，不得分。</w:t>
            </w:r>
          </w:p>
          <w:p>
            <w:pPr>
              <w:widowControl/>
              <w:rPr>
                <w:rFonts w:eastAsia="仿宋_GB2312"/>
                <w:color w:val="000000"/>
                <w:kern w:val="0"/>
                <w:sz w:val="20"/>
                <w:szCs w:val="21"/>
              </w:rPr>
            </w:pPr>
            <w:r>
              <w:rPr>
                <w:rFonts w:eastAsia="仿宋_GB2312"/>
                <w:kern w:val="0"/>
                <w:sz w:val="20"/>
                <w:szCs w:val="21"/>
              </w:rPr>
              <w:t>该指标满分为8分。</w:t>
            </w:r>
          </w:p>
        </w:tc>
        <w:tc>
          <w:tcPr>
            <w:tcW w:w="567" w:type="dxa"/>
          </w:tcPr>
          <w:p>
            <w:pPr>
              <w:widowControl/>
              <w:rPr>
                <w:rFonts w:eastAsia="仿宋_GB2312"/>
                <w:color w:val="000000"/>
                <w:kern w:val="0"/>
                <w:sz w:val="20"/>
                <w:szCs w:val="21"/>
              </w:rPr>
            </w:pPr>
            <w:r>
              <w:rPr>
                <w:rFonts w:eastAsia="仿宋_GB2312"/>
                <w:color w:val="000000"/>
                <w:kern w:val="0"/>
                <w:sz w:val="20"/>
                <w:szCs w:val="21"/>
              </w:rPr>
              <w:t>8</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57.改善疾病预防控制基础条件</w:t>
            </w:r>
          </w:p>
        </w:tc>
        <w:tc>
          <w:tcPr>
            <w:tcW w:w="3061" w:type="dxa"/>
          </w:tcPr>
          <w:p>
            <w:pPr>
              <w:widowControl/>
              <w:rPr>
                <w:rFonts w:eastAsia="仿宋_GB2312"/>
                <w:color w:val="000000"/>
                <w:kern w:val="0"/>
                <w:sz w:val="20"/>
                <w:szCs w:val="21"/>
              </w:rPr>
            </w:pPr>
            <w:r>
              <w:rPr>
                <w:rFonts w:eastAsia="仿宋_GB2312"/>
                <w:color w:val="000000"/>
                <w:kern w:val="0"/>
                <w:sz w:val="20"/>
                <w:szCs w:val="21"/>
              </w:rPr>
              <w:t>不断完善疾病预防控制体系，加强疾病预防控制基础设施建设，强化疾病预防控制人才队伍，提高疾病预防控制网络安全和信息化水平。</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查阅资料：疾病预防控制工作相关资料。</w:t>
            </w:r>
          </w:p>
          <w:p>
            <w:pPr>
              <w:widowControl/>
              <w:rPr>
                <w:rFonts w:eastAsia="仿宋_GB2312"/>
                <w:color w:val="000000"/>
                <w:kern w:val="0"/>
                <w:sz w:val="20"/>
                <w:szCs w:val="21"/>
              </w:rPr>
            </w:pPr>
            <w:r>
              <w:rPr>
                <w:rFonts w:eastAsia="仿宋_GB2312"/>
                <w:color w:val="000000"/>
                <w:kern w:val="0"/>
                <w:sz w:val="20"/>
                <w:szCs w:val="21"/>
              </w:rPr>
              <w:t>资料来源：卫生健康部门。</w:t>
            </w:r>
          </w:p>
        </w:tc>
        <w:tc>
          <w:tcPr>
            <w:tcW w:w="5545" w:type="dxa"/>
          </w:tcPr>
          <w:p>
            <w:pPr>
              <w:rPr>
                <w:rFonts w:eastAsia="仿宋_GB2312"/>
                <w:color w:val="000000"/>
                <w:kern w:val="0"/>
                <w:sz w:val="20"/>
                <w:szCs w:val="21"/>
              </w:rPr>
            </w:pPr>
            <w:r>
              <w:rPr>
                <w:rFonts w:eastAsia="仿宋_GB2312"/>
                <w:color w:val="000000"/>
                <w:kern w:val="0"/>
                <w:sz w:val="20"/>
                <w:szCs w:val="21"/>
              </w:rPr>
              <w:t>当地疾病预防控制机构基础设施和设备配置达到《疾病预防控制中心建设标准》，得8分；未达到标准，不得分。</w:t>
            </w:r>
          </w:p>
        </w:tc>
        <w:tc>
          <w:tcPr>
            <w:tcW w:w="567" w:type="dxa"/>
          </w:tcPr>
          <w:p>
            <w:pPr>
              <w:widowControl/>
              <w:rPr>
                <w:rFonts w:eastAsia="仿宋_GB2312"/>
                <w:color w:val="000000"/>
                <w:kern w:val="0"/>
                <w:sz w:val="20"/>
                <w:szCs w:val="21"/>
              </w:rPr>
            </w:pPr>
            <w:r>
              <w:rPr>
                <w:rFonts w:eastAsia="仿宋_GB2312"/>
                <w:color w:val="000000"/>
                <w:kern w:val="0"/>
                <w:sz w:val="20"/>
                <w:szCs w:val="21"/>
              </w:rPr>
              <w:t>8</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58.强化基层公共卫生责任</w:t>
            </w:r>
          </w:p>
        </w:tc>
        <w:tc>
          <w:tcPr>
            <w:tcW w:w="3061" w:type="dxa"/>
          </w:tcPr>
          <w:p>
            <w:pPr>
              <w:widowControl/>
              <w:rPr>
                <w:rFonts w:eastAsia="仿宋_GB2312"/>
                <w:color w:val="000000"/>
                <w:kern w:val="0"/>
                <w:sz w:val="20"/>
                <w:szCs w:val="21"/>
              </w:rPr>
            </w:pPr>
            <w:r>
              <w:rPr>
                <w:rFonts w:eastAsia="仿宋_GB2312"/>
                <w:color w:val="000000"/>
                <w:kern w:val="0"/>
                <w:sz w:val="20"/>
                <w:szCs w:val="21"/>
              </w:rPr>
              <w:t>居（村）委会设立公共卫生委员会，完善基层疾病防控网络，落实网格化防控管理职责。乡镇卫生院和社区卫生服务中心设置预防保健科室，为每个社区卫生服务中心和乡镇卫生院至少配置1名公共卫生医师，开展疾病预防控制工作。</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查阅资料：基层公共卫生工作相关资料。</w:t>
            </w:r>
          </w:p>
          <w:p>
            <w:pPr>
              <w:widowControl/>
              <w:rPr>
                <w:rFonts w:eastAsia="仿宋_GB2312"/>
                <w:color w:val="000000"/>
                <w:kern w:val="0"/>
                <w:sz w:val="20"/>
                <w:szCs w:val="21"/>
              </w:rPr>
            </w:pPr>
            <w:r>
              <w:rPr>
                <w:rFonts w:eastAsia="仿宋_GB2312"/>
                <w:color w:val="000000"/>
                <w:kern w:val="0"/>
                <w:sz w:val="20"/>
                <w:szCs w:val="21"/>
              </w:rPr>
              <w:t>资料来源：卫生健康部门。</w:t>
            </w:r>
          </w:p>
        </w:tc>
        <w:tc>
          <w:tcPr>
            <w:tcW w:w="5545" w:type="dxa"/>
          </w:tcPr>
          <w:p>
            <w:pPr>
              <w:rPr>
                <w:rFonts w:eastAsia="仿宋_GB2312"/>
                <w:color w:val="000000"/>
                <w:kern w:val="0"/>
                <w:sz w:val="20"/>
                <w:szCs w:val="21"/>
              </w:rPr>
            </w:pPr>
            <w:r>
              <w:rPr>
                <w:rFonts w:eastAsia="仿宋_GB2312"/>
                <w:color w:val="000000"/>
                <w:kern w:val="0"/>
                <w:sz w:val="20"/>
                <w:szCs w:val="21"/>
              </w:rPr>
              <w:t>1.辖区所有居委会（行政村）设立公共卫生委员会，得4分；部分设立，得2分；未设立，不得分。</w:t>
            </w:r>
          </w:p>
          <w:p>
            <w:pPr>
              <w:rPr>
                <w:rFonts w:eastAsia="仿宋_GB2312"/>
                <w:color w:val="000000"/>
                <w:kern w:val="0"/>
                <w:sz w:val="20"/>
                <w:szCs w:val="21"/>
              </w:rPr>
            </w:pPr>
            <w:r>
              <w:rPr>
                <w:rFonts w:eastAsia="仿宋_GB2312"/>
                <w:color w:val="000000"/>
                <w:kern w:val="0"/>
                <w:sz w:val="20"/>
                <w:szCs w:val="21"/>
              </w:rPr>
              <w:t>2.辖区所有乡镇卫生院和社区卫生服务中心设置预防保健室，得4分；部分设立，得2分；未设立，不得分。</w:t>
            </w:r>
          </w:p>
          <w:p>
            <w:pPr>
              <w:rPr>
                <w:rFonts w:eastAsia="仿宋_GB2312"/>
                <w:color w:val="000000"/>
                <w:kern w:val="0"/>
                <w:sz w:val="20"/>
                <w:szCs w:val="21"/>
              </w:rPr>
            </w:pPr>
            <w:r>
              <w:rPr>
                <w:rFonts w:eastAsia="仿宋_GB2312"/>
                <w:color w:val="000000"/>
                <w:kern w:val="0"/>
                <w:sz w:val="20"/>
                <w:szCs w:val="21"/>
              </w:rPr>
              <w:t>3.每个社区卫生服务中心和乡镇卫生院至少配备1名公共卫生医师，得4分；部分配备，得2分；未配备，不得分。</w:t>
            </w:r>
          </w:p>
          <w:p>
            <w:pPr>
              <w:rPr>
                <w:rFonts w:eastAsia="仿宋_GB2312"/>
                <w:color w:val="000000"/>
                <w:kern w:val="0"/>
                <w:sz w:val="20"/>
                <w:szCs w:val="21"/>
              </w:rPr>
            </w:pPr>
            <w:r>
              <w:rPr>
                <w:rFonts w:eastAsia="仿宋_GB2312"/>
                <w:color w:val="000000"/>
                <w:kern w:val="0"/>
                <w:sz w:val="20"/>
                <w:szCs w:val="21"/>
              </w:rPr>
              <w:t>该指标满分为12分。</w:t>
            </w:r>
          </w:p>
        </w:tc>
        <w:tc>
          <w:tcPr>
            <w:tcW w:w="567" w:type="dxa"/>
          </w:tcPr>
          <w:p>
            <w:pPr>
              <w:widowControl/>
              <w:rPr>
                <w:rFonts w:eastAsia="仿宋_GB2312"/>
                <w:color w:val="000000"/>
                <w:kern w:val="0"/>
                <w:sz w:val="20"/>
                <w:szCs w:val="21"/>
              </w:rPr>
            </w:pPr>
            <w:r>
              <w:rPr>
                <w:rFonts w:eastAsia="仿宋_GB2312"/>
                <w:color w:val="000000"/>
                <w:kern w:val="0"/>
                <w:sz w:val="20"/>
                <w:szCs w:val="21"/>
              </w:rPr>
              <w:t>12</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59.强化医院公共卫生责任</w:t>
            </w:r>
          </w:p>
        </w:tc>
        <w:tc>
          <w:tcPr>
            <w:tcW w:w="3061" w:type="dxa"/>
          </w:tcPr>
          <w:p>
            <w:pPr>
              <w:widowControl/>
              <w:rPr>
                <w:rFonts w:eastAsia="仿宋_GB2312"/>
                <w:color w:val="000000"/>
                <w:kern w:val="0"/>
                <w:sz w:val="20"/>
                <w:szCs w:val="21"/>
              </w:rPr>
            </w:pPr>
            <w:r>
              <w:rPr>
                <w:rFonts w:eastAsia="仿宋_GB2312"/>
                <w:color w:val="000000"/>
                <w:kern w:val="0"/>
                <w:sz w:val="20"/>
                <w:szCs w:val="21"/>
              </w:rPr>
              <w:t>二级以上医疗机构设置公共卫生科并配备公共卫生医师。制定医疗机构公共卫生责任清单。</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查阅资料：医院公共卫生工作相关资料。</w:t>
            </w:r>
          </w:p>
          <w:p>
            <w:pPr>
              <w:widowControl/>
              <w:rPr>
                <w:rFonts w:eastAsia="仿宋_GB2312"/>
                <w:color w:val="000000"/>
                <w:kern w:val="0"/>
                <w:sz w:val="20"/>
                <w:szCs w:val="21"/>
              </w:rPr>
            </w:pPr>
            <w:r>
              <w:rPr>
                <w:rFonts w:eastAsia="仿宋_GB2312"/>
                <w:color w:val="000000"/>
                <w:kern w:val="0"/>
                <w:sz w:val="20"/>
                <w:szCs w:val="21"/>
              </w:rPr>
              <w:t>资料来源：卫生健康部门。</w:t>
            </w:r>
          </w:p>
        </w:tc>
        <w:tc>
          <w:tcPr>
            <w:tcW w:w="5545" w:type="dxa"/>
          </w:tcPr>
          <w:p>
            <w:pPr>
              <w:rPr>
                <w:rFonts w:eastAsia="仿宋_GB2312"/>
                <w:color w:val="000000"/>
                <w:kern w:val="0"/>
                <w:sz w:val="20"/>
                <w:szCs w:val="21"/>
              </w:rPr>
            </w:pPr>
            <w:r>
              <w:rPr>
                <w:rFonts w:eastAsia="仿宋_GB2312"/>
                <w:color w:val="000000"/>
                <w:kern w:val="0"/>
                <w:sz w:val="20"/>
                <w:szCs w:val="21"/>
              </w:rPr>
              <w:t>1.辖区二级以上医疗机构设置公共卫生科并配备公共卫生医师，得4分；部分设立，得2分；未设立，不得分。</w:t>
            </w:r>
          </w:p>
          <w:p>
            <w:pPr>
              <w:rPr>
                <w:rFonts w:eastAsia="仿宋_GB2312"/>
                <w:color w:val="000000"/>
                <w:kern w:val="0"/>
                <w:sz w:val="20"/>
                <w:szCs w:val="21"/>
              </w:rPr>
            </w:pPr>
            <w:r>
              <w:rPr>
                <w:rFonts w:eastAsia="仿宋_GB2312"/>
                <w:color w:val="000000"/>
                <w:kern w:val="0"/>
                <w:sz w:val="20"/>
                <w:szCs w:val="21"/>
              </w:rPr>
              <w:t>2.制定医疗机构公共卫生责任清单，得4分；未制定，不得分。</w:t>
            </w:r>
          </w:p>
          <w:p>
            <w:pPr>
              <w:rPr>
                <w:rFonts w:eastAsia="仿宋_GB2312"/>
                <w:color w:val="000000"/>
                <w:kern w:val="0"/>
                <w:sz w:val="20"/>
                <w:szCs w:val="21"/>
              </w:rPr>
            </w:pPr>
            <w:r>
              <w:rPr>
                <w:rFonts w:eastAsia="仿宋_GB2312"/>
                <w:color w:val="000000"/>
                <w:kern w:val="0"/>
                <w:sz w:val="20"/>
                <w:szCs w:val="21"/>
              </w:rPr>
              <w:t>该指标满分为8分。</w:t>
            </w:r>
          </w:p>
        </w:tc>
        <w:tc>
          <w:tcPr>
            <w:tcW w:w="567" w:type="dxa"/>
          </w:tcPr>
          <w:p>
            <w:pPr>
              <w:widowControl/>
              <w:rPr>
                <w:rFonts w:eastAsia="仿宋_GB2312"/>
                <w:color w:val="000000"/>
                <w:kern w:val="0"/>
                <w:sz w:val="20"/>
                <w:szCs w:val="21"/>
              </w:rPr>
            </w:pPr>
            <w:r>
              <w:rPr>
                <w:rFonts w:eastAsia="仿宋_GB2312"/>
                <w:color w:val="000000"/>
                <w:kern w:val="0"/>
                <w:sz w:val="20"/>
                <w:szCs w:val="21"/>
              </w:rPr>
              <w:t>8</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60.突发公共卫生事件和重大疫情防控联防联控机制</w:t>
            </w:r>
          </w:p>
        </w:tc>
        <w:tc>
          <w:tcPr>
            <w:tcW w:w="3061" w:type="dxa"/>
          </w:tcPr>
          <w:p>
            <w:pPr>
              <w:widowControl/>
              <w:rPr>
                <w:rFonts w:eastAsia="仿宋_GB2312"/>
                <w:color w:val="000000"/>
                <w:kern w:val="0"/>
                <w:sz w:val="20"/>
                <w:szCs w:val="21"/>
              </w:rPr>
            </w:pPr>
            <w:r>
              <w:rPr>
                <w:rFonts w:eastAsia="仿宋_GB2312"/>
                <w:color w:val="000000"/>
                <w:kern w:val="0"/>
                <w:sz w:val="20"/>
                <w:szCs w:val="21"/>
              </w:rPr>
              <w:t>县区建立突发公共卫生事件和重大疫情联防联控机制，明确政府、相关部门和单位在突发公共卫生事件和重大疫情应对中的职责和任务，建立完善协同工作机制。</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查阅资料：联防联控机制相关资料。</w:t>
            </w:r>
          </w:p>
          <w:p>
            <w:pPr>
              <w:widowControl/>
              <w:rPr>
                <w:rFonts w:eastAsia="仿宋_GB2312"/>
                <w:color w:val="000000"/>
                <w:kern w:val="0"/>
                <w:sz w:val="20"/>
                <w:szCs w:val="21"/>
              </w:rPr>
            </w:pPr>
            <w:r>
              <w:rPr>
                <w:rFonts w:eastAsia="仿宋_GB2312"/>
                <w:color w:val="000000"/>
                <w:kern w:val="0"/>
                <w:sz w:val="20"/>
                <w:szCs w:val="21"/>
              </w:rPr>
              <w:t>资料来源：文件印发部门、企事业单位等。</w:t>
            </w:r>
          </w:p>
        </w:tc>
        <w:tc>
          <w:tcPr>
            <w:tcW w:w="5545" w:type="dxa"/>
          </w:tcPr>
          <w:p>
            <w:pPr>
              <w:widowControl/>
              <w:rPr>
                <w:rFonts w:eastAsia="仿宋_GB2312"/>
                <w:color w:val="000000"/>
                <w:kern w:val="0"/>
                <w:sz w:val="20"/>
                <w:szCs w:val="21"/>
              </w:rPr>
            </w:pPr>
            <w:r>
              <w:rPr>
                <w:rFonts w:eastAsia="仿宋_GB2312"/>
                <w:color w:val="000000"/>
                <w:kern w:val="0"/>
                <w:sz w:val="20"/>
                <w:szCs w:val="21"/>
              </w:rPr>
              <w:t>1.建立突发公共卫生事件和重大疫情联防联控机制，得6分；未建立，不得分。</w:t>
            </w:r>
          </w:p>
          <w:p>
            <w:pPr>
              <w:widowControl/>
              <w:rPr>
                <w:rFonts w:eastAsia="仿宋_GB2312"/>
                <w:color w:val="000000"/>
                <w:kern w:val="0"/>
                <w:sz w:val="20"/>
                <w:szCs w:val="21"/>
              </w:rPr>
            </w:pPr>
            <w:r>
              <w:rPr>
                <w:rFonts w:eastAsia="仿宋_GB2312"/>
                <w:color w:val="000000"/>
                <w:kern w:val="0"/>
                <w:sz w:val="20"/>
                <w:szCs w:val="21"/>
              </w:rPr>
              <w:t>2.明确政府、相关部门和单位在突发公共卫生事件和重大疫情应对中的职责和任务，得4分；未明确，不得分。</w:t>
            </w:r>
          </w:p>
          <w:p>
            <w:pPr>
              <w:widowControl/>
              <w:rPr>
                <w:rFonts w:eastAsia="仿宋_GB2312"/>
                <w:color w:val="000000"/>
                <w:kern w:val="0"/>
                <w:sz w:val="20"/>
                <w:szCs w:val="21"/>
              </w:rPr>
            </w:pPr>
            <w:r>
              <w:rPr>
                <w:rFonts w:eastAsia="仿宋_GB2312"/>
                <w:color w:val="000000"/>
                <w:kern w:val="0"/>
                <w:sz w:val="20"/>
                <w:szCs w:val="21"/>
              </w:rPr>
              <w:t>该指标满分为10分。</w:t>
            </w:r>
          </w:p>
        </w:tc>
        <w:tc>
          <w:tcPr>
            <w:tcW w:w="567" w:type="dxa"/>
          </w:tcPr>
          <w:p>
            <w:pPr>
              <w:widowControl/>
              <w:rPr>
                <w:rFonts w:eastAsia="仿宋_GB2312"/>
                <w:color w:val="000000"/>
                <w:kern w:val="0"/>
                <w:sz w:val="20"/>
                <w:szCs w:val="21"/>
              </w:rPr>
            </w:pPr>
            <w:r>
              <w:rPr>
                <w:rFonts w:eastAsia="仿宋_GB2312"/>
                <w:color w:val="000000"/>
                <w:kern w:val="0"/>
                <w:sz w:val="20"/>
                <w:szCs w:val="21"/>
              </w:rPr>
              <w:t>10</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61.重大传染病防控应急处置预案</w:t>
            </w:r>
          </w:p>
        </w:tc>
        <w:tc>
          <w:tcPr>
            <w:tcW w:w="3061" w:type="dxa"/>
          </w:tcPr>
          <w:p>
            <w:pPr>
              <w:widowControl/>
              <w:rPr>
                <w:rFonts w:eastAsia="仿宋_GB2312"/>
                <w:color w:val="000000"/>
                <w:kern w:val="0"/>
                <w:sz w:val="20"/>
                <w:szCs w:val="21"/>
              </w:rPr>
            </w:pPr>
            <w:r>
              <w:rPr>
                <w:rFonts w:eastAsia="仿宋_GB2312"/>
                <w:color w:val="000000"/>
                <w:kern w:val="0"/>
                <w:sz w:val="20"/>
                <w:szCs w:val="21"/>
              </w:rPr>
              <w:t>县区组织制定属地重大传染病防控方案和应急处置预案，开展应急培训和实战演练，做好人员设施设备和物资储备。</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查阅资料：应急预案、技术方案、演习和培训记录等。</w:t>
            </w:r>
          </w:p>
          <w:p>
            <w:pPr>
              <w:widowControl/>
              <w:rPr>
                <w:rFonts w:eastAsia="仿宋_GB2312"/>
                <w:color w:val="000000"/>
                <w:kern w:val="0"/>
                <w:sz w:val="20"/>
                <w:szCs w:val="21"/>
              </w:rPr>
            </w:pPr>
            <w:r>
              <w:rPr>
                <w:rFonts w:eastAsia="仿宋_GB2312"/>
                <w:color w:val="000000"/>
                <w:kern w:val="0"/>
                <w:sz w:val="20"/>
                <w:szCs w:val="21"/>
              </w:rPr>
              <w:t>资料来源：相关部门。</w:t>
            </w:r>
          </w:p>
        </w:tc>
        <w:tc>
          <w:tcPr>
            <w:tcW w:w="5545" w:type="dxa"/>
          </w:tcPr>
          <w:p>
            <w:pPr>
              <w:widowControl/>
              <w:rPr>
                <w:rFonts w:eastAsia="仿宋_GB2312"/>
                <w:color w:val="000000"/>
                <w:kern w:val="0"/>
                <w:sz w:val="20"/>
                <w:szCs w:val="21"/>
              </w:rPr>
            </w:pPr>
            <w:r>
              <w:rPr>
                <w:rFonts w:eastAsia="仿宋_GB2312"/>
                <w:color w:val="000000"/>
                <w:kern w:val="0"/>
                <w:sz w:val="20"/>
                <w:szCs w:val="21"/>
              </w:rPr>
              <w:t>1.有应急预案，得4分；无预案，不得分。</w:t>
            </w:r>
          </w:p>
          <w:p>
            <w:pPr>
              <w:widowControl/>
              <w:rPr>
                <w:rFonts w:eastAsia="仿宋_GB2312"/>
                <w:color w:val="000000"/>
                <w:kern w:val="0"/>
                <w:sz w:val="20"/>
                <w:szCs w:val="21"/>
              </w:rPr>
            </w:pPr>
            <w:r>
              <w:rPr>
                <w:rFonts w:eastAsia="仿宋_GB2312"/>
                <w:color w:val="000000"/>
                <w:kern w:val="0"/>
                <w:sz w:val="20"/>
                <w:szCs w:val="21"/>
              </w:rPr>
              <w:t>2.过去1年开展过至少1次应急培训，得3分；未开展，不得分。</w:t>
            </w:r>
          </w:p>
          <w:p>
            <w:pPr>
              <w:widowControl/>
              <w:rPr>
                <w:rFonts w:eastAsia="仿宋_GB2312"/>
                <w:color w:val="000000"/>
                <w:kern w:val="0"/>
                <w:sz w:val="20"/>
                <w:szCs w:val="21"/>
              </w:rPr>
            </w:pPr>
            <w:r>
              <w:rPr>
                <w:rFonts w:eastAsia="仿宋_GB2312"/>
                <w:color w:val="000000"/>
                <w:kern w:val="0"/>
                <w:sz w:val="20"/>
                <w:szCs w:val="21"/>
              </w:rPr>
              <w:t>3.过去1年开展过至少1次实战演练，得3分；未开展，不得分。</w:t>
            </w:r>
          </w:p>
          <w:p>
            <w:pPr>
              <w:widowControl/>
              <w:rPr>
                <w:rFonts w:eastAsia="仿宋_GB2312"/>
                <w:color w:val="000000"/>
                <w:kern w:val="0"/>
                <w:sz w:val="20"/>
                <w:szCs w:val="21"/>
              </w:rPr>
            </w:pPr>
            <w:r>
              <w:rPr>
                <w:rFonts w:eastAsia="仿宋_GB2312"/>
                <w:color w:val="000000"/>
                <w:kern w:val="0"/>
                <w:sz w:val="20"/>
                <w:szCs w:val="21"/>
              </w:rPr>
              <w:t>该指标满分为10分。</w:t>
            </w:r>
          </w:p>
        </w:tc>
        <w:tc>
          <w:tcPr>
            <w:tcW w:w="567" w:type="dxa"/>
          </w:tcPr>
          <w:p>
            <w:pPr>
              <w:widowControl/>
              <w:rPr>
                <w:rFonts w:eastAsia="仿宋_GB2312"/>
                <w:color w:val="000000"/>
                <w:kern w:val="0"/>
                <w:sz w:val="20"/>
                <w:szCs w:val="21"/>
              </w:rPr>
            </w:pPr>
            <w:r>
              <w:rPr>
                <w:rFonts w:eastAsia="仿宋_GB2312"/>
                <w:color w:val="000000"/>
                <w:kern w:val="0"/>
                <w:sz w:val="20"/>
                <w:szCs w:val="21"/>
              </w:rPr>
              <w:t>10</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62.急救能力建设</w:t>
            </w:r>
          </w:p>
        </w:tc>
        <w:tc>
          <w:tcPr>
            <w:tcW w:w="3061" w:type="dxa"/>
          </w:tcPr>
          <w:p>
            <w:pPr>
              <w:widowControl/>
              <w:rPr>
                <w:rFonts w:eastAsia="仿宋_GB2312"/>
                <w:color w:val="000000"/>
                <w:kern w:val="0"/>
                <w:sz w:val="20"/>
                <w:szCs w:val="21"/>
              </w:rPr>
            </w:pPr>
            <w:r>
              <w:rPr>
                <w:rFonts w:eastAsia="仿宋_GB2312"/>
                <w:color w:val="000000"/>
                <w:kern w:val="0"/>
                <w:sz w:val="20"/>
                <w:szCs w:val="21"/>
              </w:rPr>
              <w:t>县区规划和实施辖区内院前医疗急救体系建设；定期开展重点行业人群急救知识与技能培训；向公众普及心肺复苏等急救技能，提高公众急救能力。</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查阅资料：急救能力建设相关文件、方案、培训记录等。</w:t>
            </w:r>
          </w:p>
          <w:p>
            <w:pPr>
              <w:widowControl/>
              <w:rPr>
                <w:rFonts w:eastAsia="仿宋_GB2312"/>
                <w:color w:val="000000"/>
                <w:kern w:val="0"/>
                <w:sz w:val="20"/>
                <w:szCs w:val="21"/>
              </w:rPr>
            </w:pPr>
            <w:r>
              <w:rPr>
                <w:rFonts w:eastAsia="仿宋_GB2312"/>
                <w:color w:val="000000"/>
                <w:kern w:val="0"/>
                <w:sz w:val="20"/>
                <w:szCs w:val="21"/>
              </w:rPr>
              <w:t>资料来源：卫生健康及相关部门等。</w:t>
            </w:r>
          </w:p>
        </w:tc>
        <w:tc>
          <w:tcPr>
            <w:tcW w:w="5545" w:type="dxa"/>
          </w:tcPr>
          <w:p>
            <w:pPr>
              <w:widowControl/>
              <w:rPr>
                <w:rFonts w:eastAsia="仿宋_GB2312"/>
                <w:color w:val="000000"/>
                <w:kern w:val="0"/>
                <w:sz w:val="20"/>
                <w:szCs w:val="21"/>
              </w:rPr>
            </w:pPr>
            <w:r>
              <w:rPr>
                <w:rFonts w:eastAsia="仿宋_GB2312"/>
                <w:color w:val="000000"/>
                <w:kern w:val="0"/>
                <w:sz w:val="20"/>
                <w:szCs w:val="21"/>
              </w:rPr>
              <w:t>1.制定辖区院前医疗急救体系建设规划、实施方案等，得4分；未制定，不得分。</w:t>
            </w:r>
          </w:p>
          <w:p>
            <w:pPr>
              <w:widowControl/>
              <w:rPr>
                <w:rFonts w:eastAsia="仿宋_GB2312"/>
                <w:color w:val="000000"/>
                <w:kern w:val="0"/>
                <w:sz w:val="20"/>
                <w:szCs w:val="21"/>
              </w:rPr>
            </w:pPr>
            <w:r>
              <w:rPr>
                <w:rFonts w:eastAsia="仿宋_GB2312"/>
                <w:color w:val="000000"/>
                <w:kern w:val="0"/>
                <w:sz w:val="20"/>
                <w:szCs w:val="21"/>
              </w:rPr>
              <w:t>2.过去1年中开展过重点行业人群急救知识与技能培训，得3分；未开展，不得分。</w:t>
            </w:r>
          </w:p>
          <w:p>
            <w:pPr>
              <w:widowControl/>
              <w:rPr>
                <w:rFonts w:eastAsia="仿宋_GB2312"/>
                <w:color w:val="000000"/>
                <w:kern w:val="0"/>
                <w:sz w:val="20"/>
                <w:szCs w:val="21"/>
              </w:rPr>
            </w:pPr>
            <w:r>
              <w:rPr>
                <w:rFonts w:eastAsia="仿宋_GB2312"/>
                <w:color w:val="000000"/>
                <w:kern w:val="0"/>
                <w:sz w:val="20"/>
                <w:szCs w:val="21"/>
              </w:rPr>
              <w:t>3.向公众普及心肺复苏等急救技能，得3分；未开展，不得分。</w:t>
            </w:r>
          </w:p>
          <w:p>
            <w:pPr>
              <w:widowControl/>
              <w:rPr>
                <w:rFonts w:eastAsia="仿宋_GB2312"/>
                <w:color w:val="000000"/>
                <w:kern w:val="0"/>
                <w:sz w:val="20"/>
                <w:szCs w:val="21"/>
              </w:rPr>
            </w:pPr>
            <w:r>
              <w:rPr>
                <w:rFonts w:eastAsia="仿宋_GB2312"/>
                <w:color w:val="000000"/>
                <w:kern w:val="0"/>
                <w:sz w:val="20"/>
                <w:szCs w:val="21"/>
              </w:rPr>
              <w:t>该指标满分为10分。</w:t>
            </w:r>
          </w:p>
        </w:tc>
        <w:tc>
          <w:tcPr>
            <w:tcW w:w="567" w:type="dxa"/>
          </w:tcPr>
          <w:p>
            <w:pPr>
              <w:widowControl/>
              <w:rPr>
                <w:rFonts w:eastAsia="仿宋_GB2312"/>
                <w:color w:val="000000"/>
                <w:kern w:val="0"/>
                <w:sz w:val="20"/>
                <w:szCs w:val="21"/>
              </w:rPr>
            </w:pPr>
            <w:r>
              <w:rPr>
                <w:rFonts w:eastAsia="仿宋_GB2312"/>
                <w:color w:val="000000"/>
                <w:kern w:val="0"/>
                <w:sz w:val="20"/>
                <w:szCs w:val="21"/>
              </w:rPr>
              <w:t>10</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64.健康主题活动</w:t>
            </w:r>
          </w:p>
        </w:tc>
        <w:tc>
          <w:tcPr>
            <w:tcW w:w="3061" w:type="dxa"/>
          </w:tcPr>
          <w:p>
            <w:pPr>
              <w:widowControl/>
              <w:rPr>
                <w:rFonts w:eastAsia="仿宋_GB2312"/>
                <w:color w:val="000000"/>
                <w:kern w:val="0"/>
                <w:sz w:val="20"/>
                <w:szCs w:val="21"/>
              </w:rPr>
            </w:pPr>
            <w:r>
              <w:rPr>
                <w:rFonts w:eastAsia="仿宋_GB2312"/>
                <w:color w:val="000000"/>
                <w:kern w:val="0"/>
                <w:sz w:val="20"/>
                <w:szCs w:val="21"/>
              </w:rPr>
              <w:t>结合卫生健康相关节日、纪念日或者卫生健康重点工作，开展多部门参与的、有媒体深入宣传的健康主题活动，因地制宜建设健康小屋，普及健康知识和技能，努力营造良好的健康氛围。</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查阅资料：随机抽取2次健康主题活动的材料，了解活动开展情况。</w:t>
            </w:r>
          </w:p>
          <w:p>
            <w:pPr>
              <w:widowControl/>
              <w:rPr>
                <w:rFonts w:eastAsia="仿宋_GB2312"/>
                <w:color w:val="000000"/>
                <w:kern w:val="0"/>
                <w:sz w:val="20"/>
                <w:szCs w:val="21"/>
              </w:rPr>
            </w:pPr>
            <w:r>
              <w:rPr>
                <w:rFonts w:eastAsia="仿宋_GB2312"/>
                <w:color w:val="000000"/>
                <w:kern w:val="0"/>
                <w:sz w:val="20"/>
                <w:szCs w:val="21"/>
              </w:rPr>
              <w:t>资料来源：卫生健康等部门。</w:t>
            </w:r>
          </w:p>
        </w:tc>
        <w:tc>
          <w:tcPr>
            <w:tcW w:w="5545" w:type="dxa"/>
          </w:tcPr>
          <w:p>
            <w:pPr>
              <w:widowControl/>
              <w:rPr>
                <w:rFonts w:eastAsia="仿宋_GB2312"/>
                <w:color w:val="000000"/>
                <w:kern w:val="0"/>
                <w:sz w:val="20"/>
                <w:szCs w:val="21"/>
              </w:rPr>
            </w:pPr>
            <w:r>
              <w:rPr>
                <w:rFonts w:eastAsia="仿宋_GB2312"/>
                <w:color w:val="000000"/>
                <w:kern w:val="0"/>
                <w:sz w:val="20"/>
                <w:szCs w:val="21"/>
              </w:rPr>
              <w:t>针对被抽查的健康主题活动；</w:t>
            </w:r>
          </w:p>
          <w:p>
            <w:pPr>
              <w:widowControl/>
              <w:rPr>
                <w:rFonts w:eastAsia="仿宋_GB2312"/>
                <w:color w:val="000000"/>
                <w:kern w:val="0"/>
                <w:sz w:val="20"/>
                <w:szCs w:val="21"/>
              </w:rPr>
            </w:pPr>
            <w:r>
              <w:rPr>
                <w:rFonts w:eastAsia="仿宋_GB2312"/>
                <w:color w:val="000000"/>
                <w:kern w:val="0"/>
                <w:sz w:val="20"/>
                <w:szCs w:val="21"/>
              </w:rPr>
              <w:t>1.多部门联合举办，得3分；仅1个部门主办，得1分。</w:t>
            </w:r>
          </w:p>
          <w:p>
            <w:pPr>
              <w:widowControl/>
              <w:rPr>
                <w:rFonts w:eastAsia="仿宋_GB2312"/>
                <w:color w:val="000000"/>
                <w:kern w:val="0"/>
                <w:sz w:val="20"/>
                <w:szCs w:val="21"/>
              </w:rPr>
            </w:pPr>
            <w:r>
              <w:rPr>
                <w:rFonts w:eastAsia="仿宋_GB2312"/>
                <w:color w:val="000000"/>
                <w:kern w:val="0"/>
                <w:sz w:val="20"/>
                <w:szCs w:val="21"/>
              </w:rPr>
              <w:t>2.有媒体参与，得3分；无媒体参与，不得分。</w:t>
            </w:r>
          </w:p>
          <w:p>
            <w:pPr>
              <w:widowControl/>
              <w:rPr>
                <w:rFonts w:eastAsia="仿宋_GB2312"/>
                <w:color w:val="000000"/>
                <w:kern w:val="0"/>
                <w:sz w:val="20"/>
                <w:szCs w:val="21"/>
              </w:rPr>
            </w:pPr>
            <w:r>
              <w:rPr>
                <w:rFonts w:eastAsia="仿宋_GB2312"/>
                <w:color w:val="000000"/>
                <w:kern w:val="0"/>
                <w:sz w:val="20"/>
                <w:szCs w:val="21"/>
              </w:rPr>
              <w:t>2次活动满分为12分；未开展健康主题活动，不得分。</w:t>
            </w:r>
          </w:p>
        </w:tc>
        <w:tc>
          <w:tcPr>
            <w:tcW w:w="567" w:type="dxa"/>
          </w:tcPr>
          <w:p>
            <w:pPr>
              <w:widowControl/>
              <w:rPr>
                <w:rFonts w:eastAsia="仿宋_GB2312"/>
                <w:color w:val="000000"/>
                <w:kern w:val="0"/>
                <w:sz w:val="20"/>
                <w:szCs w:val="21"/>
              </w:rPr>
            </w:pPr>
            <w:r>
              <w:rPr>
                <w:rFonts w:eastAsia="仿宋_GB2312"/>
                <w:color w:val="000000"/>
                <w:kern w:val="0"/>
                <w:sz w:val="20"/>
                <w:szCs w:val="21"/>
              </w:rPr>
              <w:t>12</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65.提升居民健康素养水平</w:t>
            </w:r>
          </w:p>
        </w:tc>
        <w:tc>
          <w:tcPr>
            <w:tcW w:w="3061" w:type="dxa"/>
          </w:tcPr>
          <w:p>
            <w:pPr>
              <w:widowControl/>
              <w:rPr>
                <w:rFonts w:eastAsia="仿宋_GB2312"/>
                <w:color w:val="000000"/>
                <w:kern w:val="0"/>
                <w:sz w:val="20"/>
                <w:szCs w:val="21"/>
              </w:rPr>
            </w:pPr>
            <w:r>
              <w:rPr>
                <w:rFonts w:eastAsia="仿宋_GB2312"/>
                <w:color w:val="000000"/>
                <w:kern w:val="0"/>
                <w:sz w:val="20"/>
                <w:szCs w:val="21"/>
              </w:rPr>
              <w:t>使用国家统一的监测方案和问卷开展辖区居民健康素养监测，且相关统计调查工作经本级统计部门审核同意；健康素养水平不断提升。</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查阅资料：健康素养监测相关资料。</w:t>
            </w:r>
          </w:p>
          <w:p>
            <w:pPr>
              <w:widowControl/>
              <w:rPr>
                <w:rFonts w:eastAsia="仿宋_GB2312"/>
                <w:color w:val="000000"/>
                <w:kern w:val="0"/>
                <w:sz w:val="20"/>
                <w:szCs w:val="21"/>
              </w:rPr>
            </w:pPr>
            <w:r>
              <w:rPr>
                <w:rFonts w:eastAsia="仿宋_GB2312"/>
                <w:color w:val="000000"/>
                <w:kern w:val="0"/>
                <w:sz w:val="20"/>
                <w:szCs w:val="21"/>
              </w:rPr>
              <w:t>资料来源：健康教育专业机构。</w:t>
            </w:r>
          </w:p>
        </w:tc>
        <w:tc>
          <w:tcPr>
            <w:tcW w:w="5545" w:type="dxa"/>
          </w:tcPr>
          <w:p>
            <w:pPr>
              <w:widowControl/>
              <w:rPr>
                <w:rFonts w:eastAsia="仿宋_GB2312"/>
                <w:color w:val="000000"/>
                <w:kern w:val="0"/>
                <w:sz w:val="20"/>
                <w:szCs w:val="21"/>
              </w:rPr>
            </w:pPr>
            <w:r>
              <w:rPr>
                <w:rFonts w:eastAsia="仿宋_GB2312"/>
                <w:color w:val="000000"/>
                <w:kern w:val="0"/>
                <w:sz w:val="20"/>
                <w:szCs w:val="21"/>
              </w:rPr>
              <w:t>1.有监测方案，得2分；无方案，不得分。</w:t>
            </w:r>
          </w:p>
          <w:p>
            <w:pPr>
              <w:widowControl/>
              <w:rPr>
                <w:rFonts w:eastAsia="仿宋_GB2312"/>
                <w:color w:val="000000"/>
                <w:kern w:val="0"/>
                <w:sz w:val="20"/>
                <w:szCs w:val="21"/>
              </w:rPr>
            </w:pPr>
            <w:r>
              <w:rPr>
                <w:rFonts w:eastAsia="仿宋_GB2312"/>
                <w:color w:val="000000"/>
                <w:kern w:val="0"/>
                <w:sz w:val="20"/>
                <w:szCs w:val="21"/>
              </w:rPr>
              <w:t>2.有培训相关资料，得2分；未培训，不得分。</w:t>
            </w:r>
          </w:p>
          <w:p>
            <w:pPr>
              <w:widowControl/>
              <w:rPr>
                <w:rFonts w:eastAsia="仿宋_GB2312"/>
                <w:color w:val="000000"/>
                <w:kern w:val="0"/>
                <w:sz w:val="20"/>
                <w:szCs w:val="21"/>
              </w:rPr>
            </w:pPr>
            <w:r>
              <w:rPr>
                <w:rFonts w:eastAsia="仿宋_GB2312"/>
                <w:color w:val="000000"/>
                <w:kern w:val="0"/>
                <w:sz w:val="20"/>
                <w:szCs w:val="21"/>
              </w:rPr>
              <w:t>3.有原始数据库，得3分；无数据库，不得分。</w:t>
            </w:r>
          </w:p>
          <w:p>
            <w:pPr>
              <w:widowControl/>
              <w:rPr>
                <w:rFonts w:eastAsia="仿宋_GB2312"/>
                <w:color w:val="000000"/>
                <w:kern w:val="0"/>
                <w:sz w:val="20"/>
                <w:szCs w:val="21"/>
              </w:rPr>
            </w:pPr>
            <w:r>
              <w:rPr>
                <w:rFonts w:eastAsia="仿宋_GB2312"/>
                <w:color w:val="000000"/>
                <w:kern w:val="0"/>
                <w:sz w:val="20"/>
                <w:szCs w:val="21"/>
              </w:rPr>
              <w:t>4.有监测报告，得3分；无报告，不得分。</w:t>
            </w:r>
          </w:p>
          <w:p>
            <w:pPr>
              <w:widowControl/>
              <w:rPr>
                <w:rFonts w:eastAsia="仿宋_GB2312"/>
                <w:color w:val="000000"/>
                <w:kern w:val="0"/>
                <w:sz w:val="20"/>
                <w:szCs w:val="21"/>
              </w:rPr>
            </w:pPr>
            <w:r>
              <w:rPr>
                <w:rFonts w:eastAsia="仿宋_GB2312"/>
                <w:color w:val="000000"/>
                <w:kern w:val="0"/>
                <w:sz w:val="20"/>
                <w:szCs w:val="21"/>
              </w:rPr>
              <w:t>5.健康素养水平高于本省平均水平，或近3年呈上升趋势，得6分；低于本省平均水平或近3年呈下降趋势，不得分。</w:t>
            </w:r>
          </w:p>
          <w:p>
            <w:pPr>
              <w:widowControl/>
              <w:rPr>
                <w:rFonts w:eastAsia="仿宋_GB2312"/>
                <w:color w:val="000000"/>
                <w:kern w:val="0"/>
                <w:sz w:val="20"/>
                <w:szCs w:val="21"/>
              </w:rPr>
            </w:pPr>
            <w:r>
              <w:rPr>
                <w:rFonts w:eastAsia="仿宋_GB2312"/>
                <w:color w:val="000000"/>
                <w:kern w:val="0"/>
                <w:sz w:val="20"/>
                <w:szCs w:val="21"/>
              </w:rPr>
              <w:t>该指标满分为16分。</w:t>
            </w:r>
          </w:p>
        </w:tc>
        <w:tc>
          <w:tcPr>
            <w:tcW w:w="567" w:type="dxa"/>
          </w:tcPr>
          <w:p>
            <w:pPr>
              <w:widowControl/>
              <w:spacing w:line="400" w:lineRule="atLeast"/>
              <w:rPr>
                <w:rFonts w:eastAsia="仿宋_GB2312"/>
                <w:kern w:val="0"/>
                <w:sz w:val="20"/>
                <w:szCs w:val="21"/>
              </w:rPr>
            </w:pPr>
            <w:r>
              <w:rPr>
                <w:rFonts w:eastAsia="仿宋_GB2312"/>
                <w:color w:val="000000"/>
                <w:kern w:val="0"/>
                <w:sz w:val="20"/>
                <w:szCs w:val="21"/>
              </w:rPr>
              <w:t>16</w:t>
            </w:r>
          </w:p>
        </w:tc>
        <w:tc>
          <w:tcPr>
            <w:tcW w:w="567" w:type="dxa"/>
          </w:tcPr>
          <w:p>
            <w:pPr>
              <w:widowControl/>
              <w:spacing w:line="400" w:lineRule="atLeast"/>
              <w:rPr>
                <w:rFonts w:eastAsia="仿宋_GB2312"/>
                <w:color w:val="000000"/>
                <w:kern w:val="0"/>
                <w:sz w:val="20"/>
                <w:szCs w:val="21"/>
              </w:rPr>
            </w:pPr>
          </w:p>
        </w:tc>
        <w:tc>
          <w:tcPr>
            <w:tcW w:w="809" w:type="dxa"/>
          </w:tcPr>
          <w:p>
            <w:pPr>
              <w:widowControl/>
              <w:spacing w:line="400" w:lineRule="atLeast"/>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kern w:val="0"/>
                <w:sz w:val="20"/>
                <w:szCs w:val="21"/>
              </w:rPr>
            </w:pPr>
            <w:r>
              <w:rPr>
                <w:rFonts w:eastAsia="仿宋_GB2312"/>
                <w:kern w:val="0"/>
                <w:sz w:val="20"/>
                <w:szCs w:val="21"/>
              </w:rPr>
              <w:t>66.健康教育纳入医疗卫生机构绩效考核</w:t>
            </w:r>
          </w:p>
        </w:tc>
        <w:tc>
          <w:tcPr>
            <w:tcW w:w="3061" w:type="dxa"/>
          </w:tcPr>
          <w:p>
            <w:pPr>
              <w:widowControl/>
              <w:rPr>
                <w:rFonts w:eastAsia="仿宋_GB2312"/>
                <w:kern w:val="0"/>
                <w:sz w:val="20"/>
                <w:szCs w:val="21"/>
              </w:rPr>
            </w:pPr>
            <w:r>
              <w:rPr>
                <w:rFonts w:eastAsia="仿宋_GB2312"/>
                <w:kern w:val="0"/>
                <w:sz w:val="20"/>
                <w:szCs w:val="21"/>
              </w:rPr>
              <w:t>县区卫生健康行政部门将健康教育工作纳入各级医疗卫生机构绩效考核，纳入医务人员日常业务考核以及评先评优、职称晋升的考核内容。</w:t>
            </w:r>
          </w:p>
        </w:tc>
        <w:tc>
          <w:tcPr>
            <w:tcW w:w="2551" w:type="dxa"/>
          </w:tcPr>
          <w:p>
            <w:pPr>
              <w:widowControl/>
              <w:rPr>
                <w:rFonts w:eastAsia="仿宋_GB2312"/>
                <w:kern w:val="0"/>
                <w:sz w:val="20"/>
                <w:szCs w:val="21"/>
              </w:rPr>
            </w:pPr>
            <w:r>
              <w:rPr>
                <w:rFonts w:eastAsia="仿宋_GB2312"/>
                <w:kern w:val="0"/>
                <w:sz w:val="20"/>
                <w:szCs w:val="21"/>
              </w:rPr>
              <w:t>查阅资料：绩效考核相关资料。</w:t>
            </w:r>
          </w:p>
          <w:p>
            <w:pPr>
              <w:widowControl/>
              <w:rPr>
                <w:rFonts w:eastAsia="仿宋_GB2312"/>
                <w:kern w:val="0"/>
                <w:sz w:val="20"/>
                <w:szCs w:val="21"/>
              </w:rPr>
            </w:pPr>
            <w:r>
              <w:rPr>
                <w:rFonts w:eastAsia="仿宋_GB2312"/>
                <w:kern w:val="0"/>
                <w:sz w:val="20"/>
                <w:szCs w:val="21"/>
              </w:rPr>
              <w:t>资料来源：卫生健康行政部门及各级医疗卫生机构等。</w:t>
            </w:r>
          </w:p>
          <w:p>
            <w:pPr>
              <w:widowControl/>
              <w:rPr>
                <w:rFonts w:eastAsia="仿宋_GB2312"/>
                <w:kern w:val="0"/>
                <w:sz w:val="20"/>
                <w:szCs w:val="21"/>
              </w:rPr>
            </w:pPr>
            <w:r>
              <w:rPr>
                <w:rFonts w:eastAsia="仿宋_GB2312"/>
                <w:kern w:val="0"/>
                <w:sz w:val="20"/>
                <w:szCs w:val="21"/>
              </w:rPr>
              <w:t>现场抽查:抽取1家县级医院和1家乡镇卫生院，了解将健康教育纳入绩效考核情况。</w:t>
            </w:r>
          </w:p>
        </w:tc>
        <w:tc>
          <w:tcPr>
            <w:tcW w:w="5545" w:type="dxa"/>
          </w:tcPr>
          <w:p>
            <w:pPr>
              <w:widowControl/>
              <w:rPr>
                <w:rFonts w:eastAsia="仿宋_GB2312"/>
                <w:kern w:val="0"/>
                <w:sz w:val="20"/>
                <w:szCs w:val="21"/>
              </w:rPr>
            </w:pPr>
            <w:r>
              <w:rPr>
                <w:rFonts w:eastAsia="仿宋_GB2312"/>
                <w:kern w:val="0"/>
                <w:sz w:val="20"/>
                <w:szCs w:val="21"/>
              </w:rPr>
              <w:t>1.有关于将健康教育纳入医疗卫生机构绩效考核的文件，得4分；无文件，不得分。</w:t>
            </w:r>
          </w:p>
          <w:p>
            <w:pPr>
              <w:widowControl/>
              <w:rPr>
                <w:rFonts w:eastAsia="仿宋_GB2312"/>
                <w:kern w:val="0"/>
                <w:sz w:val="20"/>
                <w:szCs w:val="21"/>
              </w:rPr>
            </w:pPr>
            <w:r>
              <w:rPr>
                <w:rFonts w:eastAsia="仿宋_GB2312"/>
                <w:kern w:val="0"/>
                <w:sz w:val="20"/>
                <w:szCs w:val="21"/>
              </w:rPr>
              <w:t>2.</w:t>
            </w:r>
            <w:r>
              <w:rPr>
                <w:rFonts w:eastAsia="仿宋_GB2312"/>
                <w:color w:val="000000"/>
                <w:kern w:val="0"/>
                <w:sz w:val="20"/>
                <w:szCs w:val="21"/>
              </w:rPr>
              <w:t>见现场打分。</w:t>
            </w:r>
            <w:r>
              <w:rPr>
                <w:rFonts w:eastAsia="仿宋_GB2312"/>
                <w:kern w:val="0"/>
                <w:sz w:val="20"/>
                <w:szCs w:val="21"/>
              </w:rPr>
              <w:t xml:space="preserve"> </w:t>
            </w:r>
          </w:p>
          <w:p>
            <w:pPr>
              <w:widowControl/>
              <w:rPr>
                <w:rFonts w:eastAsia="仿宋_GB2312"/>
                <w:kern w:val="0"/>
                <w:sz w:val="20"/>
                <w:szCs w:val="21"/>
              </w:rPr>
            </w:pPr>
            <w:r>
              <w:rPr>
                <w:rFonts w:eastAsia="仿宋_GB2312"/>
                <w:kern w:val="0"/>
                <w:sz w:val="20"/>
                <w:szCs w:val="21"/>
              </w:rPr>
              <w:t>该指标满分为8分。</w:t>
            </w:r>
          </w:p>
        </w:tc>
        <w:tc>
          <w:tcPr>
            <w:tcW w:w="567" w:type="dxa"/>
          </w:tcPr>
          <w:p>
            <w:pPr>
              <w:widowControl/>
              <w:spacing w:line="400" w:lineRule="atLeast"/>
              <w:rPr>
                <w:rFonts w:eastAsia="仿宋_GB2312"/>
                <w:kern w:val="0"/>
                <w:sz w:val="20"/>
                <w:szCs w:val="21"/>
              </w:rPr>
            </w:pPr>
            <w:r>
              <w:rPr>
                <w:rFonts w:eastAsia="仿宋_GB2312"/>
                <w:kern w:val="0"/>
                <w:sz w:val="20"/>
                <w:szCs w:val="21"/>
              </w:rPr>
              <w:t>4</w:t>
            </w:r>
          </w:p>
        </w:tc>
        <w:tc>
          <w:tcPr>
            <w:tcW w:w="567" w:type="dxa"/>
          </w:tcPr>
          <w:p>
            <w:pPr>
              <w:widowControl/>
              <w:spacing w:line="400" w:lineRule="atLeast"/>
              <w:rPr>
                <w:rFonts w:eastAsia="仿宋_GB2312"/>
                <w:kern w:val="0"/>
                <w:sz w:val="20"/>
                <w:szCs w:val="21"/>
              </w:rPr>
            </w:pPr>
          </w:p>
        </w:tc>
        <w:tc>
          <w:tcPr>
            <w:tcW w:w="809" w:type="dxa"/>
          </w:tcPr>
          <w:p>
            <w:pPr>
              <w:widowControl/>
              <w:spacing w:line="400" w:lineRule="atLeast"/>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kern w:val="0"/>
                <w:sz w:val="20"/>
                <w:szCs w:val="21"/>
              </w:rPr>
            </w:pPr>
            <w:r>
              <w:rPr>
                <w:rFonts w:eastAsia="仿宋_GB2312"/>
                <w:kern w:val="0"/>
                <w:sz w:val="20"/>
                <w:szCs w:val="21"/>
              </w:rPr>
              <w:t>68.医疗卫生人员开展健康科普</w:t>
            </w:r>
          </w:p>
        </w:tc>
        <w:tc>
          <w:tcPr>
            <w:tcW w:w="3061" w:type="dxa"/>
          </w:tcPr>
          <w:p>
            <w:pPr>
              <w:widowControl/>
              <w:rPr>
                <w:rFonts w:eastAsia="仿宋_GB2312"/>
                <w:kern w:val="0"/>
                <w:sz w:val="20"/>
                <w:szCs w:val="21"/>
              </w:rPr>
            </w:pPr>
            <w:r>
              <w:rPr>
                <w:rFonts w:eastAsia="仿宋_GB2312"/>
                <w:kern w:val="0"/>
                <w:sz w:val="20"/>
                <w:szCs w:val="21"/>
              </w:rPr>
              <w:t>建立县域健康科普专家库，定期组织专家深入社区、单位、学校等场所开展健康讲座和健康咨询。鼓励和规范医务人员利用各类媒体开展健康科普。</w:t>
            </w:r>
          </w:p>
        </w:tc>
        <w:tc>
          <w:tcPr>
            <w:tcW w:w="2551" w:type="dxa"/>
          </w:tcPr>
          <w:p>
            <w:pPr>
              <w:widowControl/>
              <w:rPr>
                <w:rFonts w:eastAsia="仿宋_GB2312"/>
                <w:kern w:val="0"/>
                <w:sz w:val="20"/>
                <w:szCs w:val="21"/>
              </w:rPr>
            </w:pPr>
            <w:r>
              <w:rPr>
                <w:rFonts w:eastAsia="仿宋_GB2312"/>
                <w:kern w:val="0"/>
                <w:sz w:val="20"/>
                <w:szCs w:val="21"/>
              </w:rPr>
              <w:t>查阅资料：健康科普专家库及医务人员参与媒体健康科普相关工作资料等。</w:t>
            </w:r>
          </w:p>
          <w:p>
            <w:pPr>
              <w:widowControl/>
              <w:rPr>
                <w:rFonts w:eastAsia="仿宋_GB2312"/>
                <w:kern w:val="0"/>
                <w:sz w:val="20"/>
                <w:szCs w:val="21"/>
              </w:rPr>
            </w:pPr>
            <w:r>
              <w:rPr>
                <w:rFonts w:eastAsia="仿宋_GB2312"/>
                <w:kern w:val="0"/>
                <w:sz w:val="20"/>
                <w:szCs w:val="21"/>
              </w:rPr>
              <w:t>资料来源：卫生健康部门。</w:t>
            </w:r>
          </w:p>
        </w:tc>
        <w:tc>
          <w:tcPr>
            <w:tcW w:w="5545" w:type="dxa"/>
          </w:tcPr>
          <w:p>
            <w:pPr>
              <w:widowControl/>
              <w:rPr>
                <w:rFonts w:eastAsia="仿宋_GB2312"/>
                <w:kern w:val="0"/>
                <w:sz w:val="20"/>
                <w:szCs w:val="21"/>
              </w:rPr>
            </w:pPr>
            <w:r>
              <w:rPr>
                <w:rFonts w:eastAsia="仿宋_GB2312"/>
                <w:kern w:val="0"/>
                <w:sz w:val="20"/>
                <w:szCs w:val="21"/>
              </w:rPr>
              <w:t>1.建立县级健康科普专家库，得2分；未建立，不得分。</w:t>
            </w:r>
          </w:p>
          <w:p>
            <w:pPr>
              <w:widowControl/>
              <w:rPr>
                <w:rFonts w:eastAsia="仿宋_GB2312"/>
                <w:kern w:val="0"/>
                <w:sz w:val="20"/>
                <w:szCs w:val="21"/>
              </w:rPr>
            </w:pPr>
            <w:r>
              <w:rPr>
                <w:rFonts w:eastAsia="仿宋_GB2312"/>
                <w:kern w:val="0"/>
                <w:sz w:val="20"/>
                <w:szCs w:val="21"/>
              </w:rPr>
              <w:t>2.组织专家深入社区、单位、学校等场所开展健康讲座和健康咨询，有工作记录，得3分；无工作记录，不得分。</w:t>
            </w:r>
          </w:p>
          <w:p>
            <w:pPr>
              <w:widowControl/>
              <w:rPr>
                <w:rFonts w:eastAsia="仿宋_GB2312"/>
                <w:kern w:val="0"/>
                <w:sz w:val="20"/>
                <w:szCs w:val="21"/>
              </w:rPr>
            </w:pPr>
            <w:r>
              <w:rPr>
                <w:rFonts w:eastAsia="仿宋_GB2312"/>
                <w:kern w:val="0"/>
                <w:sz w:val="20"/>
                <w:szCs w:val="21"/>
              </w:rPr>
              <w:t>3.县级出台医务人员参与媒体健康科普的工作制度或规范，得2分；无制度或规范，不得分。</w:t>
            </w:r>
          </w:p>
          <w:p>
            <w:pPr>
              <w:widowControl/>
              <w:rPr>
                <w:rFonts w:eastAsia="仿宋_GB2312"/>
                <w:kern w:val="0"/>
                <w:sz w:val="20"/>
                <w:szCs w:val="21"/>
              </w:rPr>
            </w:pPr>
            <w:r>
              <w:rPr>
                <w:rFonts w:eastAsia="仿宋_GB2312"/>
                <w:kern w:val="0"/>
                <w:sz w:val="20"/>
                <w:szCs w:val="21"/>
              </w:rPr>
              <w:t>4.医务人员利用各类媒体开展健康科普，有工作记录，得3分；未开展或无记录，不得分。</w:t>
            </w:r>
          </w:p>
          <w:p>
            <w:pPr>
              <w:widowControl/>
              <w:rPr>
                <w:rFonts w:eastAsia="仿宋_GB2312"/>
                <w:kern w:val="0"/>
                <w:sz w:val="20"/>
                <w:szCs w:val="21"/>
              </w:rPr>
            </w:pPr>
            <w:r>
              <w:rPr>
                <w:rFonts w:eastAsia="仿宋_GB2312"/>
                <w:kern w:val="0"/>
                <w:sz w:val="20"/>
                <w:szCs w:val="21"/>
              </w:rPr>
              <w:t>该指标满分为10分。</w:t>
            </w:r>
          </w:p>
        </w:tc>
        <w:tc>
          <w:tcPr>
            <w:tcW w:w="567" w:type="dxa"/>
          </w:tcPr>
          <w:p>
            <w:pPr>
              <w:widowControl/>
              <w:spacing w:line="400" w:lineRule="atLeast"/>
              <w:rPr>
                <w:rFonts w:eastAsia="仿宋_GB2312"/>
                <w:kern w:val="0"/>
                <w:sz w:val="20"/>
                <w:szCs w:val="21"/>
              </w:rPr>
            </w:pPr>
            <w:r>
              <w:rPr>
                <w:rFonts w:eastAsia="仿宋_GB2312"/>
                <w:kern w:val="0"/>
                <w:sz w:val="20"/>
                <w:szCs w:val="21"/>
              </w:rPr>
              <w:t>10</w:t>
            </w:r>
          </w:p>
        </w:tc>
        <w:tc>
          <w:tcPr>
            <w:tcW w:w="567" w:type="dxa"/>
          </w:tcPr>
          <w:p>
            <w:pPr>
              <w:widowControl/>
              <w:spacing w:line="400" w:lineRule="atLeast"/>
              <w:rPr>
                <w:rFonts w:eastAsia="仿宋_GB2312"/>
                <w:kern w:val="0"/>
                <w:sz w:val="20"/>
                <w:szCs w:val="21"/>
              </w:rPr>
            </w:pPr>
          </w:p>
        </w:tc>
        <w:tc>
          <w:tcPr>
            <w:tcW w:w="809" w:type="dxa"/>
          </w:tcPr>
          <w:p>
            <w:pPr>
              <w:widowControl/>
              <w:spacing w:line="400" w:lineRule="atLeast"/>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kern w:val="0"/>
                <w:sz w:val="20"/>
                <w:szCs w:val="21"/>
              </w:rPr>
            </w:pPr>
            <w:r>
              <w:rPr>
                <w:rFonts w:eastAsia="仿宋_GB2312"/>
                <w:kern w:val="0"/>
                <w:sz w:val="20"/>
                <w:szCs w:val="21"/>
              </w:rPr>
              <w:t>69.县级中医医院特色专科建设</w:t>
            </w:r>
          </w:p>
        </w:tc>
        <w:tc>
          <w:tcPr>
            <w:tcW w:w="3061" w:type="dxa"/>
          </w:tcPr>
          <w:p>
            <w:pPr>
              <w:widowControl/>
              <w:rPr>
                <w:rFonts w:eastAsia="仿宋_GB2312"/>
                <w:kern w:val="0"/>
                <w:sz w:val="20"/>
                <w:szCs w:val="21"/>
              </w:rPr>
            </w:pPr>
            <w:r>
              <w:rPr>
                <w:rFonts w:eastAsia="仿宋_GB2312"/>
                <w:kern w:val="0"/>
                <w:sz w:val="20"/>
                <w:szCs w:val="21"/>
              </w:rPr>
              <w:t>开展县级中医医院特色专科建设，逐步建立健全适宜技术推广工作机制。</w:t>
            </w:r>
          </w:p>
        </w:tc>
        <w:tc>
          <w:tcPr>
            <w:tcW w:w="2551" w:type="dxa"/>
          </w:tcPr>
          <w:p>
            <w:pPr>
              <w:widowControl/>
              <w:rPr>
                <w:rFonts w:eastAsia="仿宋_GB2312"/>
                <w:kern w:val="0"/>
                <w:sz w:val="20"/>
                <w:szCs w:val="21"/>
              </w:rPr>
            </w:pPr>
            <w:r>
              <w:rPr>
                <w:rFonts w:eastAsia="仿宋_GB2312"/>
                <w:kern w:val="0"/>
                <w:sz w:val="20"/>
                <w:szCs w:val="21"/>
              </w:rPr>
              <w:t>查阅资料：各县级中医医院特色专科建设相关资料。</w:t>
            </w:r>
          </w:p>
          <w:p>
            <w:pPr>
              <w:widowControl/>
              <w:rPr>
                <w:rFonts w:eastAsia="仿宋_GB2312"/>
                <w:kern w:val="0"/>
                <w:sz w:val="20"/>
                <w:szCs w:val="21"/>
              </w:rPr>
            </w:pPr>
            <w:r>
              <w:rPr>
                <w:rFonts w:eastAsia="仿宋_GB2312"/>
                <w:kern w:val="0"/>
                <w:sz w:val="20"/>
                <w:szCs w:val="21"/>
              </w:rPr>
              <w:t>资料来源：相关部门。</w:t>
            </w:r>
          </w:p>
        </w:tc>
        <w:tc>
          <w:tcPr>
            <w:tcW w:w="5545" w:type="dxa"/>
          </w:tcPr>
          <w:p>
            <w:pPr>
              <w:widowControl/>
              <w:rPr>
                <w:rFonts w:eastAsia="仿宋_GB2312"/>
                <w:kern w:val="0"/>
                <w:sz w:val="20"/>
                <w:szCs w:val="21"/>
              </w:rPr>
            </w:pPr>
            <w:r>
              <w:rPr>
                <w:rFonts w:eastAsia="仿宋_GB2312"/>
                <w:kern w:val="0"/>
                <w:sz w:val="20"/>
                <w:szCs w:val="21"/>
              </w:rPr>
              <w:t>1.县级中医医院完成2个中医特色优势专科的建设任务，得4分；完成1个建设任务，得2分；未完成建设任务，不得分。</w:t>
            </w:r>
          </w:p>
          <w:p>
            <w:pPr>
              <w:widowControl/>
              <w:rPr>
                <w:rFonts w:eastAsia="仿宋_GB2312"/>
                <w:kern w:val="0"/>
                <w:sz w:val="20"/>
                <w:szCs w:val="21"/>
              </w:rPr>
            </w:pPr>
            <w:r>
              <w:rPr>
                <w:rFonts w:eastAsia="仿宋_GB2312"/>
                <w:kern w:val="0"/>
                <w:sz w:val="20"/>
                <w:szCs w:val="21"/>
              </w:rPr>
              <w:t>2.出台中医药适宜技术推广责任制的相关文件，得2分；未出台文件，不得分。</w:t>
            </w:r>
          </w:p>
          <w:p>
            <w:pPr>
              <w:widowControl/>
              <w:rPr>
                <w:rFonts w:eastAsia="仿宋_GB2312"/>
                <w:kern w:val="0"/>
                <w:sz w:val="20"/>
                <w:szCs w:val="21"/>
              </w:rPr>
            </w:pPr>
            <w:r>
              <w:rPr>
                <w:rFonts w:eastAsia="仿宋_GB2312"/>
                <w:kern w:val="0"/>
                <w:sz w:val="20"/>
                <w:szCs w:val="21"/>
              </w:rPr>
              <w:t>该指标满分为6分。</w:t>
            </w:r>
          </w:p>
        </w:tc>
        <w:tc>
          <w:tcPr>
            <w:tcW w:w="567" w:type="dxa"/>
          </w:tcPr>
          <w:p>
            <w:pPr>
              <w:widowControl/>
              <w:spacing w:line="400" w:lineRule="atLeast"/>
              <w:rPr>
                <w:rFonts w:eastAsia="仿宋_GB2312"/>
                <w:kern w:val="0"/>
                <w:sz w:val="20"/>
                <w:szCs w:val="21"/>
              </w:rPr>
            </w:pPr>
            <w:r>
              <w:rPr>
                <w:rFonts w:eastAsia="仿宋_GB2312"/>
                <w:kern w:val="0"/>
                <w:sz w:val="20"/>
                <w:szCs w:val="21"/>
              </w:rPr>
              <w:t>6</w:t>
            </w:r>
          </w:p>
        </w:tc>
        <w:tc>
          <w:tcPr>
            <w:tcW w:w="567" w:type="dxa"/>
          </w:tcPr>
          <w:p>
            <w:pPr>
              <w:widowControl/>
              <w:spacing w:line="400" w:lineRule="atLeast"/>
              <w:rPr>
                <w:rFonts w:eastAsia="仿宋_GB2312"/>
                <w:kern w:val="0"/>
                <w:sz w:val="20"/>
                <w:szCs w:val="21"/>
              </w:rPr>
            </w:pPr>
          </w:p>
        </w:tc>
        <w:tc>
          <w:tcPr>
            <w:tcW w:w="809" w:type="dxa"/>
          </w:tcPr>
          <w:p>
            <w:pPr>
              <w:widowControl/>
              <w:spacing w:line="400" w:lineRule="atLeast"/>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kern w:val="0"/>
                <w:sz w:val="20"/>
                <w:szCs w:val="21"/>
              </w:rPr>
            </w:pPr>
            <w:r>
              <w:rPr>
                <w:rFonts w:eastAsia="仿宋_GB2312"/>
                <w:kern w:val="0"/>
                <w:sz w:val="20"/>
                <w:szCs w:val="21"/>
              </w:rPr>
              <w:t>70.基层医疗卫生机构中医药服务能力</w:t>
            </w:r>
          </w:p>
        </w:tc>
        <w:tc>
          <w:tcPr>
            <w:tcW w:w="3061" w:type="dxa"/>
          </w:tcPr>
          <w:p>
            <w:pPr>
              <w:widowControl/>
              <w:rPr>
                <w:rFonts w:eastAsia="仿宋_GB2312"/>
                <w:kern w:val="0"/>
                <w:sz w:val="20"/>
                <w:szCs w:val="21"/>
              </w:rPr>
            </w:pPr>
            <w:r>
              <w:rPr>
                <w:rFonts w:eastAsia="仿宋_GB2312"/>
                <w:kern w:val="0"/>
                <w:sz w:val="20"/>
                <w:szCs w:val="21"/>
              </w:rPr>
              <w:t>辖区乡镇卫生院和社区卫生服务中心设置中医馆、配备中医师。建立相对独立的中医馆（中医综合服务区），达到服务标准和中医师配置标准、逐步完善服务内涵建设、接入健康信息平台并开展远程医疗服务。</w:t>
            </w:r>
          </w:p>
        </w:tc>
        <w:tc>
          <w:tcPr>
            <w:tcW w:w="2551" w:type="dxa"/>
          </w:tcPr>
          <w:p>
            <w:pPr>
              <w:widowControl/>
              <w:rPr>
                <w:rFonts w:eastAsia="仿宋_GB2312"/>
                <w:kern w:val="0"/>
                <w:sz w:val="20"/>
                <w:szCs w:val="21"/>
              </w:rPr>
            </w:pPr>
            <w:r>
              <w:rPr>
                <w:rFonts w:eastAsia="仿宋_GB2312"/>
                <w:kern w:val="0"/>
                <w:sz w:val="20"/>
                <w:szCs w:val="21"/>
              </w:rPr>
              <w:t>查阅资料：中医馆建设和运行相关资料。</w:t>
            </w:r>
          </w:p>
          <w:p>
            <w:pPr>
              <w:widowControl/>
              <w:rPr>
                <w:rFonts w:eastAsia="仿宋_GB2312"/>
                <w:kern w:val="0"/>
                <w:sz w:val="20"/>
                <w:szCs w:val="21"/>
              </w:rPr>
            </w:pPr>
            <w:r>
              <w:rPr>
                <w:rFonts w:eastAsia="仿宋_GB2312"/>
                <w:kern w:val="0"/>
                <w:sz w:val="20"/>
                <w:szCs w:val="21"/>
              </w:rPr>
              <w:t>资料来源：卫生健康等部门。</w:t>
            </w:r>
          </w:p>
        </w:tc>
        <w:tc>
          <w:tcPr>
            <w:tcW w:w="5545" w:type="dxa"/>
          </w:tcPr>
          <w:p>
            <w:pPr>
              <w:widowControl/>
              <w:rPr>
                <w:rFonts w:eastAsia="仿宋_GB2312"/>
                <w:kern w:val="0"/>
                <w:sz w:val="20"/>
                <w:szCs w:val="21"/>
              </w:rPr>
            </w:pPr>
            <w:r>
              <w:rPr>
                <w:rFonts w:eastAsia="仿宋_GB2312"/>
                <w:kern w:val="0"/>
                <w:sz w:val="20"/>
                <w:szCs w:val="21"/>
              </w:rPr>
              <w:t>1.达标建设中医馆（中医综合服务区）的社区卫生服务中心占比达到100%，得5分；≥80%且＜100%，得3分；＜80%，得1分；未建设，不得分。</w:t>
            </w:r>
          </w:p>
          <w:p>
            <w:pPr>
              <w:widowControl/>
              <w:rPr>
                <w:rFonts w:eastAsia="仿宋_GB2312"/>
                <w:kern w:val="0"/>
                <w:sz w:val="20"/>
                <w:szCs w:val="21"/>
              </w:rPr>
            </w:pPr>
            <w:r>
              <w:rPr>
                <w:rFonts w:eastAsia="仿宋_GB2312"/>
                <w:kern w:val="0"/>
                <w:sz w:val="20"/>
                <w:szCs w:val="21"/>
              </w:rPr>
              <w:t>2.达标建设中医馆（中医综合服务区）的乡镇卫生院占比达到100%，得5分；≥80%且＜100%，得3分；＜80%，得1分；未建设，不得分。</w:t>
            </w:r>
          </w:p>
          <w:p>
            <w:pPr>
              <w:widowControl/>
              <w:rPr>
                <w:rFonts w:eastAsia="仿宋_GB2312"/>
                <w:kern w:val="0"/>
                <w:sz w:val="20"/>
                <w:szCs w:val="21"/>
              </w:rPr>
            </w:pPr>
            <w:r>
              <w:rPr>
                <w:rFonts w:eastAsia="仿宋_GB2312"/>
                <w:kern w:val="0"/>
                <w:sz w:val="20"/>
                <w:szCs w:val="21"/>
              </w:rPr>
              <w:t>该指标满分为10分。</w:t>
            </w:r>
          </w:p>
        </w:tc>
        <w:tc>
          <w:tcPr>
            <w:tcW w:w="567" w:type="dxa"/>
          </w:tcPr>
          <w:p>
            <w:pPr>
              <w:widowControl/>
              <w:spacing w:line="400" w:lineRule="atLeast"/>
              <w:rPr>
                <w:rFonts w:eastAsia="仿宋_GB2312"/>
                <w:kern w:val="0"/>
                <w:sz w:val="20"/>
                <w:szCs w:val="21"/>
              </w:rPr>
            </w:pPr>
            <w:r>
              <w:rPr>
                <w:rFonts w:eastAsia="仿宋_GB2312"/>
                <w:kern w:val="0"/>
                <w:sz w:val="20"/>
                <w:szCs w:val="21"/>
              </w:rPr>
              <w:t>10</w:t>
            </w:r>
          </w:p>
        </w:tc>
        <w:tc>
          <w:tcPr>
            <w:tcW w:w="567" w:type="dxa"/>
          </w:tcPr>
          <w:p>
            <w:pPr>
              <w:widowControl/>
              <w:spacing w:line="400" w:lineRule="atLeast"/>
              <w:rPr>
                <w:rFonts w:eastAsia="仿宋_GB2312"/>
                <w:kern w:val="0"/>
                <w:sz w:val="20"/>
                <w:szCs w:val="21"/>
              </w:rPr>
            </w:pPr>
          </w:p>
        </w:tc>
        <w:tc>
          <w:tcPr>
            <w:tcW w:w="809" w:type="dxa"/>
          </w:tcPr>
          <w:p>
            <w:pPr>
              <w:widowControl/>
              <w:spacing w:line="400" w:lineRule="atLeast"/>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400" w:lineRule="atLeast"/>
              <w:rPr>
                <w:rFonts w:eastAsia="仿宋_GB2312"/>
                <w:color w:val="000000"/>
                <w:kern w:val="0"/>
                <w:sz w:val="20"/>
                <w:szCs w:val="21"/>
              </w:rPr>
            </w:pPr>
          </w:p>
        </w:tc>
        <w:tc>
          <w:tcPr>
            <w:tcW w:w="1020" w:type="dxa"/>
          </w:tcPr>
          <w:p>
            <w:pPr>
              <w:widowControl/>
              <w:rPr>
                <w:rFonts w:eastAsia="仿宋_GB2312"/>
                <w:kern w:val="0"/>
                <w:sz w:val="20"/>
                <w:szCs w:val="21"/>
              </w:rPr>
            </w:pPr>
            <w:r>
              <w:rPr>
                <w:rFonts w:eastAsia="仿宋_GB2312"/>
                <w:kern w:val="0"/>
                <w:sz w:val="20"/>
                <w:szCs w:val="21"/>
              </w:rPr>
              <w:t>72.传承中医药文化</w:t>
            </w:r>
          </w:p>
        </w:tc>
        <w:tc>
          <w:tcPr>
            <w:tcW w:w="3061" w:type="dxa"/>
          </w:tcPr>
          <w:p>
            <w:pPr>
              <w:widowControl/>
              <w:rPr>
                <w:rFonts w:eastAsia="仿宋_GB2312"/>
                <w:kern w:val="0"/>
                <w:sz w:val="20"/>
                <w:szCs w:val="21"/>
              </w:rPr>
            </w:pPr>
            <w:r>
              <w:rPr>
                <w:rFonts w:eastAsia="仿宋_GB2312"/>
                <w:kern w:val="0"/>
                <w:sz w:val="20"/>
                <w:szCs w:val="21"/>
              </w:rPr>
              <w:t>依托县级医院设置中医健康宣教基地；在社区卫生服务中心、乡镇卫生院、基层中医馆、社区居委会、乡村群众活动场所等建设一批中医药健康文化知识角；建设中医药科普专家队伍，组织开展中医药文化科普巡讲活动；将中医药科普知识和《中国公民中医养生保健素养》作为健康教育重要内容。</w:t>
            </w:r>
          </w:p>
        </w:tc>
        <w:tc>
          <w:tcPr>
            <w:tcW w:w="2551" w:type="dxa"/>
          </w:tcPr>
          <w:p>
            <w:pPr>
              <w:widowControl/>
              <w:rPr>
                <w:rFonts w:eastAsia="仿宋_GB2312"/>
                <w:kern w:val="0"/>
                <w:sz w:val="20"/>
                <w:szCs w:val="21"/>
              </w:rPr>
            </w:pPr>
            <w:r>
              <w:rPr>
                <w:rFonts w:eastAsia="仿宋_GB2312"/>
                <w:kern w:val="0"/>
                <w:sz w:val="20"/>
                <w:szCs w:val="21"/>
              </w:rPr>
              <w:t>查阅资料：中医健康宣教基地、中医药健康文化知识角、中医药健康科普等相关工作资料。</w:t>
            </w:r>
          </w:p>
          <w:p>
            <w:pPr>
              <w:widowControl/>
              <w:rPr>
                <w:rFonts w:eastAsia="仿宋_GB2312"/>
                <w:kern w:val="0"/>
                <w:sz w:val="20"/>
                <w:szCs w:val="21"/>
              </w:rPr>
            </w:pPr>
            <w:r>
              <w:rPr>
                <w:rFonts w:eastAsia="仿宋_GB2312"/>
                <w:kern w:val="0"/>
                <w:sz w:val="20"/>
                <w:szCs w:val="21"/>
              </w:rPr>
              <w:t>资料来源：卫生健康部门。</w:t>
            </w:r>
          </w:p>
        </w:tc>
        <w:tc>
          <w:tcPr>
            <w:tcW w:w="5545" w:type="dxa"/>
          </w:tcPr>
          <w:p>
            <w:pPr>
              <w:widowControl/>
              <w:rPr>
                <w:rFonts w:eastAsia="仿宋_GB2312"/>
                <w:kern w:val="0"/>
                <w:sz w:val="20"/>
                <w:szCs w:val="21"/>
              </w:rPr>
            </w:pPr>
            <w:r>
              <w:rPr>
                <w:rFonts w:eastAsia="仿宋_GB2312"/>
                <w:kern w:val="0"/>
                <w:sz w:val="20"/>
                <w:szCs w:val="21"/>
              </w:rPr>
              <w:t>1.辖区建有中医健康宣教基地，得2分；未建设，不得分。</w:t>
            </w:r>
          </w:p>
          <w:p>
            <w:pPr>
              <w:widowControl/>
              <w:rPr>
                <w:rFonts w:eastAsia="仿宋_GB2312"/>
                <w:kern w:val="0"/>
                <w:sz w:val="20"/>
                <w:szCs w:val="21"/>
              </w:rPr>
            </w:pPr>
            <w:r>
              <w:rPr>
                <w:rFonts w:eastAsia="仿宋_GB2312"/>
                <w:kern w:val="0"/>
                <w:sz w:val="20"/>
                <w:szCs w:val="21"/>
              </w:rPr>
              <w:t>2.辖区建有中医药健康文化知识角，得2分；未建设，不得分。</w:t>
            </w:r>
          </w:p>
          <w:p>
            <w:pPr>
              <w:widowControl/>
              <w:rPr>
                <w:rFonts w:eastAsia="仿宋_GB2312"/>
                <w:kern w:val="0"/>
                <w:sz w:val="20"/>
                <w:szCs w:val="21"/>
              </w:rPr>
            </w:pPr>
            <w:r>
              <w:rPr>
                <w:rFonts w:eastAsia="仿宋_GB2312"/>
                <w:kern w:val="0"/>
                <w:sz w:val="20"/>
                <w:szCs w:val="21"/>
              </w:rPr>
              <w:t>3.建立中医药科普专家队伍，得2分；未建立，不得分。</w:t>
            </w:r>
          </w:p>
          <w:p>
            <w:pPr>
              <w:widowControl/>
              <w:rPr>
                <w:rFonts w:eastAsia="仿宋_GB2312"/>
                <w:kern w:val="0"/>
                <w:sz w:val="20"/>
                <w:szCs w:val="21"/>
              </w:rPr>
            </w:pPr>
            <w:r>
              <w:rPr>
                <w:rFonts w:eastAsia="仿宋_GB2312"/>
                <w:kern w:val="0"/>
                <w:sz w:val="20"/>
                <w:szCs w:val="21"/>
              </w:rPr>
              <w:t>4.基层医疗卫生机构日常健康教育中包含中医药内容，得2分；未包含，不得分。</w:t>
            </w:r>
          </w:p>
          <w:p>
            <w:pPr>
              <w:widowControl/>
              <w:rPr>
                <w:rFonts w:eastAsia="仿宋_GB2312"/>
                <w:kern w:val="0"/>
                <w:sz w:val="20"/>
                <w:szCs w:val="21"/>
              </w:rPr>
            </w:pPr>
            <w:r>
              <w:rPr>
                <w:rFonts w:eastAsia="仿宋_GB2312"/>
                <w:kern w:val="0"/>
                <w:sz w:val="20"/>
                <w:szCs w:val="21"/>
              </w:rPr>
              <w:t>该指标满分为8分。</w:t>
            </w:r>
          </w:p>
        </w:tc>
        <w:tc>
          <w:tcPr>
            <w:tcW w:w="567" w:type="dxa"/>
          </w:tcPr>
          <w:p>
            <w:pPr>
              <w:widowControl/>
              <w:spacing w:line="400" w:lineRule="atLeast"/>
              <w:rPr>
                <w:rFonts w:eastAsia="仿宋_GB2312"/>
                <w:kern w:val="0"/>
                <w:sz w:val="20"/>
                <w:szCs w:val="21"/>
              </w:rPr>
            </w:pPr>
            <w:r>
              <w:rPr>
                <w:rFonts w:eastAsia="仿宋_GB2312"/>
                <w:kern w:val="0"/>
                <w:sz w:val="20"/>
                <w:szCs w:val="21"/>
              </w:rPr>
              <w:t>8</w:t>
            </w:r>
          </w:p>
        </w:tc>
        <w:tc>
          <w:tcPr>
            <w:tcW w:w="567" w:type="dxa"/>
          </w:tcPr>
          <w:p>
            <w:pPr>
              <w:widowControl/>
              <w:spacing w:line="400" w:lineRule="atLeast"/>
              <w:rPr>
                <w:rFonts w:eastAsia="仿宋_GB2312"/>
                <w:kern w:val="0"/>
                <w:sz w:val="20"/>
                <w:szCs w:val="21"/>
              </w:rPr>
            </w:pPr>
          </w:p>
        </w:tc>
        <w:tc>
          <w:tcPr>
            <w:tcW w:w="809" w:type="dxa"/>
          </w:tcPr>
          <w:p>
            <w:pPr>
              <w:widowControl/>
              <w:spacing w:line="400" w:lineRule="atLeast"/>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restart"/>
          </w:tcPr>
          <w:p>
            <w:pPr>
              <w:spacing w:line="365" w:lineRule="atLeast"/>
              <w:rPr>
                <w:rFonts w:eastAsia="仿宋_GB2312"/>
                <w:kern w:val="0"/>
                <w:sz w:val="20"/>
                <w:szCs w:val="21"/>
              </w:rPr>
            </w:pPr>
            <w:r>
              <w:rPr>
                <w:rFonts w:eastAsia="仿宋_GB2312"/>
                <w:b/>
                <w:kern w:val="0"/>
                <w:sz w:val="20"/>
                <w:szCs w:val="21"/>
              </w:rPr>
              <w:t>五、健康文化</w:t>
            </w:r>
          </w:p>
        </w:tc>
        <w:tc>
          <w:tcPr>
            <w:tcW w:w="1020" w:type="dxa"/>
          </w:tcPr>
          <w:p>
            <w:pPr>
              <w:textAlignment w:val="center"/>
              <w:rPr>
                <w:rFonts w:eastAsia="仿宋_GB2312"/>
                <w:kern w:val="0"/>
                <w:sz w:val="20"/>
                <w:szCs w:val="21"/>
              </w:rPr>
            </w:pPr>
            <w:r>
              <w:rPr>
                <w:rFonts w:eastAsia="仿宋_GB2312"/>
                <w:kern w:val="0"/>
                <w:sz w:val="20"/>
                <w:szCs w:val="21"/>
              </w:rPr>
              <w:t>73.营造健康社会氛围</w:t>
            </w:r>
          </w:p>
        </w:tc>
        <w:tc>
          <w:tcPr>
            <w:tcW w:w="3061" w:type="dxa"/>
          </w:tcPr>
          <w:p>
            <w:pPr>
              <w:rPr>
                <w:rFonts w:eastAsia="仿宋_GB2312"/>
                <w:kern w:val="0"/>
                <w:sz w:val="20"/>
                <w:szCs w:val="21"/>
              </w:rPr>
            </w:pPr>
            <w:r>
              <w:rPr>
                <w:rFonts w:eastAsia="仿宋_GB2312"/>
                <w:kern w:val="0"/>
                <w:sz w:val="20"/>
                <w:szCs w:val="21"/>
              </w:rPr>
              <w:t>面向公众广泛开展文明健康绿色环保生活方式宣传，营造全民关注健康的社会氛围。领导干部带头践行文明健康绿色环保生活方式。</w:t>
            </w:r>
          </w:p>
        </w:tc>
        <w:tc>
          <w:tcPr>
            <w:tcW w:w="2551" w:type="dxa"/>
          </w:tcPr>
          <w:p>
            <w:pPr>
              <w:rPr>
                <w:rFonts w:eastAsia="仿宋_GB2312"/>
                <w:kern w:val="0"/>
                <w:sz w:val="20"/>
                <w:szCs w:val="21"/>
              </w:rPr>
            </w:pPr>
            <w:r>
              <w:rPr>
                <w:rFonts w:eastAsia="仿宋_GB2312"/>
                <w:kern w:val="0"/>
                <w:sz w:val="20"/>
                <w:szCs w:val="21"/>
              </w:rPr>
              <w:t>查阅资料：倡导文明健康绿色环保生活方式相关资料。</w:t>
            </w:r>
          </w:p>
          <w:p>
            <w:pPr>
              <w:rPr>
                <w:rFonts w:eastAsia="仿宋_GB2312"/>
                <w:kern w:val="0"/>
                <w:sz w:val="20"/>
                <w:szCs w:val="21"/>
              </w:rPr>
            </w:pPr>
            <w:r>
              <w:rPr>
                <w:rFonts w:eastAsia="仿宋_GB2312"/>
                <w:kern w:val="0"/>
                <w:sz w:val="20"/>
                <w:szCs w:val="21"/>
              </w:rPr>
              <w:t>资料来源：相关部门。</w:t>
            </w:r>
          </w:p>
        </w:tc>
        <w:tc>
          <w:tcPr>
            <w:tcW w:w="5545" w:type="dxa"/>
          </w:tcPr>
          <w:p>
            <w:pPr>
              <w:rPr>
                <w:rFonts w:eastAsia="仿宋_GB2312"/>
                <w:kern w:val="0"/>
                <w:sz w:val="20"/>
                <w:szCs w:val="21"/>
              </w:rPr>
            </w:pPr>
            <w:r>
              <w:rPr>
                <w:rFonts w:eastAsia="仿宋_GB2312"/>
                <w:kern w:val="0"/>
                <w:sz w:val="20"/>
                <w:szCs w:val="21"/>
              </w:rPr>
              <w:t>1.有践行文明健康绿色环保生活方式相关文件，得4分；无文件，不得分。</w:t>
            </w:r>
          </w:p>
          <w:p>
            <w:pPr>
              <w:rPr>
                <w:rFonts w:eastAsia="仿宋_GB2312"/>
                <w:kern w:val="0"/>
                <w:sz w:val="20"/>
                <w:szCs w:val="21"/>
              </w:rPr>
            </w:pPr>
            <w:r>
              <w:rPr>
                <w:rFonts w:eastAsia="仿宋_GB2312"/>
                <w:kern w:val="0"/>
                <w:sz w:val="20"/>
                <w:szCs w:val="21"/>
              </w:rPr>
              <w:t>2.利用大众媒体、公交媒体、公共场所或社区宣传栏、广告牌、横幅、新媒体等形式开展相关宣传活动且有记录，每种形式得2分，最高得12分；未开展宣传活动，不得分。</w:t>
            </w:r>
          </w:p>
          <w:p>
            <w:pPr>
              <w:rPr>
                <w:rFonts w:eastAsia="仿宋_GB2312"/>
                <w:kern w:val="0"/>
                <w:sz w:val="20"/>
                <w:szCs w:val="21"/>
              </w:rPr>
            </w:pPr>
            <w:r>
              <w:rPr>
                <w:rFonts w:eastAsia="仿宋_GB2312"/>
                <w:kern w:val="0"/>
                <w:sz w:val="20"/>
                <w:szCs w:val="21"/>
              </w:rPr>
              <w:t>该指标满分为16分。</w:t>
            </w:r>
          </w:p>
        </w:tc>
        <w:tc>
          <w:tcPr>
            <w:tcW w:w="567" w:type="dxa"/>
          </w:tcPr>
          <w:p>
            <w:pPr>
              <w:rPr>
                <w:rFonts w:eastAsia="仿宋_GB2312"/>
                <w:kern w:val="0"/>
                <w:sz w:val="20"/>
                <w:szCs w:val="21"/>
              </w:rPr>
            </w:pPr>
            <w:r>
              <w:rPr>
                <w:rFonts w:eastAsia="仿宋_GB2312"/>
                <w:kern w:val="0"/>
                <w:sz w:val="20"/>
                <w:szCs w:val="21"/>
              </w:rPr>
              <w:t>16</w:t>
            </w:r>
          </w:p>
        </w:tc>
        <w:tc>
          <w:tcPr>
            <w:tcW w:w="567" w:type="dxa"/>
          </w:tcPr>
          <w:p>
            <w:pPr>
              <w:rPr>
                <w:rFonts w:eastAsia="仿宋_GB2312"/>
                <w:kern w:val="0"/>
                <w:sz w:val="20"/>
                <w:szCs w:val="21"/>
              </w:rPr>
            </w:pPr>
          </w:p>
        </w:tc>
        <w:tc>
          <w:tcPr>
            <w:tcW w:w="809" w:type="dxa"/>
          </w:tcPr>
          <w:p>
            <w:pP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365" w:lineRule="atLeast"/>
              <w:rPr>
                <w:rFonts w:eastAsia="仿宋_GB2312"/>
                <w:b/>
                <w:bCs/>
                <w:kern w:val="0"/>
                <w:sz w:val="20"/>
                <w:szCs w:val="21"/>
              </w:rPr>
            </w:pPr>
          </w:p>
        </w:tc>
        <w:tc>
          <w:tcPr>
            <w:tcW w:w="1020" w:type="dxa"/>
          </w:tcPr>
          <w:p>
            <w:pPr>
              <w:rPr>
                <w:rFonts w:eastAsia="仿宋_GB2312"/>
                <w:kern w:val="0"/>
                <w:sz w:val="20"/>
                <w:szCs w:val="21"/>
              </w:rPr>
            </w:pPr>
            <w:r>
              <w:rPr>
                <w:rFonts w:eastAsia="仿宋_GB2312"/>
                <w:kern w:val="0"/>
                <w:sz w:val="20"/>
                <w:szCs w:val="21"/>
              </w:rPr>
              <w:t>74.健康科普信息发布制度</w:t>
            </w:r>
          </w:p>
        </w:tc>
        <w:tc>
          <w:tcPr>
            <w:tcW w:w="3061" w:type="dxa"/>
          </w:tcPr>
          <w:p>
            <w:pPr>
              <w:rPr>
                <w:rFonts w:eastAsia="仿宋_GB2312"/>
                <w:kern w:val="0"/>
                <w:sz w:val="20"/>
                <w:szCs w:val="21"/>
              </w:rPr>
            </w:pPr>
            <w:r>
              <w:rPr>
                <w:rFonts w:eastAsia="仿宋_GB2312"/>
                <w:kern w:val="0"/>
                <w:sz w:val="20"/>
                <w:szCs w:val="21"/>
              </w:rPr>
              <w:t>建立健康科普信息发布制度，加强对各类媒体健康科普信息的监管。</w:t>
            </w:r>
          </w:p>
        </w:tc>
        <w:tc>
          <w:tcPr>
            <w:tcW w:w="2551" w:type="dxa"/>
          </w:tcPr>
          <w:p>
            <w:pPr>
              <w:rPr>
                <w:rFonts w:eastAsia="仿宋_GB2312"/>
                <w:kern w:val="0"/>
                <w:sz w:val="20"/>
                <w:szCs w:val="21"/>
              </w:rPr>
            </w:pPr>
            <w:r>
              <w:rPr>
                <w:rFonts w:eastAsia="仿宋_GB2312"/>
                <w:kern w:val="0"/>
                <w:sz w:val="20"/>
                <w:szCs w:val="21"/>
              </w:rPr>
              <w:t>查阅资料：健康科普信息发布制度建设相关资料。</w:t>
            </w:r>
          </w:p>
          <w:p>
            <w:pPr>
              <w:rPr>
                <w:rFonts w:eastAsia="仿宋_GB2312"/>
                <w:kern w:val="0"/>
                <w:sz w:val="20"/>
                <w:szCs w:val="21"/>
              </w:rPr>
            </w:pPr>
            <w:r>
              <w:rPr>
                <w:rFonts w:eastAsia="仿宋_GB2312"/>
                <w:kern w:val="0"/>
                <w:sz w:val="20"/>
                <w:szCs w:val="21"/>
              </w:rPr>
              <w:t>资料来源：文件印发部门。</w:t>
            </w:r>
          </w:p>
        </w:tc>
        <w:tc>
          <w:tcPr>
            <w:tcW w:w="5545" w:type="dxa"/>
          </w:tcPr>
          <w:p>
            <w:pPr>
              <w:rPr>
                <w:rFonts w:eastAsia="仿宋_GB2312"/>
                <w:kern w:val="0"/>
                <w:sz w:val="20"/>
                <w:szCs w:val="21"/>
              </w:rPr>
            </w:pPr>
            <w:r>
              <w:rPr>
                <w:rFonts w:eastAsia="仿宋_GB2312"/>
                <w:kern w:val="0"/>
                <w:sz w:val="20"/>
                <w:szCs w:val="21"/>
              </w:rPr>
              <w:t>1.建立健康知识和技能核心信息发布制度，得6分；未建立，不得分。</w:t>
            </w:r>
          </w:p>
          <w:p>
            <w:pPr>
              <w:rPr>
                <w:rFonts w:eastAsia="仿宋_GB2312"/>
                <w:kern w:val="0"/>
                <w:sz w:val="20"/>
                <w:szCs w:val="21"/>
              </w:rPr>
            </w:pPr>
            <w:r>
              <w:rPr>
                <w:rFonts w:eastAsia="仿宋_GB2312"/>
                <w:kern w:val="0"/>
                <w:sz w:val="20"/>
                <w:szCs w:val="21"/>
              </w:rPr>
              <w:t>2.明确相关部门职责，得4分；未明确，不得分。</w:t>
            </w:r>
          </w:p>
          <w:p>
            <w:pPr>
              <w:rPr>
                <w:rFonts w:eastAsia="仿宋_GB2312"/>
                <w:kern w:val="0"/>
                <w:sz w:val="20"/>
                <w:szCs w:val="21"/>
              </w:rPr>
            </w:pPr>
            <w:r>
              <w:rPr>
                <w:rFonts w:eastAsia="仿宋_GB2312"/>
                <w:kern w:val="0"/>
                <w:sz w:val="20"/>
                <w:szCs w:val="21"/>
              </w:rPr>
              <w:t>3.当地电视台对健康栏目或节目有明确的审核、监管流程，得6分；无相应流程，不得分。</w:t>
            </w:r>
          </w:p>
          <w:p>
            <w:pPr>
              <w:rPr>
                <w:rFonts w:eastAsia="仿宋_GB2312"/>
                <w:kern w:val="0"/>
                <w:sz w:val="20"/>
                <w:szCs w:val="21"/>
              </w:rPr>
            </w:pPr>
            <w:r>
              <w:rPr>
                <w:rFonts w:eastAsia="仿宋_GB2312"/>
                <w:kern w:val="0"/>
                <w:sz w:val="20"/>
                <w:szCs w:val="21"/>
              </w:rPr>
              <w:t>该指标满分为16分。</w:t>
            </w:r>
          </w:p>
        </w:tc>
        <w:tc>
          <w:tcPr>
            <w:tcW w:w="567" w:type="dxa"/>
          </w:tcPr>
          <w:p>
            <w:pPr>
              <w:widowControl/>
              <w:spacing w:line="400" w:lineRule="atLeast"/>
              <w:rPr>
                <w:rFonts w:eastAsia="仿宋_GB2312"/>
                <w:kern w:val="0"/>
                <w:sz w:val="20"/>
                <w:szCs w:val="21"/>
              </w:rPr>
            </w:pPr>
            <w:r>
              <w:rPr>
                <w:rFonts w:eastAsia="仿宋_GB2312"/>
                <w:kern w:val="0"/>
                <w:sz w:val="20"/>
                <w:szCs w:val="21"/>
              </w:rPr>
              <w:t>16</w:t>
            </w:r>
          </w:p>
        </w:tc>
        <w:tc>
          <w:tcPr>
            <w:tcW w:w="567" w:type="dxa"/>
          </w:tcPr>
          <w:p>
            <w:pPr>
              <w:widowControl/>
              <w:spacing w:line="400" w:lineRule="atLeast"/>
              <w:rPr>
                <w:rFonts w:eastAsia="仿宋_GB2312"/>
                <w:kern w:val="0"/>
                <w:sz w:val="20"/>
                <w:szCs w:val="21"/>
              </w:rPr>
            </w:pPr>
          </w:p>
        </w:tc>
        <w:tc>
          <w:tcPr>
            <w:tcW w:w="809" w:type="dxa"/>
          </w:tcPr>
          <w:p>
            <w:pPr>
              <w:widowControl/>
              <w:spacing w:line="400" w:lineRule="atLeast"/>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spacing w:line="365" w:lineRule="atLeast"/>
              <w:rPr>
                <w:rFonts w:eastAsia="仿宋_GB2312"/>
                <w:kern w:val="0"/>
                <w:sz w:val="20"/>
                <w:szCs w:val="21"/>
              </w:rPr>
            </w:pPr>
          </w:p>
        </w:tc>
        <w:tc>
          <w:tcPr>
            <w:tcW w:w="1020" w:type="dxa"/>
          </w:tcPr>
          <w:p>
            <w:pPr>
              <w:rPr>
                <w:rFonts w:eastAsia="仿宋_GB2312"/>
                <w:kern w:val="0"/>
                <w:sz w:val="20"/>
                <w:szCs w:val="21"/>
              </w:rPr>
            </w:pPr>
            <w:r>
              <w:rPr>
                <w:rFonts w:eastAsia="仿宋_GB2312"/>
                <w:kern w:val="0"/>
                <w:sz w:val="20"/>
                <w:szCs w:val="21"/>
              </w:rPr>
              <w:t>75.媒体参与健康科普</w:t>
            </w:r>
          </w:p>
        </w:tc>
        <w:tc>
          <w:tcPr>
            <w:tcW w:w="3061" w:type="dxa"/>
          </w:tcPr>
          <w:p>
            <w:pPr>
              <w:rPr>
                <w:rFonts w:eastAsia="仿宋_GB2312"/>
                <w:kern w:val="0"/>
                <w:sz w:val="20"/>
                <w:szCs w:val="21"/>
              </w:rPr>
            </w:pPr>
            <w:r>
              <w:rPr>
                <w:rFonts w:eastAsia="仿宋_GB2312"/>
                <w:kern w:val="0"/>
                <w:sz w:val="20"/>
                <w:szCs w:val="21"/>
              </w:rPr>
              <w:t>当地电视台、广播电台、报纸等当地主流媒体开设健康栏目，推广普及健康知识；县域主要新媒体开设健康栏目，传播健康知识与理念。</w:t>
            </w:r>
          </w:p>
        </w:tc>
        <w:tc>
          <w:tcPr>
            <w:tcW w:w="2551" w:type="dxa"/>
          </w:tcPr>
          <w:p>
            <w:pPr>
              <w:rPr>
                <w:rFonts w:eastAsia="仿宋_GB2312"/>
                <w:kern w:val="0"/>
                <w:sz w:val="20"/>
                <w:szCs w:val="21"/>
              </w:rPr>
            </w:pPr>
            <w:r>
              <w:rPr>
                <w:rFonts w:eastAsia="仿宋_GB2312"/>
                <w:kern w:val="0"/>
                <w:sz w:val="20"/>
                <w:szCs w:val="21"/>
              </w:rPr>
              <w:t>查阅资料：当地主流媒体和主要新媒体健康栏目工作档案和记录。</w:t>
            </w:r>
          </w:p>
          <w:p>
            <w:pPr>
              <w:rPr>
                <w:rFonts w:eastAsia="仿宋_GB2312"/>
                <w:kern w:val="0"/>
                <w:sz w:val="20"/>
                <w:szCs w:val="21"/>
              </w:rPr>
            </w:pPr>
            <w:r>
              <w:rPr>
                <w:rFonts w:eastAsia="仿宋_GB2312"/>
                <w:kern w:val="0"/>
                <w:sz w:val="20"/>
                <w:szCs w:val="21"/>
              </w:rPr>
              <w:t>资料来源：当地电视台、广播电台、报纸、县域主要新媒体。</w:t>
            </w:r>
          </w:p>
        </w:tc>
        <w:tc>
          <w:tcPr>
            <w:tcW w:w="5545" w:type="dxa"/>
          </w:tcPr>
          <w:p>
            <w:pPr>
              <w:rPr>
                <w:rFonts w:eastAsia="仿宋_GB2312"/>
                <w:kern w:val="0"/>
                <w:sz w:val="20"/>
                <w:szCs w:val="21"/>
              </w:rPr>
            </w:pPr>
            <w:r>
              <w:rPr>
                <w:rFonts w:eastAsia="仿宋_GB2312"/>
                <w:kern w:val="0"/>
                <w:sz w:val="20"/>
                <w:szCs w:val="21"/>
              </w:rPr>
              <w:t>1.电视台开设健康栏目，得5分；未开设，不得分。</w:t>
            </w:r>
          </w:p>
          <w:p>
            <w:pPr>
              <w:rPr>
                <w:rFonts w:eastAsia="仿宋_GB2312"/>
                <w:kern w:val="0"/>
                <w:sz w:val="20"/>
                <w:szCs w:val="21"/>
              </w:rPr>
            </w:pPr>
            <w:r>
              <w:rPr>
                <w:rFonts w:eastAsia="仿宋_GB2312"/>
                <w:kern w:val="0"/>
                <w:sz w:val="20"/>
                <w:szCs w:val="21"/>
              </w:rPr>
              <w:t>2.广播电台开设健康栏目，得5分；未开设，不得分。</w:t>
            </w:r>
          </w:p>
          <w:p>
            <w:pPr>
              <w:rPr>
                <w:rFonts w:eastAsia="仿宋_GB2312"/>
                <w:kern w:val="0"/>
                <w:sz w:val="20"/>
                <w:szCs w:val="21"/>
              </w:rPr>
            </w:pPr>
            <w:r>
              <w:rPr>
                <w:rFonts w:eastAsia="仿宋_GB2312"/>
                <w:kern w:val="0"/>
                <w:sz w:val="20"/>
                <w:szCs w:val="21"/>
              </w:rPr>
              <w:t>3.县域主要新媒体开设健康栏目，得5分；未开设，不得分。</w:t>
            </w:r>
          </w:p>
          <w:p>
            <w:pPr>
              <w:rPr>
                <w:rFonts w:eastAsia="仿宋_GB2312"/>
                <w:kern w:val="0"/>
                <w:sz w:val="20"/>
                <w:szCs w:val="21"/>
              </w:rPr>
            </w:pPr>
            <w:r>
              <w:rPr>
                <w:rFonts w:eastAsia="仿宋_GB2312"/>
                <w:kern w:val="0"/>
                <w:sz w:val="20"/>
                <w:szCs w:val="21"/>
              </w:rPr>
              <w:t>该指标满分为15分。</w:t>
            </w:r>
          </w:p>
        </w:tc>
        <w:tc>
          <w:tcPr>
            <w:tcW w:w="567" w:type="dxa"/>
          </w:tcPr>
          <w:p>
            <w:pPr>
              <w:widowControl/>
              <w:spacing w:line="365" w:lineRule="atLeast"/>
              <w:rPr>
                <w:rFonts w:eastAsia="仿宋_GB2312"/>
                <w:bCs/>
                <w:kern w:val="0"/>
                <w:sz w:val="20"/>
                <w:szCs w:val="21"/>
              </w:rPr>
            </w:pPr>
            <w:r>
              <w:rPr>
                <w:rFonts w:eastAsia="仿宋_GB2312"/>
                <w:bCs/>
                <w:kern w:val="0"/>
                <w:sz w:val="20"/>
                <w:szCs w:val="21"/>
              </w:rPr>
              <w:t>15</w:t>
            </w:r>
          </w:p>
        </w:tc>
        <w:tc>
          <w:tcPr>
            <w:tcW w:w="567" w:type="dxa"/>
          </w:tcPr>
          <w:p>
            <w:pPr>
              <w:widowControl/>
              <w:spacing w:line="365" w:lineRule="atLeast"/>
              <w:rPr>
                <w:rFonts w:eastAsia="仿宋_GB2312"/>
                <w:bCs/>
                <w:kern w:val="0"/>
                <w:sz w:val="20"/>
                <w:szCs w:val="21"/>
              </w:rPr>
            </w:pPr>
          </w:p>
        </w:tc>
        <w:tc>
          <w:tcPr>
            <w:tcW w:w="809" w:type="dxa"/>
          </w:tcPr>
          <w:p>
            <w:pPr>
              <w:widowControl/>
              <w:spacing w:line="365" w:lineRule="atLeast"/>
              <w:rPr>
                <w:rFonts w:eastAsia="仿宋_GB2312"/>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rPr>
                <w:rFonts w:eastAsia="仿宋_GB2312"/>
                <w:kern w:val="0"/>
                <w:sz w:val="20"/>
                <w:szCs w:val="21"/>
              </w:rPr>
            </w:pPr>
          </w:p>
        </w:tc>
        <w:tc>
          <w:tcPr>
            <w:tcW w:w="1020" w:type="dxa"/>
          </w:tcPr>
          <w:p>
            <w:pPr>
              <w:rPr>
                <w:rFonts w:eastAsia="仿宋_GB2312"/>
                <w:kern w:val="0"/>
                <w:sz w:val="20"/>
                <w:szCs w:val="21"/>
              </w:rPr>
            </w:pPr>
            <w:r>
              <w:rPr>
                <w:rFonts w:eastAsia="仿宋_GB2312"/>
                <w:kern w:val="0"/>
                <w:sz w:val="20"/>
                <w:szCs w:val="21"/>
              </w:rPr>
              <w:t>79.健身场地设施供给</w:t>
            </w:r>
          </w:p>
        </w:tc>
        <w:tc>
          <w:tcPr>
            <w:tcW w:w="3061" w:type="dxa"/>
          </w:tcPr>
          <w:p>
            <w:pPr>
              <w:rPr>
                <w:rFonts w:eastAsia="仿宋_GB2312"/>
                <w:kern w:val="0"/>
                <w:sz w:val="20"/>
                <w:szCs w:val="21"/>
              </w:rPr>
            </w:pPr>
            <w:r>
              <w:rPr>
                <w:rFonts w:eastAsia="仿宋_GB2312"/>
                <w:kern w:val="0"/>
                <w:sz w:val="20"/>
                <w:szCs w:val="21"/>
              </w:rPr>
              <w:t>加大全民健身场地设施供给，推进公共体育设施免费或低收费开放，实现县乡村三级公共健身设施和社区15分钟健身圈全覆盖。</w:t>
            </w:r>
          </w:p>
        </w:tc>
        <w:tc>
          <w:tcPr>
            <w:tcW w:w="2551" w:type="dxa"/>
          </w:tcPr>
          <w:p>
            <w:pPr>
              <w:rPr>
                <w:rFonts w:eastAsia="仿宋_GB2312"/>
                <w:kern w:val="0"/>
                <w:sz w:val="20"/>
                <w:szCs w:val="21"/>
              </w:rPr>
            </w:pPr>
            <w:r>
              <w:rPr>
                <w:rFonts w:eastAsia="仿宋_GB2312"/>
                <w:kern w:val="0"/>
                <w:sz w:val="20"/>
                <w:szCs w:val="21"/>
              </w:rPr>
              <w:t>查阅资料：国家体育场地统计调查系统；公共体育场地设施免费或低收费开放文件等。</w:t>
            </w:r>
          </w:p>
          <w:p>
            <w:pPr>
              <w:rPr>
                <w:rFonts w:eastAsia="仿宋_GB2312"/>
                <w:kern w:val="0"/>
                <w:sz w:val="20"/>
                <w:szCs w:val="21"/>
              </w:rPr>
            </w:pPr>
            <w:r>
              <w:rPr>
                <w:rFonts w:eastAsia="仿宋_GB2312"/>
                <w:kern w:val="0"/>
                <w:sz w:val="20"/>
                <w:szCs w:val="21"/>
              </w:rPr>
              <w:t>资料来源：相关部门。</w:t>
            </w:r>
          </w:p>
          <w:p>
            <w:pPr>
              <w:rPr>
                <w:rFonts w:eastAsia="仿宋_GB2312"/>
                <w:kern w:val="0"/>
                <w:sz w:val="20"/>
                <w:szCs w:val="21"/>
              </w:rPr>
            </w:pPr>
            <w:r>
              <w:rPr>
                <w:rFonts w:eastAsia="仿宋_GB2312"/>
                <w:kern w:val="0"/>
                <w:sz w:val="20"/>
                <w:szCs w:val="21"/>
              </w:rPr>
              <w:t>现场抽查：随机抽查1处公共体育设施，询问其收费情况。</w:t>
            </w:r>
          </w:p>
        </w:tc>
        <w:tc>
          <w:tcPr>
            <w:tcW w:w="5545" w:type="dxa"/>
          </w:tcPr>
          <w:p>
            <w:pPr>
              <w:rPr>
                <w:rFonts w:eastAsia="仿宋_GB2312"/>
                <w:kern w:val="0"/>
                <w:sz w:val="20"/>
                <w:szCs w:val="21"/>
              </w:rPr>
            </w:pPr>
            <w:r>
              <w:rPr>
                <w:rFonts w:eastAsia="仿宋_GB2312"/>
                <w:kern w:val="0"/>
                <w:sz w:val="20"/>
                <w:szCs w:val="21"/>
              </w:rPr>
              <w:t>1.人均体育场地面积≥2.3平方米，得6分；每低0.1平方米扣0.4分，扣完6分为止。</w:t>
            </w:r>
          </w:p>
          <w:p>
            <w:pPr>
              <w:rPr>
                <w:rFonts w:eastAsia="仿宋_GB2312"/>
                <w:kern w:val="0"/>
                <w:sz w:val="20"/>
                <w:szCs w:val="21"/>
              </w:rPr>
            </w:pPr>
            <w:r>
              <w:rPr>
                <w:rFonts w:eastAsia="仿宋_GB2312"/>
                <w:kern w:val="0"/>
                <w:sz w:val="20"/>
                <w:szCs w:val="21"/>
              </w:rPr>
              <w:t>2.</w:t>
            </w:r>
            <w:r>
              <w:rPr>
                <w:rFonts w:eastAsia="仿宋_GB2312"/>
                <w:color w:val="000000"/>
                <w:kern w:val="0"/>
                <w:sz w:val="20"/>
                <w:szCs w:val="21"/>
              </w:rPr>
              <w:t>见现场打分。</w:t>
            </w:r>
            <w:r>
              <w:rPr>
                <w:rFonts w:eastAsia="仿宋_GB2312"/>
                <w:kern w:val="0"/>
                <w:sz w:val="20"/>
                <w:szCs w:val="21"/>
              </w:rPr>
              <w:t xml:space="preserve"> </w:t>
            </w:r>
          </w:p>
          <w:p>
            <w:pPr>
              <w:rPr>
                <w:rFonts w:eastAsia="仿宋_GB2312"/>
                <w:kern w:val="0"/>
                <w:sz w:val="20"/>
                <w:szCs w:val="21"/>
              </w:rPr>
            </w:pPr>
            <w:r>
              <w:rPr>
                <w:rFonts w:eastAsia="仿宋_GB2312"/>
                <w:kern w:val="0"/>
                <w:sz w:val="20"/>
                <w:szCs w:val="21"/>
              </w:rPr>
              <w:t>该指标满分为8分。</w:t>
            </w:r>
          </w:p>
        </w:tc>
        <w:tc>
          <w:tcPr>
            <w:tcW w:w="567" w:type="dxa"/>
          </w:tcPr>
          <w:p>
            <w:pPr>
              <w:rPr>
                <w:rFonts w:eastAsia="仿宋_GB2312"/>
                <w:kern w:val="0"/>
                <w:sz w:val="20"/>
                <w:szCs w:val="21"/>
              </w:rPr>
            </w:pPr>
            <w:r>
              <w:rPr>
                <w:rFonts w:eastAsia="仿宋_GB2312"/>
                <w:kern w:val="0"/>
                <w:sz w:val="20"/>
                <w:szCs w:val="21"/>
              </w:rPr>
              <w:t>6</w:t>
            </w:r>
          </w:p>
        </w:tc>
        <w:tc>
          <w:tcPr>
            <w:tcW w:w="567" w:type="dxa"/>
          </w:tcPr>
          <w:p>
            <w:pPr>
              <w:rPr>
                <w:rFonts w:eastAsia="仿宋_GB2312"/>
                <w:kern w:val="0"/>
                <w:sz w:val="20"/>
                <w:szCs w:val="21"/>
              </w:rPr>
            </w:pPr>
          </w:p>
        </w:tc>
        <w:tc>
          <w:tcPr>
            <w:tcW w:w="809" w:type="dxa"/>
          </w:tcPr>
          <w:p>
            <w:pP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rPr>
                <w:rFonts w:eastAsia="仿宋_GB2312"/>
                <w:kern w:val="0"/>
                <w:sz w:val="20"/>
                <w:szCs w:val="21"/>
              </w:rPr>
            </w:pPr>
          </w:p>
        </w:tc>
        <w:tc>
          <w:tcPr>
            <w:tcW w:w="1020" w:type="dxa"/>
          </w:tcPr>
          <w:p>
            <w:pPr>
              <w:rPr>
                <w:rFonts w:eastAsia="仿宋_GB2312"/>
                <w:kern w:val="0"/>
                <w:sz w:val="20"/>
                <w:szCs w:val="21"/>
              </w:rPr>
            </w:pPr>
            <w:r>
              <w:rPr>
                <w:rFonts w:eastAsia="仿宋_GB2312"/>
                <w:kern w:val="0"/>
                <w:sz w:val="20"/>
                <w:szCs w:val="21"/>
              </w:rPr>
              <w:t>80.群众体育赛事活动</w:t>
            </w:r>
          </w:p>
        </w:tc>
        <w:tc>
          <w:tcPr>
            <w:tcW w:w="3061" w:type="dxa"/>
          </w:tcPr>
          <w:p>
            <w:pPr>
              <w:rPr>
                <w:rFonts w:eastAsia="仿宋_GB2312"/>
                <w:kern w:val="0"/>
                <w:sz w:val="20"/>
                <w:szCs w:val="21"/>
              </w:rPr>
            </w:pPr>
            <w:r>
              <w:rPr>
                <w:rFonts w:eastAsia="仿宋_GB2312"/>
                <w:kern w:val="0"/>
                <w:sz w:val="20"/>
                <w:szCs w:val="21"/>
              </w:rPr>
              <w:t>由县级及以上的体育主管部门或体育社会组织主办（承办）的群众性体育赛事和活动。</w:t>
            </w:r>
          </w:p>
        </w:tc>
        <w:tc>
          <w:tcPr>
            <w:tcW w:w="2551" w:type="dxa"/>
          </w:tcPr>
          <w:p>
            <w:pPr>
              <w:rPr>
                <w:rFonts w:eastAsia="仿宋_GB2312"/>
                <w:kern w:val="0"/>
                <w:sz w:val="20"/>
                <w:szCs w:val="21"/>
              </w:rPr>
            </w:pPr>
            <w:r>
              <w:rPr>
                <w:rFonts w:eastAsia="仿宋_GB2312"/>
                <w:kern w:val="0"/>
                <w:sz w:val="20"/>
                <w:szCs w:val="21"/>
              </w:rPr>
              <w:t>查阅资料：体育赛事和活动相关资料。</w:t>
            </w:r>
          </w:p>
          <w:p>
            <w:pPr>
              <w:rPr>
                <w:rFonts w:eastAsia="仿宋_GB2312"/>
                <w:kern w:val="0"/>
                <w:sz w:val="20"/>
                <w:szCs w:val="21"/>
              </w:rPr>
            </w:pPr>
            <w:r>
              <w:rPr>
                <w:rFonts w:eastAsia="仿宋_GB2312"/>
                <w:kern w:val="0"/>
                <w:sz w:val="20"/>
                <w:szCs w:val="21"/>
              </w:rPr>
              <w:t>资料来源：相关部门。</w:t>
            </w:r>
          </w:p>
        </w:tc>
        <w:tc>
          <w:tcPr>
            <w:tcW w:w="5545" w:type="dxa"/>
          </w:tcPr>
          <w:p>
            <w:pPr>
              <w:rPr>
                <w:rFonts w:eastAsia="仿宋_GB2312"/>
                <w:kern w:val="0"/>
                <w:sz w:val="20"/>
                <w:szCs w:val="21"/>
              </w:rPr>
            </w:pPr>
            <w:r>
              <w:rPr>
                <w:rFonts w:eastAsia="仿宋_GB2312"/>
                <w:kern w:val="0"/>
                <w:sz w:val="20"/>
                <w:szCs w:val="21"/>
              </w:rPr>
              <w:t>年内举办县级及以上的体育赛事或活动，每举办1次得2分，满分为10分。</w:t>
            </w:r>
          </w:p>
        </w:tc>
        <w:tc>
          <w:tcPr>
            <w:tcW w:w="567" w:type="dxa"/>
          </w:tcPr>
          <w:p>
            <w:pPr>
              <w:rPr>
                <w:rFonts w:eastAsia="仿宋_GB2312"/>
                <w:kern w:val="0"/>
                <w:sz w:val="20"/>
                <w:szCs w:val="21"/>
              </w:rPr>
            </w:pPr>
            <w:r>
              <w:rPr>
                <w:rFonts w:eastAsia="仿宋_GB2312"/>
                <w:kern w:val="0"/>
                <w:sz w:val="20"/>
                <w:szCs w:val="21"/>
              </w:rPr>
              <w:t>10</w:t>
            </w:r>
          </w:p>
        </w:tc>
        <w:tc>
          <w:tcPr>
            <w:tcW w:w="567" w:type="dxa"/>
          </w:tcPr>
          <w:p>
            <w:pPr>
              <w:rPr>
                <w:rFonts w:eastAsia="仿宋_GB2312"/>
                <w:kern w:val="0"/>
                <w:sz w:val="20"/>
                <w:szCs w:val="21"/>
              </w:rPr>
            </w:pPr>
          </w:p>
        </w:tc>
        <w:tc>
          <w:tcPr>
            <w:tcW w:w="809" w:type="dxa"/>
          </w:tcPr>
          <w:p>
            <w:pP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rPr>
                <w:rFonts w:eastAsia="仿宋_GB2312"/>
                <w:kern w:val="0"/>
                <w:sz w:val="20"/>
                <w:szCs w:val="21"/>
              </w:rPr>
            </w:pPr>
          </w:p>
        </w:tc>
        <w:tc>
          <w:tcPr>
            <w:tcW w:w="1020" w:type="dxa"/>
          </w:tcPr>
          <w:p>
            <w:pPr>
              <w:rPr>
                <w:rFonts w:eastAsia="仿宋_GB2312"/>
                <w:kern w:val="0"/>
                <w:sz w:val="20"/>
                <w:szCs w:val="21"/>
              </w:rPr>
            </w:pPr>
            <w:r>
              <w:rPr>
                <w:rFonts w:eastAsia="仿宋_GB2312"/>
                <w:kern w:val="0"/>
                <w:sz w:val="20"/>
                <w:szCs w:val="21"/>
              </w:rPr>
              <w:t>81.无烟环境建设</w:t>
            </w:r>
          </w:p>
        </w:tc>
        <w:tc>
          <w:tcPr>
            <w:tcW w:w="3061" w:type="dxa"/>
          </w:tcPr>
          <w:p>
            <w:pPr>
              <w:rPr>
                <w:rFonts w:eastAsia="仿宋_GB2312"/>
                <w:kern w:val="0"/>
                <w:sz w:val="20"/>
                <w:szCs w:val="21"/>
              </w:rPr>
            </w:pPr>
            <w:r>
              <w:rPr>
                <w:rFonts w:eastAsia="仿宋_GB2312"/>
                <w:kern w:val="0"/>
                <w:sz w:val="20"/>
                <w:szCs w:val="21"/>
              </w:rPr>
              <w:t>出台无烟环境建设相关文件，推动辖区室内公共场所、工作场所和公共交通工具全面禁烟。各级党政机关建设成无烟机关，推进无烟学校、无烟医院等无烟场所建设。</w:t>
            </w:r>
          </w:p>
        </w:tc>
        <w:tc>
          <w:tcPr>
            <w:tcW w:w="2551" w:type="dxa"/>
          </w:tcPr>
          <w:p>
            <w:pPr>
              <w:rPr>
                <w:rFonts w:eastAsia="仿宋_GB2312"/>
                <w:kern w:val="0"/>
                <w:sz w:val="20"/>
                <w:szCs w:val="21"/>
              </w:rPr>
            </w:pPr>
            <w:r>
              <w:rPr>
                <w:rFonts w:eastAsia="仿宋_GB2312"/>
                <w:kern w:val="0"/>
                <w:sz w:val="20"/>
                <w:szCs w:val="21"/>
              </w:rPr>
              <w:t>查阅资料：无烟环境建设相关资料。</w:t>
            </w:r>
          </w:p>
          <w:p>
            <w:pPr>
              <w:rPr>
                <w:rFonts w:eastAsia="仿宋_GB2312"/>
                <w:kern w:val="0"/>
                <w:sz w:val="20"/>
                <w:szCs w:val="21"/>
              </w:rPr>
            </w:pPr>
            <w:r>
              <w:rPr>
                <w:rFonts w:eastAsia="仿宋_GB2312"/>
                <w:kern w:val="0"/>
                <w:sz w:val="20"/>
                <w:szCs w:val="21"/>
              </w:rPr>
              <w:t>资料来源：文件印发部门。</w:t>
            </w:r>
          </w:p>
          <w:p>
            <w:pPr>
              <w:rPr>
                <w:rFonts w:eastAsia="仿宋_GB2312"/>
                <w:kern w:val="0"/>
                <w:sz w:val="20"/>
                <w:szCs w:val="21"/>
              </w:rPr>
            </w:pPr>
            <w:r>
              <w:rPr>
                <w:rFonts w:eastAsia="仿宋_GB2312"/>
                <w:kern w:val="0"/>
                <w:sz w:val="20"/>
                <w:szCs w:val="21"/>
              </w:rPr>
              <w:t>现场抽查：随机抽取2家党政机关、1个小学和1个中学、1家县级医院和1家乡镇卫生院，了解无烟单位建设情况。</w:t>
            </w:r>
          </w:p>
        </w:tc>
        <w:tc>
          <w:tcPr>
            <w:tcW w:w="5545" w:type="dxa"/>
          </w:tcPr>
          <w:p>
            <w:pPr>
              <w:rPr>
                <w:rFonts w:eastAsia="仿宋_GB2312"/>
                <w:kern w:val="0"/>
                <w:sz w:val="20"/>
                <w:szCs w:val="21"/>
              </w:rPr>
            </w:pPr>
            <w:r>
              <w:rPr>
                <w:rFonts w:eastAsia="仿宋_GB2312"/>
                <w:kern w:val="0"/>
                <w:sz w:val="20"/>
                <w:szCs w:val="21"/>
              </w:rPr>
              <w:t>1.出台全面无烟环境建设相关文件，得4分；未出台文件，不得分。</w:t>
            </w:r>
          </w:p>
          <w:p>
            <w:pPr>
              <w:rPr>
                <w:rFonts w:eastAsia="仿宋_GB2312"/>
                <w:kern w:val="0"/>
                <w:sz w:val="20"/>
                <w:szCs w:val="21"/>
              </w:rPr>
            </w:pPr>
            <w:r>
              <w:rPr>
                <w:rFonts w:eastAsia="仿宋_GB2312"/>
                <w:kern w:val="0"/>
                <w:sz w:val="20"/>
                <w:szCs w:val="21"/>
              </w:rPr>
              <w:t>2.</w:t>
            </w:r>
            <w:r>
              <w:rPr>
                <w:rFonts w:eastAsia="仿宋_GB2312"/>
                <w:color w:val="000000"/>
                <w:kern w:val="0"/>
                <w:sz w:val="20"/>
                <w:szCs w:val="21"/>
              </w:rPr>
              <w:t>见现场打分。</w:t>
            </w:r>
            <w:r>
              <w:rPr>
                <w:rFonts w:eastAsia="仿宋_GB2312"/>
                <w:kern w:val="0"/>
                <w:sz w:val="20"/>
                <w:szCs w:val="21"/>
              </w:rPr>
              <w:t xml:space="preserve"> </w:t>
            </w:r>
          </w:p>
          <w:p>
            <w:pPr>
              <w:rPr>
                <w:rFonts w:eastAsia="仿宋_GB2312"/>
                <w:kern w:val="0"/>
                <w:sz w:val="20"/>
                <w:szCs w:val="21"/>
              </w:rPr>
            </w:pPr>
            <w:r>
              <w:rPr>
                <w:rFonts w:eastAsia="仿宋_GB2312"/>
                <w:kern w:val="0"/>
                <w:sz w:val="20"/>
                <w:szCs w:val="21"/>
              </w:rPr>
              <w:t>3.</w:t>
            </w:r>
            <w:r>
              <w:rPr>
                <w:rFonts w:eastAsia="仿宋_GB2312"/>
                <w:color w:val="000000"/>
                <w:kern w:val="0"/>
                <w:sz w:val="20"/>
                <w:szCs w:val="21"/>
              </w:rPr>
              <w:t>见现场打分。</w:t>
            </w:r>
          </w:p>
          <w:p>
            <w:pPr>
              <w:rPr>
                <w:rFonts w:eastAsia="仿宋_GB2312"/>
                <w:kern w:val="0"/>
                <w:sz w:val="20"/>
                <w:szCs w:val="21"/>
              </w:rPr>
            </w:pPr>
            <w:r>
              <w:rPr>
                <w:rFonts w:eastAsia="仿宋_GB2312"/>
                <w:kern w:val="0"/>
                <w:sz w:val="20"/>
                <w:szCs w:val="21"/>
              </w:rPr>
              <w:t>该指标满分为18分。</w:t>
            </w:r>
          </w:p>
        </w:tc>
        <w:tc>
          <w:tcPr>
            <w:tcW w:w="567" w:type="dxa"/>
          </w:tcPr>
          <w:p>
            <w:pPr>
              <w:widowControl/>
              <w:spacing w:line="400" w:lineRule="exact"/>
              <w:rPr>
                <w:rFonts w:eastAsia="仿宋_GB2312"/>
                <w:kern w:val="0"/>
                <w:sz w:val="20"/>
                <w:szCs w:val="21"/>
              </w:rPr>
            </w:pPr>
            <w:r>
              <w:rPr>
                <w:rFonts w:eastAsia="仿宋_GB2312"/>
                <w:kern w:val="0"/>
                <w:sz w:val="20"/>
                <w:szCs w:val="21"/>
              </w:rPr>
              <w:t>4</w:t>
            </w:r>
          </w:p>
        </w:tc>
        <w:tc>
          <w:tcPr>
            <w:tcW w:w="567" w:type="dxa"/>
          </w:tcPr>
          <w:p>
            <w:pPr>
              <w:widowControl/>
              <w:spacing w:line="400" w:lineRule="exact"/>
              <w:rPr>
                <w:rFonts w:eastAsia="仿宋_GB2312"/>
                <w:kern w:val="0"/>
                <w:sz w:val="20"/>
                <w:szCs w:val="21"/>
              </w:rPr>
            </w:pPr>
          </w:p>
        </w:tc>
        <w:tc>
          <w:tcPr>
            <w:tcW w:w="809" w:type="dxa"/>
          </w:tcPr>
          <w:p>
            <w:pPr>
              <w:widowControl/>
              <w:spacing w:line="400" w:lineRule="exact"/>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rPr>
                <w:rFonts w:eastAsia="仿宋_GB2312"/>
                <w:kern w:val="0"/>
                <w:sz w:val="20"/>
                <w:szCs w:val="21"/>
              </w:rPr>
            </w:pPr>
          </w:p>
        </w:tc>
        <w:tc>
          <w:tcPr>
            <w:tcW w:w="1020" w:type="dxa"/>
          </w:tcPr>
          <w:p>
            <w:pPr>
              <w:rPr>
                <w:rFonts w:eastAsia="仿宋_GB2312"/>
                <w:kern w:val="0"/>
                <w:sz w:val="20"/>
                <w:szCs w:val="21"/>
              </w:rPr>
            </w:pPr>
            <w:r>
              <w:rPr>
                <w:rFonts w:eastAsia="仿宋_GB2312"/>
                <w:kern w:val="0"/>
                <w:sz w:val="20"/>
                <w:szCs w:val="21"/>
              </w:rPr>
              <w:t>83.控烟宣传</w:t>
            </w:r>
          </w:p>
        </w:tc>
        <w:tc>
          <w:tcPr>
            <w:tcW w:w="3061" w:type="dxa"/>
          </w:tcPr>
          <w:p>
            <w:pPr>
              <w:rPr>
                <w:rFonts w:eastAsia="仿宋_GB2312"/>
                <w:kern w:val="0"/>
                <w:sz w:val="20"/>
                <w:szCs w:val="21"/>
              </w:rPr>
            </w:pPr>
            <w:r>
              <w:rPr>
                <w:rFonts w:eastAsia="仿宋_GB2312"/>
                <w:kern w:val="0"/>
                <w:sz w:val="20"/>
                <w:szCs w:val="21"/>
              </w:rPr>
              <w:t>每年开展控烟主题宣传活动，提高公众对烟草危害健康的认知程度。</w:t>
            </w:r>
          </w:p>
        </w:tc>
        <w:tc>
          <w:tcPr>
            <w:tcW w:w="2551" w:type="dxa"/>
          </w:tcPr>
          <w:p>
            <w:pPr>
              <w:rPr>
                <w:rFonts w:eastAsia="仿宋_GB2312"/>
                <w:kern w:val="0"/>
                <w:sz w:val="20"/>
                <w:szCs w:val="21"/>
              </w:rPr>
            </w:pPr>
            <w:r>
              <w:rPr>
                <w:rFonts w:eastAsia="仿宋_GB2312"/>
                <w:kern w:val="0"/>
                <w:sz w:val="20"/>
                <w:szCs w:val="21"/>
              </w:rPr>
              <w:t>查阅资料：控烟主题宣传活动资料。</w:t>
            </w:r>
          </w:p>
          <w:p>
            <w:pPr>
              <w:rPr>
                <w:rFonts w:eastAsia="仿宋_GB2312"/>
                <w:kern w:val="0"/>
                <w:sz w:val="20"/>
                <w:szCs w:val="21"/>
              </w:rPr>
            </w:pPr>
            <w:r>
              <w:rPr>
                <w:rFonts w:eastAsia="仿宋_GB2312"/>
                <w:kern w:val="0"/>
                <w:sz w:val="20"/>
                <w:szCs w:val="21"/>
              </w:rPr>
              <w:t>资料来源：卫生健康等部门。</w:t>
            </w:r>
          </w:p>
        </w:tc>
        <w:tc>
          <w:tcPr>
            <w:tcW w:w="5545" w:type="dxa"/>
          </w:tcPr>
          <w:p>
            <w:pPr>
              <w:widowControl/>
              <w:rPr>
                <w:rFonts w:eastAsia="仿宋_GB2312"/>
                <w:color w:val="000000"/>
                <w:kern w:val="0"/>
                <w:sz w:val="20"/>
                <w:szCs w:val="21"/>
              </w:rPr>
            </w:pPr>
            <w:r>
              <w:rPr>
                <w:rFonts w:eastAsia="仿宋_GB2312"/>
                <w:color w:val="000000"/>
                <w:kern w:val="0"/>
                <w:sz w:val="20"/>
                <w:szCs w:val="21"/>
              </w:rPr>
              <w:t>1.多部门联合举办，得2分；仅1个部门主办，得1分。</w:t>
            </w:r>
          </w:p>
          <w:p>
            <w:pPr>
              <w:widowControl/>
              <w:rPr>
                <w:rFonts w:eastAsia="仿宋_GB2312"/>
                <w:color w:val="000000"/>
                <w:kern w:val="0"/>
                <w:sz w:val="20"/>
                <w:szCs w:val="21"/>
              </w:rPr>
            </w:pPr>
            <w:r>
              <w:rPr>
                <w:rFonts w:eastAsia="仿宋_GB2312"/>
                <w:color w:val="000000"/>
                <w:kern w:val="0"/>
                <w:sz w:val="20"/>
                <w:szCs w:val="21"/>
              </w:rPr>
              <w:t>2.有媒体参与，得2分；无媒体参与，不得分。</w:t>
            </w:r>
          </w:p>
          <w:p>
            <w:pPr>
              <w:rPr>
                <w:rFonts w:eastAsia="仿宋_GB2312"/>
                <w:kern w:val="0"/>
                <w:sz w:val="20"/>
                <w:szCs w:val="21"/>
              </w:rPr>
            </w:pPr>
            <w:r>
              <w:rPr>
                <w:rFonts w:eastAsia="仿宋_GB2312"/>
                <w:kern w:val="0"/>
                <w:sz w:val="20"/>
                <w:szCs w:val="21"/>
              </w:rPr>
              <w:t>3.有控烟传播材料，得2分；无传播材料，不得分。</w:t>
            </w:r>
          </w:p>
          <w:p>
            <w:pPr>
              <w:rPr>
                <w:rFonts w:eastAsia="仿宋_GB2312"/>
                <w:kern w:val="0"/>
                <w:sz w:val="20"/>
                <w:szCs w:val="21"/>
              </w:rPr>
            </w:pPr>
            <w:r>
              <w:rPr>
                <w:rFonts w:eastAsia="仿宋_GB2312"/>
                <w:kern w:val="0"/>
                <w:sz w:val="20"/>
                <w:szCs w:val="21"/>
              </w:rPr>
              <w:t>该指标满分为6分。</w:t>
            </w:r>
          </w:p>
        </w:tc>
        <w:tc>
          <w:tcPr>
            <w:tcW w:w="567" w:type="dxa"/>
          </w:tcPr>
          <w:p>
            <w:pPr>
              <w:widowControl/>
              <w:spacing w:line="400" w:lineRule="exact"/>
              <w:rPr>
                <w:rFonts w:eastAsia="仿宋_GB2312"/>
                <w:kern w:val="0"/>
                <w:sz w:val="20"/>
                <w:szCs w:val="21"/>
              </w:rPr>
            </w:pPr>
            <w:r>
              <w:rPr>
                <w:rFonts w:eastAsia="仿宋_GB2312"/>
                <w:kern w:val="0"/>
                <w:sz w:val="20"/>
                <w:szCs w:val="21"/>
              </w:rPr>
              <w:t>6</w:t>
            </w:r>
          </w:p>
        </w:tc>
        <w:tc>
          <w:tcPr>
            <w:tcW w:w="567" w:type="dxa"/>
          </w:tcPr>
          <w:p>
            <w:pPr>
              <w:widowControl/>
              <w:spacing w:line="400" w:lineRule="exact"/>
              <w:rPr>
                <w:rFonts w:eastAsia="仿宋_GB2312"/>
                <w:kern w:val="0"/>
                <w:sz w:val="20"/>
                <w:szCs w:val="21"/>
              </w:rPr>
            </w:pPr>
          </w:p>
        </w:tc>
        <w:tc>
          <w:tcPr>
            <w:tcW w:w="809" w:type="dxa"/>
          </w:tcPr>
          <w:p>
            <w:pPr>
              <w:widowControl/>
              <w:spacing w:line="400" w:lineRule="exact"/>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rPr>
                <w:rFonts w:eastAsia="仿宋_GB2312"/>
                <w:kern w:val="0"/>
                <w:sz w:val="20"/>
                <w:szCs w:val="21"/>
              </w:rPr>
            </w:pPr>
          </w:p>
        </w:tc>
        <w:tc>
          <w:tcPr>
            <w:tcW w:w="1020" w:type="dxa"/>
          </w:tcPr>
          <w:p>
            <w:pPr>
              <w:rPr>
                <w:rFonts w:eastAsia="仿宋_GB2312"/>
                <w:kern w:val="0"/>
                <w:sz w:val="20"/>
                <w:szCs w:val="21"/>
              </w:rPr>
            </w:pPr>
            <w:r>
              <w:rPr>
                <w:rFonts w:eastAsia="仿宋_GB2312"/>
                <w:kern w:val="0"/>
                <w:sz w:val="20"/>
                <w:szCs w:val="21"/>
              </w:rPr>
              <w:t>85.群众参与社会公益</w:t>
            </w:r>
          </w:p>
        </w:tc>
        <w:tc>
          <w:tcPr>
            <w:tcW w:w="3061" w:type="dxa"/>
          </w:tcPr>
          <w:p>
            <w:pPr>
              <w:rPr>
                <w:rFonts w:eastAsia="仿宋_GB2312"/>
                <w:kern w:val="0"/>
                <w:sz w:val="20"/>
                <w:szCs w:val="21"/>
              </w:rPr>
            </w:pPr>
            <w:r>
              <w:rPr>
                <w:rFonts w:eastAsia="仿宋_GB2312"/>
                <w:kern w:val="0"/>
                <w:sz w:val="20"/>
                <w:szCs w:val="21"/>
              </w:rPr>
              <w:t>鼓励当地居民积极参与志愿服务等社会公益活动；鼓励群众积极参与无偿献血，年度千人口献血率高于全国平均水平。</w:t>
            </w:r>
          </w:p>
        </w:tc>
        <w:tc>
          <w:tcPr>
            <w:tcW w:w="2551" w:type="dxa"/>
          </w:tcPr>
          <w:p>
            <w:pPr>
              <w:rPr>
                <w:rFonts w:eastAsia="仿宋_GB2312"/>
                <w:kern w:val="0"/>
                <w:sz w:val="20"/>
                <w:szCs w:val="21"/>
              </w:rPr>
            </w:pPr>
            <w:r>
              <w:rPr>
                <w:rFonts w:eastAsia="仿宋_GB2312"/>
                <w:kern w:val="0"/>
                <w:sz w:val="20"/>
                <w:szCs w:val="21"/>
              </w:rPr>
              <w:t>查阅资料：有鼓励居民积极参与志愿服务等社会公益活动的专项计划、注册志愿者相关资料、无偿献血相关资料。</w:t>
            </w:r>
          </w:p>
          <w:p>
            <w:pPr>
              <w:rPr>
                <w:rFonts w:eastAsia="仿宋_GB2312"/>
                <w:kern w:val="0"/>
                <w:sz w:val="20"/>
                <w:szCs w:val="21"/>
              </w:rPr>
            </w:pPr>
            <w:r>
              <w:rPr>
                <w:rFonts w:eastAsia="仿宋_GB2312"/>
                <w:kern w:val="0"/>
                <w:sz w:val="20"/>
                <w:szCs w:val="21"/>
              </w:rPr>
              <w:t>资料来源：民政部门、卫生健康部门、文明办等。</w:t>
            </w:r>
          </w:p>
        </w:tc>
        <w:tc>
          <w:tcPr>
            <w:tcW w:w="5545" w:type="dxa"/>
          </w:tcPr>
          <w:p>
            <w:pPr>
              <w:rPr>
                <w:rFonts w:eastAsia="仿宋_GB2312"/>
                <w:kern w:val="0"/>
                <w:sz w:val="20"/>
                <w:szCs w:val="21"/>
              </w:rPr>
            </w:pPr>
            <w:r>
              <w:rPr>
                <w:rFonts w:eastAsia="仿宋_GB2312"/>
                <w:kern w:val="0"/>
                <w:sz w:val="20"/>
                <w:szCs w:val="21"/>
              </w:rPr>
              <w:t>1.有鼓励居民积极参与志愿服务等社会公益活动的专项计划，得4分；无专项计划，不得分。</w:t>
            </w:r>
          </w:p>
          <w:p>
            <w:pPr>
              <w:rPr>
                <w:rFonts w:eastAsia="仿宋_GB2312"/>
                <w:kern w:val="0"/>
                <w:sz w:val="20"/>
                <w:szCs w:val="21"/>
              </w:rPr>
            </w:pPr>
            <w:r>
              <w:rPr>
                <w:rFonts w:eastAsia="仿宋_GB2312"/>
                <w:kern w:val="0"/>
                <w:sz w:val="20"/>
                <w:szCs w:val="21"/>
              </w:rPr>
              <w:t>2.3年内当地注册志愿者比例逐年提升，得4分；未提升，不得分。</w:t>
            </w:r>
          </w:p>
          <w:p>
            <w:pPr>
              <w:rPr>
                <w:rFonts w:eastAsia="仿宋_GB2312"/>
                <w:kern w:val="0"/>
                <w:sz w:val="20"/>
                <w:szCs w:val="21"/>
              </w:rPr>
            </w:pPr>
            <w:r>
              <w:rPr>
                <w:rFonts w:eastAsia="仿宋_GB2312"/>
                <w:kern w:val="0"/>
                <w:sz w:val="20"/>
                <w:szCs w:val="21"/>
              </w:rPr>
              <w:t>3.年度千人口献血率≥全国同期平均水平，得8分；＜全国同期平均水平，不得分。</w:t>
            </w:r>
          </w:p>
          <w:p>
            <w:pPr>
              <w:rPr>
                <w:rFonts w:eastAsia="仿宋_GB2312"/>
                <w:kern w:val="0"/>
                <w:sz w:val="20"/>
                <w:szCs w:val="21"/>
              </w:rPr>
            </w:pPr>
            <w:r>
              <w:rPr>
                <w:rFonts w:eastAsia="仿宋_GB2312"/>
                <w:kern w:val="0"/>
                <w:sz w:val="20"/>
                <w:szCs w:val="21"/>
              </w:rPr>
              <w:t>该指标满分为16分。</w:t>
            </w:r>
          </w:p>
        </w:tc>
        <w:tc>
          <w:tcPr>
            <w:tcW w:w="567" w:type="dxa"/>
          </w:tcPr>
          <w:p>
            <w:pPr>
              <w:widowControl/>
              <w:rPr>
                <w:rFonts w:eastAsia="仿宋_GB2312"/>
                <w:color w:val="000000"/>
                <w:kern w:val="0"/>
                <w:sz w:val="20"/>
                <w:szCs w:val="21"/>
              </w:rPr>
            </w:pPr>
            <w:r>
              <w:rPr>
                <w:rFonts w:eastAsia="仿宋_GB2312"/>
                <w:color w:val="000000"/>
                <w:kern w:val="0"/>
                <w:sz w:val="20"/>
                <w:szCs w:val="21"/>
              </w:rPr>
              <w:t>16</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restart"/>
          </w:tcPr>
          <w:p>
            <w:pPr>
              <w:widowControl/>
              <w:rPr>
                <w:rFonts w:eastAsia="仿宋_GB2312"/>
                <w:b/>
                <w:bCs/>
                <w:color w:val="000000"/>
                <w:kern w:val="0"/>
                <w:sz w:val="20"/>
                <w:szCs w:val="21"/>
              </w:rPr>
            </w:pPr>
            <w:r>
              <w:rPr>
                <w:rFonts w:eastAsia="仿宋_GB2312"/>
                <w:b/>
                <w:bCs/>
                <w:color w:val="000000"/>
                <w:kern w:val="0"/>
                <w:sz w:val="20"/>
                <w:szCs w:val="21"/>
              </w:rPr>
              <w:t>六、组织管理</w:t>
            </w:r>
          </w:p>
        </w:tc>
        <w:tc>
          <w:tcPr>
            <w:tcW w:w="1020" w:type="dxa"/>
          </w:tcPr>
          <w:p>
            <w:pPr>
              <w:widowControl/>
              <w:rPr>
                <w:rFonts w:eastAsia="仿宋_GB2312"/>
                <w:color w:val="000000"/>
                <w:kern w:val="0"/>
                <w:sz w:val="20"/>
                <w:szCs w:val="21"/>
              </w:rPr>
            </w:pPr>
            <w:r>
              <w:rPr>
                <w:rFonts w:eastAsia="仿宋_GB2312"/>
                <w:color w:val="000000"/>
                <w:kern w:val="0"/>
                <w:sz w:val="20"/>
                <w:szCs w:val="21"/>
              </w:rPr>
              <w:t>86.健康县区建设协调机制和部门分工</w:t>
            </w:r>
          </w:p>
        </w:tc>
        <w:tc>
          <w:tcPr>
            <w:tcW w:w="3061" w:type="dxa"/>
          </w:tcPr>
          <w:p>
            <w:pPr>
              <w:widowControl/>
              <w:rPr>
                <w:rFonts w:eastAsia="仿宋_GB2312"/>
                <w:color w:val="000000"/>
                <w:kern w:val="0"/>
                <w:sz w:val="20"/>
                <w:szCs w:val="21"/>
              </w:rPr>
            </w:pPr>
            <w:r>
              <w:rPr>
                <w:rFonts w:eastAsia="仿宋_GB2312"/>
                <w:color w:val="000000"/>
                <w:kern w:val="0"/>
                <w:sz w:val="20"/>
                <w:szCs w:val="21"/>
              </w:rPr>
              <w:t>建立健康县区建设领导协调机制，统筹推进健康县区建设。明确部门在健康县区建设中的职责和任务，形成工作合力。</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查阅资料：健康县区建设领导协调机制建设相关文件。</w:t>
            </w:r>
          </w:p>
          <w:p>
            <w:pPr>
              <w:widowControl/>
              <w:rPr>
                <w:rFonts w:eastAsia="仿宋_GB2312"/>
                <w:color w:val="000000"/>
                <w:kern w:val="0"/>
                <w:sz w:val="20"/>
                <w:szCs w:val="21"/>
              </w:rPr>
            </w:pPr>
            <w:r>
              <w:rPr>
                <w:rFonts w:eastAsia="仿宋_GB2312"/>
                <w:color w:val="000000"/>
                <w:kern w:val="0"/>
                <w:sz w:val="20"/>
                <w:szCs w:val="21"/>
              </w:rPr>
              <w:t>资料来源：文件印发部门。</w:t>
            </w:r>
          </w:p>
        </w:tc>
        <w:tc>
          <w:tcPr>
            <w:tcW w:w="5545" w:type="dxa"/>
          </w:tcPr>
          <w:p>
            <w:pPr>
              <w:widowControl/>
              <w:rPr>
                <w:rFonts w:eastAsia="仿宋_GB2312"/>
                <w:color w:val="000000"/>
                <w:kern w:val="0"/>
                <w:sz w:val="20"/>
                <w:szCs w:val="21"/>
              </w:rPr>
            </w:pPr>
            <w:r>
              <w:rPr>
                <w:rFonts w:eastAsia="仿宋_GB2312"/>
                <w:color w:val="000000"/>
                <w:kern w:val="0"/>
                <w:sz w:val="20"/>
                <w:szCs w:val="21"/>
              </w:rPr>
              <w:t>1.建立健康县区建设领导协调机制，得6分；未建立，不得分。</w:t>
            </w:r>
          </w:p>
          <w:p>
            <w:pPr>
              <w:widowControl/>
              <w:rPr>
                <w:rFonts w:eastAsia="仿宋_GB2312"/>
                <w:color w:val="000000"/>
                <w:kern w:val="0"/>
                <w:sz w:val="20"/>
                <w:szCs w:val="21"/>
              </w:rPr>
            </w:pPr>
            <w:r>
              <w:rPr>
                <w:rFonts w:eastAsia="仿宋_GB2312"/>
                <w:color w:val="000000"/>
                <w:kern w:val="0"/>
                <w:sz w:val="20"/>
                <w:szCs w:val="21"/>
              </w:rPr>
              <w:t>2.明确相关部门职责和任务分工，得14分；未明确，不得分。</w:t>
            </w:r>
          </w:p>
          <w:p>
            <w:pPr>
              <w:widowControl/>
              <w:rPr>
                <w:rFonts w:eastAsia="仿宋_GB2312"/>
                <w:color w:val="000000"/>
                <w:kern w:val="0"/>
                <w:sz w:val="20"/>
                <w:szCs w:val="21"/>
              </w:rPr>
            </w:pPr>
            <w:r>
              <w:rPr>
                <w:rFonts w:eastAsia="仿宋_GB2312"/>
                <w:color w:val="000000"/>
                <w:kern w:val="0"/>
                <w:sz w:val="20"/>
                <w:szCs w:val="21"/>
              </w:rPr>
              <w:t>该指标满分为20分。</w:t>
            </w:r>
          </w:p>
          <w:p>
            <w:pPr>
              <w:widowControl/>
              <w:rPr>
                <w:rFonts w:eastAsia="仿宋_GB2312"/>
                <w:color w:val="000000"/>
                <w:kern w:val="0"/>
                <w:sz w:val="20"/>
                <w:szCs w:val="21"/>
              </w:rPr>
            </w:pPr>
          </w:p>
        </w:tc>
        <w:tc>
          <w:tcPr>
            <w:tcW w:w="567" w:type="dxa"/>
          </w:tcPr>
          <w:p>
            <w:pPr>
              <w:widowControl/>
              <w:rPr>
                <w:rFonts w:eastAsia="仿宋_GB2312"/>
                <w:b/>
                <w:bCs/>
                <w:color w:val="000000"/>
                <w:kern w:val="0"/>
                <w:sz w:val="20"/>
                <w:szCs w:val="21"/>
              </w:rPr>
            </w:pPr>
            <w:r>
              <w:rPr>
                <w:rFonts w:eastAsia="仿宋_GB2312"/>
                <w:bCs/>
                <w:color w:val="000000"/>
                <w:kern w:val="0"/>
                <w:sz w:val="20"/>
                <w:szCs w:val="21"/>
              </w:rPr>
              <w:t>20</w:t>
            </w:r>
          </w:p>
        </w:tc>
        <w:tc>
          <w:tcPr>
            <w:tcW w:w="567" w:type="dxa"/>
          </w:tcPr>
          <w:p>
            <w:pPr>
              <w:widowControl/>
              <w:rPr>
                <w:rFonts w:eastAsia="仿宋_GB2312"/>
                <w:bCs/>
                <w:color w:val="000000"/>
                <w:kern w:val="0"/>
                <w:sz w:val="20"/>
                <w:szCs w:val="21"/>
              </w:rPr>
            </w:pPr>
          </w:p>
        </w:tc>
        <w:tc>
          <w:tcPr>
            <w:tcW w:w="809" w:type="dxa"/>
          </w:tcPr>
          <w:p>
            <w:pPr>
              <w:widowControl/>
              <w:rPr>
                <w:rFonts w:eastAsia="仿宋_GB2312"/>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rPr>
                <w:rFonts w:eastAsia="仿宋_GB2312"/>
                <w:b/>
                <w:bCs/>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87.健康县区建设工作网络</w:t>
            </w:r>
          </w:p>
        </w:tc>
        <w:tc>
          <w:tcPr>
            <w:tcW w:w="3061" w:type="dxa"/>
          </w:tcPr>
          <w:p>
            <w:pPr>
              <w:widowControl/>
              <w:rPr>
                <w:rFonts w:eastAsia="仿宋_GB2312"/>
                <w:color w:val="000000"/>
                <w:kern w:val="0"/>
                <w:sz w:val="20"/>
                <w:szCs w:val="21"/>
              </w:rPr>
            </w:pPr>
            <w:r>
              <w:rPr>
                <w:rFonts w:eastAsia="仿宋_GB2312"/>
                <w:color w:val="000000"/>
                <w:kern w:val="0"/>
                <w:sz w:val="20"/>
                <w:szCs w:val="21"/>
              </w:rPr>
              <w:t>建立覆盖有关组成部门、乡镇（街道）、社区（村）、学校、机关、中等及以上规模企业的健康促进工作网络，并定期对专（兼）职健康促进与健康教育人员开展培训。</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查阅资料：查阅机构数量和工作网络人员名单及相关培训资料。</w:t>
            </w:r>
          </w:p>
          <w:p>
            <w:pPr>
              <w:widowControl/>
              <w:rPr>
                <w:rFonts w:eastAsia="仿宋_GB2312"/>
                <w:color w:val="000000"/>
                <w:kern w:val="0"/>
                <w:sz w:val="20"/>
                <w:szCs w:val="21"/>
              </w:rPr>
            </w:pPr>
            <w:r>
              <w:rPr>
                <w:rFonts w:eastAsia="仿宋_GB2312"/>
                <w:color w:val="000000"/>
                <w:kern w:val="0"/>
                <w:sz w:val="20"/>
                <w:szCs w:val="21"/>
              </w:rPr>
              <w:t>资料来源：相关部门。</w:t>
            </w:r>
          </w:p>
        </w:tc>
        <w:tc>
          <w:tcPr>
            <w:tcW w:w="5545" w:type="dxa"/>
          </w:tcPr>
          <w:p>
            <w:pPr>
              <w:widowControl/>
              <w:rPr>
                <w:rFonts w:eastAsia="仿宋_GB2312"/>
                <w:color w:val="000000"/>
                <w:kern w:val="0"/>
                <w:sz w:val="20"/>
                <w:szCs w:val="21"/>
              </w:rPr>
            </w:pPr>
            <w:r>
              <w:rPr>
                <w:rFonts w:eastAsia="仿宋_GB2312"/>
                <w:color w:val="000000"/>
                <w:kern w:val="0"/>
                <w:sz w:val="20"/>
                <w:szCs w:val="21"/>
              </w:rPr>
              <w:t>1.工作网络覆盖率100%，得8分；≥80%且＜100%，得4分；≥60%且＜80%，得2分；＜60%，不得分。</w:t>
            </w:r>
          </w:p>
          <w:p>
            <w:pPr>
              <w:widowControl/>
              <w:rPr>
                <w:rFonts w:eastAsia="仿宋_GB2312"/>
                <w:color w:val="000000"/>
                <w:kern w:val="0"/>
                <w:sz w:val="20"/>
                <w:szCs w:val="21"/>
              </w:rPr>
            </w:pPr>
            <w:r>
              <w:rPr>
                <w:rFonts w:eastAsia="仿宋_GB2312"/>
                <w:color w:val="000000"/>
                <w:kern w:val="0"/>
                <w:sz w:val="20"/>
                <w:szCs w:val="21"/>
              </w:rPr>
              <w:t>2.工作网络培训覆盖率达到100%，得6分；≥80%且＜100%，得3分；≥60%且＜80%，得2分；＜60%，不得分。</w:t>
            </w:r>
          </w:p>
          <w:p>
            <w:pPr>
              <w:widowControl/>
              <w:rPr>
                <w:rFonts w:eastAsia="仿宋_GB2312"/>
                <w:color w:val="000000"/>
                <w:kern w:val="0"/>
                <w:sz w:val="20"/>
                <w:szCs w:val="21"/>
              </w:rPr>
            </w:pPr>
            <w:r>
              <w:rPr>
                <w:rFonts w:eastAsia="仿宋_GB2312"/>
                <w:color w:val="000000"/>
                <w:kern w:val="0"/>
                <w:sz w:val="20"/>
                <w:szCs w:val="21"/>
              </w:rPr>
              <w:t>该指标满分为14分。</w:t>
            </w:r>
          </w:p>
        </w:tc>
        <w:tc>
          <w:tcPr>
            <w:tcW w:w="567" w:type="dxa"/>
          </w:tcPr>
          <w:p>
            <w:pPr>
              <w:widowControl/>
              <w:rPr>
                <w:rFonts w:eastAsia="仿宋_GB2312"/>
                <w:color w:val="000000"/>
                <w:kern w:val="0"/>
                <w:sz w:val="20"/>
                <w:szCs w:val="21"/>
              </w:rPr>
            </w:pPr>
            <w:r>
              <w:rPr>
                <w:rFonts w:eastAsia="仿宋_GB2312"/>
                <w:color w:val="000000"/>
                <w:kern w:val="0"/>
                <w:sz w:val="20"/>
                <w:szCs w:val="21"/>
              </w:rPr>
              <w:t>14</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82" w:type="dxa"/>
            <w:vMerge w:val="continue"/>
          </w:tcPr>
          <w:p>
            <w:pPr>
              <w:widowControl/>
              <w:rPr>
                <w:rFonts w:eastAsia="仿宋_GB2312"/>
                <w:b/>
                <w:bCs/>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88.健康县区建设专业网络</w:t>
            </w:r>
          </w:p>
        </w:tc>
        <w:tc>
          <w:tcPr>
            <w:tcW w:w="3061" w:type="dxa"/>
          </w:tcPr>
          <w:p>
            <w:pPr>
              <w:widowControl/>
              <w:rPr>
                <w:rFonts w:eastAsia="仿宋_GB2312"/>
                <w:color w:val="000000"/>
                <w:kern w:val="0"/>
                <w:sz w:val="20"/>
                <w:szCs w:val="21"/>
              </w:rPr>
            </w:pPr>
            <w:r>
              <w:rPr>
                <w:rFonts w:eastAsia="仿宋_GB2312"/>
                <w:color w:val="000000"/>
                <w:kern w:val="0"/>
                <w:sz w:val="20"/>
                <w:szCs w:val="21"/>
              </w:rPr>
              <w:t>建立以健康教育专业机构为核心、覆盖辖区内所有医院、公共卫生机构、计划生育服务机构、基层医疗卫生机构的健康促进专业网络。每单位有专（兼）职人员承担健康促进与健康教育工作。定期对专（兼）职人员开展培训。</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查阅资料：相关培训资料。</w:t>
            </w:r>
          </w:p>
          <w:p>
            <w:pPr>
              <w:widowControl/>
              <w:rPr>
                <w:rFonts w:eastAsia="仿宋_GB2312"/>
                <w:color w:val="000000"/>
                <w:kern w:val="0"/>
                <w:sz w:val="20"/>
                <w:szCs w:val="21"/>
              </w:rPr>
            </w:pPr>
            <w:r>
              <w:rPr>
                <w:rFonts w:eastAsia="仿宋_GB2312"/>
                <w:color w:val="000000"/>
                <w:kern w:val="0"/>
                <w:sz w:val="20"/>
                <w:szCs w:val="21"/>
              </w:rPr>
              <w:t>资料来源：相关部门。</w:t>
            </w:r>
          </w:p>
        </w:tc>
        <w:tc>
          <w:tcPr>
            <w:tcW w:w="5545" w:type="dxa"/>
          </w:tcPr>
          <w:p>
            <w:pPr>
              <w:widowControl/>
              <w:rPr>
                <w:rFonts w:eastAsia="仿宋_GB2312"/>
                <w:color w:val="000000"/>
                <w:kern w:val="0"/>
                <w:sz w:val="20"/>
                <w:szCs w:val="21"/>
              </w:rPr>
            </w:pPr>
            <w:r>
              <w:rPr>
                <w:rFonts w:eastAsia="仿宋_GB2312"/>
                <w:color w:val="000000"/>
                <w:kern w:val="0"/>
                <w:sz w:val="20"/>
                <w:szCs w:val="21"/>
              </w:rPr>
              <w:t>1.专业网络覆盖率100%，得10分；≥80%且＜100%，得5分；≥60%且＜80%，得3分；＜60%，不得分。</w:t>
            </w:r>
          </w:p>
          <w:p>
            <w:pPr>
              <w:widowControl/>
              <w:rPr>
                <w:rFonts w:eastAsia="仿宋_GB2312"/>
                <w:color w:val="000000"/>
                <w:kern w:val="0"/>
                <w:sz w:val="20"/>
                <w:szCs w:val="21"/>
              </w:rPr>
            </w:pPr>
            <w:r>
              <w:rPr>
                <w:rFonts w:eastAsia="仿宋_GB2312"/>
                <w:color w:val="000000"/>
                <w:kern w:val="0"/>
                <w:sz w:val="20"/>
                <w:szCs w:val="21"/>
              </w:rPr>
              <w:t>2.专业网络培训覆盖率达到100%，得10分；≥80%且＜100%，得5分；≥60%且＜80%，得3分；＜60%，不得分。</w:t>
            </w:r>
          </w:p>
          <w:p>
            <w:pPr>
              <w:widowControl/>
              <w:rPr>
                <w:rFonts w:eastAsia="仿宋_GB2312"/>
                <w:color w:val="000000"/>
                <w:kern w:val="0"/>
                <w:sz w:val="20"/>
                <w:szCs w:val="21"/>
              </w:rPr>
            </w:pPr>
            <w:r>
              <w:rPr>
                <w:rFonts w:eastAsia="仿宋_GB2312"/>
                <w:color w:val="000000"/>
                <w:kern w:val="0"/>
                <w:sz w:val="20"/>
                <w:szCs w:val="21"/>
              </w:rPr>
              <w:t>该指标满分为20分。</w:t>
            </w:r>
          </w:p>
        </w:tc>
        <w:tc>
          <w:tcPr>
            <w:tcW w:w="567" w:type="dxa"/>
          </w:tcPr>
          <w:p>
            <w:pPr>
              <w:widowControl/>
              <w:rPr>
                <w:rFonts w:eastAsia="仿宋_GB2312"/>
                <w:color w:val="000000"/>
                <w:kern w:val="0"/>
                <w:sz w:val="20"/>
                <w:szCs w:val="21"/>
              </w:rPr>
            </w:pPr>
            <w:r>
              <w:rPr>
                <w:rFonts w:eastAsia="仿宋_GB2312"/>
                <w:color w:val="000000"/>
                <w:kern w:val="0"/>
                <w:sz w:val="20"/>
                <w:szCs w:val="21"/>
              </w:rPr>
              <w:t>20</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89.健康县区建设自评</w:t>
            </w:r>
          </w:p>
        </w:tc>
        <w:tc>
          <w:tcPr>
            <w:tcW w:w="3061" w:type="dxa"/>
          </w:tcPr>
          <w:p>
            <w:pPr>
              <w:widowControl/>
              <w:rPr>
                <w:rFonts w:eastAsia="仿宋_GB2312"/>
                <w:color w:val="000000"/>
                <w:kern w:val="0"/>
                <w:sz w:val="20"/>
                <w:szCs w:val="21"/>
              </w:rPr>
            </w:pPr>
            <w:r>
              <w:rPr>
                <w:rFonts w:eastAsia="仿宋_GB2312"/>
                <w:color w:val="000000"/>
                <w:kern w:val="0"/>
                <w:sz w:val="20"/>
                <w:szCs w:val="21"/>
              </w:rPr>
              <w:t>定期开展健康县区建设自评工作，分析建设过程中遇到的困难和问题，适时调整优化建设策略和措施。</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查阅资料：评估文件、评估过程资料、评估报告等相关资料。</w:t>
            </w:r>
          </w:p>
          <w:p>
            <w:pPr>
              <w:widowControl/>
              <w:rPr>
                <w:rFonts w:eastAsia="仿宋_GB2312"/>
                <w:color w:val="000000"/>
                <w:kern w:val="0"/>
                <w:sz w:val="20"/>
                <w:szCs w:val="21"/>
              </w:rPr>
            </w:pPr>
            <w:r>
              <w:rPr>
                <w:rFonts w:eastAsia="仿宋_GB2312"/>
                <w:color w:val="000000"/>
                <w:kern w:val="0"/>
                <w:sz w:val="20"/>
                <w:szCs w:val="21"/>
              </w:rPr>
              <w:t>资料来源：相关部门。</w:t>
            </w:r>
          </w:p>
        </w:tc>
        <w:tc>
          <w:tcPr>
            <w:tcW w:w="5545" w:type="dxa"/>
          </w:tcPr>
          <w:p>
            <w:pPr>
              <w:widowControl/>
              <w:rPr>
                <w:rFonts w:eastAsia="仿宋_GB2312"/>
                <w:color w:val="000000"/>
                <w:kern w:val="0"/>
                <w:sz w:val="20"/>
                <w:szCs w:val="21"/>
              </w:rPr>
            </w:pPr>
            <w:r>
              <w:rPr>
                <w:rFonts w:eastAsia="仿宋_GB2312"/>
                <w:color w:val="000000"/>
                <w:kern w:val="0"/>
                <w:sz w:val="20"/>
                <w:szCs w:val="21"/>
              </w:rPr>
              <w:t>1.近2年开展了健康县区建设自评工作，有自评报告，得8分；未开展，不得分。</w:t>
            </w:r>
          </w:p>
          <w:p>
            <w:pPr>
              <w:widowControl/>
              <w:rPr>
                <w:rFonts w:eastAsia="仿宋_GB2312"/>
                <w:color w:val="000000"/>
                <w:kern w:val="0"/>
                <w:sz w:val="20"/>
                <w:szCs w:val="21"/>
              </w:rPr>
            </w:pPr>
            <w:r>
              <w:rPr>
                <w:rFonts w:eastAsia="仿宋_GB2312"/>
                <w:color w:val="000000"/>
                <w:kern w:val="0"/>
                <w:sz w:val="20"/>
                <w:szCs w:val="21"/>
              </w:rPr>
              <w:t>2.在自评报告中，提出薄弱环节和改进措施，得8分；无自评报告或未提出，不得分。</w:t>
            </w:r>
          </w:p>
          <w:p>
            <w:pPr>
              <w:widowControl/>
              <w:rPr>
                <w:rFonts w:eastAsia="仿宋_GB2312"/>
                <w:color w:val="000000"/>
                <w:kern w:val="0"/>
                <w:sz w:val="20"/>
                <w:szCs w:val="21"/>
              </w:rPr>
            </w:pPr>
            <w:r>
              <w:rPr>
                <w:rFonts w:eastAsia="仿宋_GB2312"/>
                <w:color w:val="000000"/>
                <w:kern w:val="0"/>
                <w:sz w:val="20"/>
                <w:szCs w:val="21"/>
              </w:rPr>
              <w:t>该指标满分为16分。</w:t>
            </w:r>
          </w:p>
        </w:tc>
        <w:tc>
          <w:tcPr>
            <w:tcW w:w="567" w:type="dxa"/>
          </w:tcPr>
          <w:p>
            <w:pPr>
              <w:widowControl/>
              <w:rPr>
                <w:rFonts w:eastAsia="仿宋_GB2312"/>
                <w:color w:val="000000"/>
                <w:kern w:val="0"/>
                <w:sz w:val="20"/>
                <w:szCs w:val="21"/>
              </w:rPr>
            </w:pPr>
            <w:r>
              <w:rPr>
                <w:rFonts w:eastAsia="仿宋_GB2312"/>
                <w:color w:val="000000"/>
                <w:kern w:val="0"/>
                <w:sz w:val="20"/>
                <w:szCs w:val="21"/>
              </w:rPr>
              <w:t>16</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82" w:type="dxa"/>
            <w:vMerge w:val="continue"/>
          </w:tcPr>
          <w:p>
            <w:pPr>
              <w:widowControl/>
              <w:rPr>
                <w:rFonts w:eastAsia="仿宋_GB2312"/>
                <w:color w:val="000000"/>
                <w:kern w:val="0"/>
                <w:sz w:val="20"/>
                <w:szCs w:val="21"/>
              </w:rPr>
            </w:pPr>
          </w:p>
        </w:tc>
        <w:tc>
          <w:tcPr>
            <w:tcW w:w="1020" w:type="dxa"/>
          </w:tcPr>
          <w:p>
            <w:pPr>
              <w:widowControl/>
              <w:rPr>
                <w:rFonts w:eastAsia="仿宋_GB2312"/>
                <w:color w:val="000000"/>
                <w:kern w:val="0"/>
                <w:sz w:val="20"/>
                <w:szCs w:val="21"/>
              </w:rPr>
            </w:pPr>
            <w:r>
              <w:rPr>
                <w:rFonts w:eastAsia="仿宋_GB2312"/>
                <w:color w:val="000000"/>
                <w:kern w:val="0"/>
                <w:sz w:val="20"/>
                <w:szCs w:val="21"/>
              </w:rPr>
              <w:t>90.人工智能和大数据等新技术应用</w:t>
            </w:r>
          </w:p>
        </w:tc>
        <w:tc>
          <w:tcPr>
            <w:tcW w:w="3061" w:type="dxa"/>
          </w:tcPr>
          <w:p>
            <w:pPr>
              <w:widowControl/>
              <w:rPr>
                <w:rFonts w:eastAsia="仿宋_GB2312"/>
                <w:color w:val="000000"/>
                <w:kern w:val="0"/>
                <w:sz w:val="20"/>
                <w:szCs w:val="21"/>
              </w:rPr>
            </w:pPr>
            <w:r>
              <w:rPr>
                <w:rFonts w:eastAsia="仿宋_GB2312"/>
                <w:color w:val="000000"/>
                <w:kern w:val="0"/>
                <w:sz w:val="20"/>
                <w:szCs w:val="21"/>
              </w:rPr>
              <w:t>在健康县区建设的组织实施、监测评价等管理环节中，或在各建设领域的具体工作中，使用人工智能和大数据等新技术，利用信息化手段提升健康县区建设水平。</w:t>
            </w:r>
          </w:p>
        </w:tc>
        <w:tc>
          <w:tcPr>
            <w:tcW w:w="2551" w:type="dxa"/>
          </w:tcPr>
          <w:p>
            <w:pPr>
              <w:widowControl/>
              <w:rPr>
                <w:rFonts w:eastAsia="仿宋_GB2312"/>
                <w:color w:val="000000"/>
                <w:kern w:val="0"/>
                <w:sz w:val="20"/>
                <w:szCs w:val="21"/>
              </w:rPr>
            </w:pPr>
            <w:r>
              <w:rPr>
                <w:rFonts w:eastAsia="仿宋_GB2312"/>
                <w:color w:val="000000"/>
                <w:kern w:val="0"/>
                <w:sz w:val="20"/>
                <w:szCs w:val="21"/>
              </w:rPr>
              <w:t>查阅资料：人工智能和大数据等新技术应用的相关工作资料。</w:t>
            </w:r>
          </w:p>
          <w:p>
            <w:pPr>
              <w:widowControl/>
              <w:rPr>
                <w:rFonts w:eastAsia="仿宋_GB2312"/>
                <w:color w:val="000000"/>
                <w:kern w:val="0"/>
                <w:sz w:val="20"/>
                <w:szCs w:val="21"/>
              </w:rPr>
            </w:pPr>
            <w:r>
              <w:rPr>
                <w:rFonts w:eastAsia="仿宋_GB2312"/>
                <w:color w:val="000000"/>
                <w:kern w:val="0"/>
                <w:sz w:val="20"/>
                <w:szCs w:val="21"/>
              </w:rPr>
              <w:t>资料来源：相关部门。</w:t>
            </w:r>
          </w:p>
        </w:tc>
        <w:tc>
          <w:tcPr>
            <w:tcW w:w="5545" w:type="dxa"/>
          </w:tcPr>
          <w:p>
            <w:pPr>
              <w:widowControl/>
              <w:rPr>
                <w:rFonts w:eastAsia="仿宋_GB2312"/>
                <w:color w:val="000000"/>
                <w:kern w:val="0"/>
                <w:sz w:val="20"/>
                <w:szCs w:val="21"/>
              </w:rPr>
            </w:pPr>
            <w:r>
              <w:rPr>
                <w:rFonts w:eastAsia="仿宋_GB2312"/>
                <w:color w:val="000000"/>
                <w:kern w:val="0"/>
                <w:sz w:val="20"/>
                <w:szCs w:val="21"/>
              </w:rPr>
              <w:t>在管理环节或具体工作中使用人工智能和大数据等新技术，每项应用得2分，满分为10分。</w:t>
            </w:r>
          </w:p>
        </w:tc>
        <w:tc>
          <w:tcPr>
            <w:tcW w:w="567" w:type="dxa"/>
          </w:tcPr>
          <w:p>
            <w:pPr>
              <w:widowControl/>
              <w:rPr>
                <w:rFonts w:eastAsia="仿宋_GB2312"/>
                <w:color w:val="000000"/>
                <w:kern w:val="0"/>
                <w:sz w:val="20"/>
                <w:szCs w:val="21"/>
              </w:rPr>
            </w:pPr>
            <w:r>
              <w:rPr>
                <w:rFonts w:eastAsia="仿宋_GB2312"/>
                <w:color w:val="000000"/>
                <w:kern w:val="0"/>
                <w:sz w:val="20"/>
                <w:szCs w:val="21"/>
              </w:rPr>
              <w:t>10</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559" w:type="dxa"/>
            <w:gridSpan w:val="5"/>
            <w:vAlign w:val="center"/>
          </w:tcPr>
          <w:p>
            <w:pPr>
              <w:widowControl/>
              <w:jc w:val="left"/>
              <w:rPr>
                <w:rFonts w:eastAsia="仿宋_GB2312"/>
                <w:b/>
                <w:color w:val="000000"/>
                <w:kern w:val="0"/>
                <w:sz w:val="20"/>
                <w:szCs w:val="21"/>
              </w:rPr>
            </w:pPr>
            <w:r>
              <w:rPr>
                <w:rFonts w:eastAsia="仿宋_GB2312"/>
                <w:b/>
                <w:color w:val="000000"/>
                <w:kern w:val="0"/>
                <w:sz w:val="20"/>
                <w:szCs w:val="21"/>
              </w:rPr>
              <w:t>资料总计</w:t>
            </w:r>
          </w:p>
        </w:tc>
        <w:tc>
          <w:tcPr>
            <w:tcW w:w="567" w:type="dxa"/>
            <w:vAlign w:val="center"/>
          </w:tcPr>
          <w:p>
            <w:pPr>
              <w:widowControl/>
              <w:rPr>
                <w:rFonts w:eastAsia="仿宋_GB2312"/>
                <w:b/>
                <w:color w:val="000000"/>
                <w:kern w:val="0"/>
                <w:sz w:val="20"/>
                <w:szCs w:val="21"/>
              </w:rPr>
            </w:pPr>
            <w:r>
              <w:rPr>
                <w:rFonts w:eastAsia="仿宋_GB2312"/>
                <w:b/>
                <w:color w:val="000000"/>
                <w:kern w:val="0"/>
                <w:sz w:val="20"/>
                <w:szCs w:val="21"/>
              </w:rPr>
              <w:t>697</w:t>
            </w:r>
          </w:p>
        </w:tc>
        <w:tc>
          <w:tcPr>
            <w:tcW w:w="567" w:type="dxa"/>
          </w:tcPr>
          <w:p>
            <w:pPr>
              <w:widowControl/>
              <w:rPr>
                <w:rFonts w:eastAsia="仿宋_GB2312"/>
                <w:color w:val="000000"/>
                <w:kern w:val="0"/>
                <w:sz w:val="20"/>
                <w:szCs w:val="21"/>
              </w:rPr>
            </w:pPr>
          </w:p>
        </w:tc>
        <w:tc>
          <w:tcPr>
            <w:tcW w:w="809" w:type="dxa"/>
          </w:tcPr>
          <w:p>
            <w:pPr>
              <w:widowControl/>
              <w:rPr>
                <w:rFonts w:eastAsia="仿宋_GB2312"/>
                <w:color w:val="000000"/>
                <w:kern w:val="0"/>
                <w:sz w:val="20"/>
                <w:szCs w:val="21"/>
              </w:rPr>
            </w:pPr>
          </w:p>
        </w:tc>
      </w:tr>
    </w:tbl>
    <w:p>
      <w:pPr>
        <w:widowControl/>
        <w:jc w:val="left"/>
        <w:rPr>
          <w:rFonts w:eastAsia="仿宋_GB2312"/>
          <w:sz w:val="32"/>
          <w:szCs w:val="32"/>
        </w:rPr>
      </w:pPr>
      <w:r>
        <w:rPr>
          <w:rFonts w:eastAsia="仿宋_GB2312"/>
          <w:sz w:val="32"/>
          <w:szCs w:val="32"/>
        </w:rPr>
        <w:br w:type="page"/>
      </w:r>
      <w:r>
        <w:rPr>
          <w:rFonts w:eastAsia="仿宋_GB2312"/>
          <w:sz w:val="32"/>
          <w:szCs w:val="32"/>
        </w:rPr>
        <w:t>附件</w:t>
      </w:r>
      <w:r>
        <w:rPr>
          <w:rFonts w:hint="eastAsia" w:eastAsia="仿宋_GB2312"/>
          <w:sz w:val="32"/>
          <w:szCs w:val="32"/>
        </w:rPr>
        <w:t>11</w:t>
      </w:r>
    </w:p>
    <w:p>
      <w:pPr>
        <w:widowControl/>
        <w:spacing w:beforeLines="50" w:afterLines="50"/>
        <w:jc w:val="center"/>
        <w:rPr>
          <w:rFonts w:eastAsia="仿宋_GB2312"/>
          <w:kern w:val="0"/>
          <w:sz w:val="36"/>
          <w:szCs w:val="36"/>
        </w:rPr>
      </w:pPr>
      <w:r>
        <w:rPr>
          <w:rFonts w:eastAsia="仿宋_GB2312"/>
          <w:kern w:val="0"/>
          <w:sz w:val="36"/>
          <w:szCs w:val="36"/>
        </w:rPr>
        <w:t>健康县区评估细则（现场抽查）</w:t>
      </w:r>
    </w:p>
    <w:tbl>
      <w:tblPr>
        <w:tblStyle w:val="4"/>
        <w:tblW w:w="0" w:type="auto"/>
        <w:tblInd w:w="108" w:type="dxa"/>
        <w:tblLayout w:type="fixed"/>
        <w:tblCellMar>
          <w:top w:w="0" w:type="dxa"/>
          <w:left w:w="108" w:type="dxa"/>
          <w:bottom w:w="0" w:type="dxa"/>
          <w:right w:w="108" w:type="dxa"/>
        </w:tblCellMar>
      </w:tblPr>
      <w:tblGrid>
        <w:gridCol w:w="2410"/>
        <w:gridCol w:w="9008"/>
        <w:gridCol w:w="665"/>
        <w:gridCol w:w="396"/>
        <w:gridCol w:w="12"/>
        <w:gridCol w:w="12"/>
        <w:gridCol w:w="12"/>
        <w:gridCol w:w="444"/>
        <w:gridCol w:w="1107"/>
      </w:tblGrid>
      <w:tr>
        <w:tblPrEx>
          <w:tblCellMar>
            <w:top w:w="0" w:type="dxa"/>
            <w:left w:w="108" w:type="dxa"/>
            <w:bottom w:w="0" w:type="dxa"/>
            <w:right w:w="108" w:type="dxa"/>
          </w:tblCellMar>
        </w:tblPrEx>
        <w:trPr>
          <w:trHeight w:val="184" w:hRule="atLeast"/>
        </w:trPr>
        <w:tc>
          <w:tcPr>
            <w:tcW w:w="14066" w:type="dxa"/>
            <w:gridSpan w:val="9"/>
            <w:tcBorders>
              <w:left w:val="nil"/>
              <w:bottom w:val="single" w:color="auto"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抽查单位1.城区居民小区</w:t>
            </w:r>
          </w:p>
        </w:tc>
      </w:tr>
      <w:tr>
        <w:tblPrEx>
          <w:tblCellMar>
            <w:top w:w="0" w:type="dxa"/>
            <w:left w:w="108" w:type="dxa"/>
            <w:bottom w:w="0" w:type="dxa"/>
            <w:right w:w="108" w:type="dxa"/>
          </w:tblCellMar>
        </w:tblPrEx>
        <w:trPr>
          <w:trHeight w:val="288" w:hRule="atLeast"/>
        </w:trPr>
        <w:tc>
          <w:tcPr>
            <w:tcW w:w="241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single" w:color="auto"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39.健康细胞1</w:t>
            </w:r>
          </w:p>
        </w:tc>
        <w:tc>
          <w:tcPr>
            <w:tcW w:w="9008" w:type="dxa"/>
            <w:tcBorders>
              <w:top w:val="single" w:color="auto"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见健康细胞评估细则。</w:t>
            </w:r>
          </w:p>
        </w:tc>
        <w:tc>
          <w:tcPr>
            <w:tcW w:w="665" w:type="dxa"/>
            <w:tcBorders>
              <w:top w:val="single" w:color="auto"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color="auto"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auto"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10.无障碍设施</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至少建有盲道、无障碍卫生间（厕位）、出入口无障碍设施、低位服务设施、无障碍停车位、无障碍标志这 6 种无障碍设施的 3 种及以上，得 4 分；＜3 种，得 2 分； 未建设无障碍设施，不得分。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23.垃圾分类</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垃圾分类符合城乡垃圾分类相关规范要求者，得2.5分；不符合者，不得分。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2.5</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28.病媒孳生地</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被抽查街道鼠、蚊、蝇、蟑螂的密度达到国家标准B级，每项2分，合计8分；达到C级，每项0.5分，合计2分；C级以下，不得分。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8</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28.病媒孳生地</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未发现无盖的瓶瓶罐罐、轮胎积水、坑洼等小型积水，得2分；发现者，不得分。雨水道口等排水系统无积水，得2分；有积水，不得分。垃圾桶加盖得2分；未加盖，不得分。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6</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47.托育服务</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被抽查的城区居民小区中，有建设托育服务设施，得5分；未建设，不得分。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5</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400"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52.消防安全</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eastAsia="仿宋_GB2312"/>
                <w:color w:val="000000"/>
                <w:kern w:val="0"/>
                <w:szCs w:val="21"/>
              </w:rPr>
            </w:pPr>
            <w:r>
              <w:rPr>
                <w:rFonts w:eastAsia="仿宋_GB2312"/>
                <w:color w:val="000000"/>
                <w:kern w:val="0"/>
                <w:szCs w:val="21"/>
              </w:rPr>
              <w:t>1.消防设施齐全、完好（火灾自动报警系统、自动灭火系统、消火栓系统、防烟排烟系统以及应急广播和应急照明、安全疏散设施等），得2分；未达标，不得分。2.消防车通道畅通，得2分；未达标，不得分。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33.5</w:t>
            </w:r>
          </w:p>
        </w:tc>
        <w:tc>
          <w:tcPr>
            <w:tcW w:w="876" w:type="dxa"/>
            <w:gridSpan w:val="5"/>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nil"/>
              <w:bottom w:val="nil"/>
              <w:right w:val="nil"/>
            </w:tcBorders>
            <w:noWrap/>
            <w:vAlign w:val="center"/>
          </w:tcPr>
          <w:p>
            <w:pPr>
              <w:widowControl/>
              <w:spacing w:line="440" w:lineRule="exact"/>
              <w:rPr>
                <w:rFonts w:eastAsia="仿宋_GB2312"/>
                <w:kern w:val="0"/>
                <w:sz w:val="20"/>
                <w:szCs w:val="20"/>
              </w:rPr>
            </w:pPr>
          </w:p>
          <w:p>
            <w:pPr>
              <w:widowControl/>
              <w:spacing w:line="440" w:lineRule="exact"/>
              <w:jc w:val="center"/>
              <w:rPr>
                <w:rFonts w:eastAsia="仿宋_GB2312"/>
                <w:kern w:val="0"/>
                <w:sz w:val="20"/>
                <w:szCs w:val="20"/>
              </w:rPr>
            </w:pPr>
          </w:p>
        </w:tc>
        <w:tc>
          <w:tcPr>
            <w:tcW w:w="9008"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665"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876" w:type="dxa"/>
            <w:gridSpan w:val="5"/>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1107"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top w:val="nil"/>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抽查单位2.行政村</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39.健康细胞2</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见健康细胞评估细则。</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21.自来水入户</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在查看家户中，实现自来水入户，得2分；无入户者，不得分；5户农村家庭满分为10分。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10</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23.垃圾分类</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在抽查社区中，垃圾分类符合城乡垃圾分类相关规范要求者，得2.5分；不符合者，不得分。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2.5</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27.卫生厕所</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查验标准：卫生厕所指有墙、有顶、有门，厕屋清洁、无臭，粪池无渗漏、无粪便暴露、无蝇蛆，厕所粪污就地处理处置，或转移至户厕外进行处理处置，达到无害化卫生要求。在查看的农户中，符合农村卫生厕所标准者，得1分；不符合者，不得分；5户农村家庭满分为5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5</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29.禽畜饲养</w:t>
            </w:r>
          </w:p>
        </w:tc>
        <w:tc>
          <w:tcPr>
            <w:tcW w:w="9008"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评判标准：禽畜圈养；及时清理粪便。在查看的农户中，符合禽畜饲养评判标准者，得2分；不符合者，不得分；5户农村家庭满分为10分。</w:t>
            </w:r>
          </w:p>
        </w:tc>
        <w:tc>
          <w:tcPr>
            <w:tcW w:w="665"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10</w:t>
            </w:r>
          </w:p>
        </w:tc>
        <w:tc>
          <w:tcPr>
            <w:tcW w:w="876" w:type="dxa"/>
            <w:gridSpan w:val="5"/>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auto" w:sz="4" w:space="0"/>
              <w:left w:val="single" w:color="auto" w:sz="4" w:space="0"/>
              <w:right w:val="single" w:color="auto"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auto" w:sz="4" w:space="0"/>
              <w:left w:val="single" w:color="auto" w:sz="4" w:space="0"/>
              <w:right w:val="single" w:color="auto"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auto" w:sz="4" w:space="0"/>
              <w:left w:val="single" w:color="auto" w:sz="4" w:space="0"/>
              <w:right w:val="single" w:color="auto"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31.5</w:t>
            </w:r>
          </w:p>
        </w:tc>
        <w:tc>
          <w:tcPr>
            <w:tcW w:w="876" w:type="dxa"/>
            <w:gridSpan w:val="5"/>
            <w:tcBorders>
              <w:top w:val="single" w:color="auto" w:sz="4" w:space="0"/>
              <w:left w:val="single" w:color="auto"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auto" w:sz="4" w:space="0"/>
              <w:left w:val="single" w:color="auto" w:sz="4" w:space="0"/>
              <w:right w:val="single" w:color="auto"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top w:val="nil"/>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抽查单位3.县级医院</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39.健康细胞3</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见健康细胞评估细则。</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25.医疗废物处置</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1.医疗废物管理制度健全，得2分；不健全，不得分。2.医疗废物处置规范，得2分；不规范，不得分。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66.绩效考核</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有将健康教育纳入绩效考核的相关落实制度，得2分；无落实制度，不得分。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67.患者健康教育服务</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eastAsia="仿宋_GB2312"/>
                <w:color w:val="000000"/>
                <w:kern w:val="0"/>
                <w:szCs w:val="21"/>
              </w:rPr>
            </w:pPr>
            <w:r>
              <w:rPr>
                <w:rFonts w:eastAsia="仿宋_GB2312"/>
                <w:color w:val="000000"/>
                <w:kern w:val="0"/>
                <w:szCs w:val="21"/>
              </w:rPr>
              <w:t>1.有患者健康教育工作流程，得3分；无工作流程，不得分2.在诊疗中使用健康教育处方，得3分；未使用，不得分。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6</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81.无烟环境建设</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具备醒目的禁烟标识，得1分；无相应标识，不得分（2）如果吸烟区设置不规范或缺乏醒目的引导标识，扣0.5分。（3）在非吸烟区（无吸烟区的单位，视为场所范围均为非吸烟区）未发现吸烟现象或烟蒂，得1分；如有发现，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18</w:t>
            </w:r>
          </w:p>
        </w:tc>
        <w:tc>
          <w:tcPr>
            <w:tcW w:w="876" w:type="dxa"/>
            <w:gridSpan w:val="5"/>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nil"/>
              <w:bottom w:val="nil"/>
              <w:right w:val="nil"/>
            </w:tcBorders>
            <w:noWrap/>
            <w:vAlign w:val="center"/>
          </w:tcPr>
          <w:p>
            <w:pPr>
              <w:widowControl/>
              <w:spacing w:line="440" w:lineRule="exact"/>
              <w:rPr>
                <w:rFonts w:eastAsia="仿宋_GB2312"/>
                <w:kern w:val="0"/>
                <w:sz w:val="20"/>
                <w:szCs w:val="20"/>
              </w:rPr>
            </w:pPr>
          </w:p>
        </w:tc>
        <w:tc>
          <w:tcPr>
            <w:tcW w:w="9008"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665"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876" w:type="dxa"/>
            <w:gridSpan w:val="5"/>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1107"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top w:val="nil"/>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抽查单位4.乡镇卫生院</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39.健康细胞4</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见健康细胞评估细则。</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25.医疗废物处置</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1.医疗废物管理制度健全，得2分；不健全，不得分。2.医疗废物处置规范，得2分；不规范，不得分。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55.家庭医生签约服务</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定期开展家庭医生签约服务质量考核，得1分；未考核，不得分。2.能够为签约居民提供优先转诊、检查、住院等服务，得1.5分；不能提供，不得分。3.能够为签约慢病患者提供大于4周长处方服务，得1.5分；不能提供，不得分。4.重点人群签约服务覆盖率≥70%，得2分；＜70%，不得分。也可在社区卫生服务中心查看。</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6</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63.基层健康教育服务项目</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能够按照基本公共卫生服务规范实施健康教育项目，得7分；未规范实施，得4分；未实施，不得分。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7</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66.绩效考核</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有将健康教育纳入绩效考核的相关落实制度，得2分；无落实制度，不得分。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67.患者健康教育服务</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eastAsia="仿宋_GB2312"/>
                <w:color w:val="000000"/>
                <w:kern w:val="0"/>
                <w:szCs w:val="21"/>
              </w:rPr>
            </w:pPr>
            <w:r>
              <w:rPr>
                <w:rFonts w:eastAsia="仿宋_GB2312"/>
                <w:color w:val="000000"/>
                <w:kern w:val="0"/>
                <w:szCs w:val="21"/>
              </w:rPr>
              <w:t>1.有患者健康教育工作流程，得3分；无工作流程，不得分2.在诊疗中使用健康教育处方，得3分；未使用，不得分。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6</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576"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71.家庭医生中医药服务</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eastAsia="仿宋_GB2312"/>
                <w:color w:val="000000"/>
                <w:kern w:val="0"/>
                <w:szCs w:val="21"/>
              </w:rPr>
            </w:pPr>
            <w:r>
              <w:rPr>
                <w:rFonts w:eastAsia="仿宋_GB2312"/>
                <w:color w:val="000000"/>
                <w:kern w:val="0"/>
                <w:szCs w:val="21"/>
              </w:rPr>
              <w:t>1.机构有包含中医药服务内容的签约服务包，得2分；没有，不得分。2.社区卫生服务中心或乡镇卫生院有家庭医生团队或个人通过针刺、推拿、拔罐、艾灸等中医药技术方法为签约居民提供中医药治未病服务，得2分；不能提供，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81.无烟环境建设</w:t>
            </w:r>
          </w:p>
        </w:tc>
        <w:tc>
          <w:tcPr>
            <w:tcW w:w="9008"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具备醒目的禁烟标识，得1分；无相应标识，不得分;2.如果吸烟区设置不规范或缺乏醒目的引导标识，扣0.5分。3.在非吸烟区（无吸烟区的单位，视为场所范围均为非吸烟区）未发现吸烟现象或烟蒂，得1分；如有发现，不得分。</w:t>
            </w:r>
          </w:p>
        </w:tc>
        <w:tc>
          <w:tcPr>
            <w:tcW w:w="665"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876" w:type="dxa"/>
            <w:gridSpan w:val="5"/>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35</w:t>
            </w:r>
          </w:p>
        </w:tc>
        <w:tc>
          <w:tcPr>
            <w:tcW w:w="87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抽查单位5.社区卫生服务中心</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63.基层健康教育服务项目</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能够按照基本公共卫生服务规范实施健康教育项目，得7分；未规范实施，得4分；未实施，不得分。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7</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576"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71.家庭医生中医药服务</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eastAsia="仿宋_GB2312"/>
                <w:color w:val="000000"/>
                <w:kern w:val="0"/>
                <w:szCs w:val="21"/>
              </w:rPr>
            </w:pPr>
            <w:r>
              <w:rPr>
                <w:rFonts w:eastAsia="仿宋_GB2312"/>
                <w:color w:val="000000"/>
                <w:kern w:val="0"/>
                <w:szCs w:val="21"/>
              </w:rPr>
              <w:t>1.机构有包含中医药服务内容的签约服务包，得2分；没有，不得分。2.社区卫生服务中心或乡镇卫生院有家庭医生团队或个人通过针刺、推拿、拔罐、艾灸等中医药技术方法为签约居民提供中医药治未病服务，得2分；不能提供，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11</w:t>
            </w:r>
          </w:p>
        </w:tc>
        <w:tc>
          <w:tcPr>
            <w:tcW w:w="876" w:type="dxa"/>
            <w:gridSpan w:val="5"/>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9008"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665"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876" w:type="dxa"/>
            <w:gridSpan w:val="5"/>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1107"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top w:val="nil"/>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抽查单位6-7：小学、中学</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420" w:type="dxa"/>
            <w:gridSpan w:val="3"/>
            <w:tcBorders>
              <w:top w:val="nil"/>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小学</w:t>
            </w:r>
          </w:p>
        </w:tc>
        <w:tc>
          <w:tcPr>
            <w:tcW w:w="456" w:type="dxa"/>
            <w:gridSpan w:val="2"/>
            <w:tcBorders>
              <w:top w:val="nil"/>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r>
              <w:rPr>
                <w:rFonts w:eastAsia="仿宋_GB2312"/>
                <w:color w:val="000000"/>
                <w:kern w:val="0"/>
                <w:szCs w:val="22"/>
              </w:rPr>
              <w:t>中学</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39.健康细胞5、6</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见健康细胞评估细则。</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420" w:type="dxa"/>
            <w:gridSpan w:val="3"/>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456"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1152"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76.健康教育课程</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eastAsia="仿宋_GB2312"/>
                <w:color w:val="000000"/>
                <w:kern w:val="0"/>
                <w:szCs w:val="21"/>
              </w:rPr>
            </w:pPr>
            <w:r>
              <w:rPr>
                <w:rFonts w:eastAsia="仿宋_GB2312"/>
                <w:color w:val="000000"/>
                <w:kern w:val="0"/>
                <w:szCs w:val="21"/>
              </w:rPr>
              <w:t>1.健康教育纳入课程计划，得1分；未纳入，不得分。2.有专兼职健康教育师资，得1分；无师资，不得分。3.有健康教育教学材料，得1分；无教学材料，不得分。4.体现有健康教育的学科渗透（在生物、道德法制、劳动等课程中），得1分；未体现，不得分。5.落实每学期4课时健康教育，得1分；未落实，不得分。6.开展学生健康教育课考试或测评，得2分；未开展，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7</w:t>
            </w:r>
          </w:p>
        </w:tc>
        <w:tc>
          <w:tcPr>
            <w:tcW w:w="420" w:type="dxa"/>
            <w:gridSpan w:val="3"/>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456"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77.学校健康教育活动</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1.每学期健康教育活动≥4次，得2分；＜4次，得1分；未开展，不得分。2.学生社团、志愿者开展卫生健康知识宣传教育，得1分；未开展，不得分。3.利用网络或新媒体开展健康教育，得1分；未开展，不得分。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420" w:type="dxa"/>
            <w:gridSpan w:val="3"/>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456"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78.学生健康水平</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1.近3年内，近视发生率逐年下降，得3分；未下降，不得分。2.近3年内，肥胖发生率逐年下降，得3分；未下降，不得分。3.近3年内，学生体质健康达标优良率逐年上升，得3分；未逐年上升，不得分。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9</w:t>
            </w:r>
          </w:p>
        </w:tc>
        <w:tc>
          <w:tcPr>
            <w:tcW w:w="420" w:type="dxa"/>
            <w:gridSpan w:val="3"/>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456"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81.无烟环境建设</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无吸烟区的单位，视为场所范围均为非吸烟区，发现吸烟或烟蒂，此项分数扣完。</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420" w:type="dxa"/>
            <w:gridSpan w:val="3"/>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456"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82.不向未成年人售烟</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学校周边100米内无烟草/电子烟零售点，得3分；有零售点，不得分。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3</w:t>
            </w:r>
          </w:p>
        </w:tc>
        <w:tc>
          <w:tcPr>
            <w:tcW w:w="420" w:type="dxa"/>
            <w:gridSpan w:val="3"/>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456"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29</w:t>
            </w:r>
          </w:p>
        </w:tc>
        <w:tc>
          <w:tcPr>
            <w:tcW w:w="420" w:type="dxa"/>
            <w:gridSpan w:val="3"/>
            <w:tcBorders>
              <w:top w:val="single" w:color="000000" w:sz="4" w:space="0"/>
              <w:left w:val="single" w:color="000000" w:sz="4" w:space="0"/>
              <w:bottom w:val="nil"/>
              <w:right w:val="single" w:color="auto" w:sz="4" w:space="0"/>
            </w:tcBorders>
            <w:noWrap/>
            <w:vAlign w:val="center"/>
          </w:tcPr>
          <w:p>
            <w:pPr>
              <w:widowControl/>
              <w:spacing w:line="440" w:lineRule="exact"/>
              <w:jc w:val="center"/>
              <w:rPr>
                <w:rFonts w:eastAsia="仿宋_GB2312"/>
                <w:color w:val="000000"/>
                <w:kern w:val="0"/>
                <w:szCs w:val="22"/>
              </w:rPr>
            </w:pPr>
          </w:p>
        </w:tc>
        <w:tc>
          <w:tcPr>
            <w:tcW w:w="456" w:type="dxa"/>
            <w:gridSpan w:val="2"/>
            <w:tcBorders>
              <w:top w:val="single" w:color="000000" w:sz="4" w:space="0"/>
              <w:left w:val="single" w:color="auto" w:sz="4" w:space="0"/>
              <w:bottom w:val="nil"/>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1418" w:type="dxa"/>
            <w:gridSpan w:val="2"/>
            <w:tcBorders>
              <w:top w:val="single" w:color="000000" w:sz="4" w:space="0"/>
              <w:left w:val="nil"/>
              <w:right w:val="nil"/>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注：查看1个小学和1个中学，共计58分。</w:t>
            </w:r>
          </w:p>
        </w:tc>
        <w:tc>
          <w:tcPr>
            <w:tcW w:w="665" w:type="dxa"/>
            <w:tcBorders>
              <w:top w:val="single" w:color="000000" w:sz="4" w:space="0"/>
              <w:left w:val="nil"/>
              <w:right w:val="nil"/>
            </w:tcBorders>
            <w:noWrap/>
            <w:vAlign w:val="center"/>
          </w:tcPr>
          <w:p>
            <w:pPr>
              <w:widowControl/>
              <w:spacing w:line="440" w:lineRule="exact"/>
              <w:jc w:val="left"/>
              <w:rPr>
                <w:rFonts w:eastAsia="仿宋_GB2312"/>
                <w:color w:val="000000"/>
                <w:kern w:val="0"/>
                <w:szCs w:val="22"/>
              </w:rPr>
            </w:pPr>
          </w:p>
        </w:tc>
        <w:tc>
          <w:tcPr>
            <w:tcW w:w="876" w:type="dxa"/>
            <w:gridSpan w:val="5"/>
            <w:tcBorders>
              <w:top w:val="single" w:color="000000" w:sz="4" w:space="0"/>
              <w:left w:val="nil"/>
              <w:right w:val="nil"/>
            </w:tcBorders>
            <w:noWrap/>
            <w:vAlign w:val="center"/>
          </w:tcPr>
          <w:p>
            <w:pPr>
              <w:widowControl/>
              <w:spacing w:line="440" w:lineRule="exact"/>
              <w:jc w:val="left"/>
              <w:rPr>
                <w:rFonts w:eastAsia="仿宋_GB2312"/>
                <w:kern w:val="0"/>
                <w:sz w:val="20"/>
                <w:szCs w:val="20"/>
              </w:rPr>
            </w:pPr>
          </w:p>
        </w:tc>
        <w:tc>
          <w:tcPr>
            <w:tcW w:w="1107" w:type="dxa"/>
            <w:tcBorders>
              <w:top w:val="single" w:color="000000" w:sz="4" w:space="0"/>
              <w:left w:val="nil"/>
              <w:right w:val="nil"/>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top w:val="nil"/>
              <w:left w:val="nil"/>
              <w:right w:val="nil"/>
            </w:tcBorders>
            <w:noWrap/>
            <w:vAlign w:val="center"/>
          </w:tcPr>
          <w:p>
            <w:pPr>
              <w:widowControl/>
              <w:spacing w:line="440" w:lineRule="exact"/>
              <w:jc w:val="left"/>
              <w:rPr>
                <w:rFonts w:eastAsia="仿宋_GB2312"/>
                <w:color w:val="000000"/>
                <w:kern w:val="0"/>
                <w:szCs w:val="22"/>
              </w:rPr>
            </w:pPr>
          </w:p>
          <w:p>
            <w:pPr>
              <w:widowControl/>
              <w:spacing w:line="440" w:lineRule="exact"/>
              <w:jc w:val="left"/>
              <w:rPr>
                <w:rFonts w:eastAsia="仿宋_GB2312"/>
                <w:color w:val="000000"/>
                <w:kern w:val="0"/>
                <w:szCs w:val="22"/>
              </w:rPr>
            </w:pPr>
          </w:p>
          <w:p>
            <w:pPr>
              <w:widowControl/>
              <w:spacing w:line="440" w:lineRule="exact"/>
              <w:jc w:val="left"/>
              <w:rPr>
                <w:rFonts w:eastAsia="仿宋_GB2312"/>
                <w:color w:val="000000"/>
                <w:kern w:val="0"/>
                <w:szCs w:val="22"/>
              </w:rPr>
            </w:pPr>
          </w:p>
          <w:p>
            <w:pPr>
              <w:widowControl/>
              <w:spacing w:line="440" w:lineRule="exact"/>
              <w:jc w:val="left"/>
              <w:rPr>
                <w:rFonts w:eastAsia="仿宋_GB2312"/>
                <w:color w:val="000000"/>
                <w:kern w:val="0"/>
                <w:szCs w:val="22"/>
              </w:rPr>
            </w:pPr>
          </w:p>
          <w:p>
            <w:pPr>
              <w:widowControl/>
              <w:spacing w:line="440" w:lineRule="exact"/>
              <w:jc w:val="left"/>
              <w:rPr>
                <w:rFonts w:eastAsia="仿宋_GB2312"/>
                <w:color w:val="000000"/>
                <w:kern w:val="0"/>
                <w:szCs w:val="22"/>
              </w:rPr>
            </w:pPr>
          </w:p>
        </w:tc>
      </w:tr>
      <w:tr>
        <w:tblPrEx>
          <w:tblCellMar>
            <w:top w:w="0" w:type="dxa"/>
            <w:left w:w="108" w:type="dxa"/>
            <w:bottom w:w="0" w:type="dxa"/>
            <w:right w:w="108" w:type="dxa"/>
          </w:tblCellMar>
        </w:tblPrEx>
        <w:trPr>
          <w:trHeight w:val="288" w:hRule="atLeast"/>
        </w:trPr>
        <w:tc>
          <w:tcPr>
            <w:tcW w:w="14066" w:type="dxa"/>
            <w:gridSpan w:val="9"/>
            <w:tcBorders>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抽查单位8.餐馆、食堂</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408" w:type="dxa"/>
            <w:gridSpan w:val="2"/>
            <w:tcBorders>
              <w:top w:val="nil"/>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餐馆</w:t>
            </w:r>
          </w:p>
        </w:tc>
        <w:tc>
          <w:tcPr>
            <w:tcW w:w="468" w:type="dxa"/>
            <w:gridSpan w:val="3"/>
            <w:tcBorders>
              <w:top w:val="nil"/>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r>
              <w:rPr>
                <w:rFonts w:eastAsia="仿宋_GB2312"/>
                <w:color w:val="000000"/>
                <w:kern w:val="0"/>
                <w:szCs w:val="22"/>
              </w:rPr>
              <w:t>食堂</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32.油烟净化</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安装油烟净化装置，得1分；未安装，不得分。2.排烟口设置合理，得1分；设置不合理，不得分。3.操作期间正常运行，得1分；未正常运行，不得分。4.排放浓度达标，得1分；不达标或未能提供检测报告，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408"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468"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33.明厨亮灶</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eastAsia="仿宋_GB2312"/>
                <w:color w:val="000000"/>
                <w:kern w:val="0"/>
                <w:szCs w:val="21"/>
              </w:rPr>
            </w:pPr>
            <w:r>
              <w:rPr>
                <w:rFonts w:eastAsia="仿宋_GB2312"/>
                <w:color w:val="000000"/>
                <w:kern w:val="0"/>
                <w:szCs w:val="21"/>
              </w:rPr>
              <w:t>1.实施明厨亮灶设施，得2分；未实施，不得分。2.展示位置符合规定要求，得2分；不符合规定要求，不得分。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408"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468"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576"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34.食品安全管理</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eastAsia="仿宋_GB2312"/>
                <w:color w:val="000000"/>
                <w:kern w:val="0"/>
                <w:szCs w:val="21"/>
              </w:rPr>
            </w:pPr>
            <w:r>
              <w:rPr>
                <w:rFonts w:eastAsia="仿宋_GB2312"/>
                <w:color w:val="000000"/>
                <w:kern w:val="0"/>
                <w:szCs w:val="21"/>
              </w:rPr>
              <w:t>1.食品采购符合要求，得1分；不符合要求，不得分。2.食品贮存符合要求，得1分；不符合要求，不得分。3.食品加工制作符合要求，得2分；不符合要求，不得分。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408"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468"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576"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84.公勺公筷和光盘行动</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eastAsia="仿宋_GB2312"/>
                <w:color w:val="000000"/>
                <w:kern w:val="0"/>
                <w:szCs w:val="21"/>
              </w:rPr>
            </w:pPr>
            <w:r>
              <w:rPr>
                <w:rFonts w:eastAsia="仿宋_GB2312"/>
                <w:color w:val="000000"/>
                <w:kern w:val="0"/>
                <w:szCs w:val="21"/>
              </w:rPr>
              <w:t>1.有公勺公筷宣传材料，得3分；无宣传材料，不得分。2.餐馆配置有公勺公筷，得3分；未配置，不得分。3.有光盘行动宣传材料，得3分；无宣传材料，不得分。机关单位或企业食堂无需查看此项。</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9</w:t>
            </w:r>
          </w:p>
        </w:tc>
        <w:tc>
          <w:tcPr>
            <w:tcW w:w="408"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468"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21</w:t>
            </w:r>
          </w:p>
        </w:tc>
        <w:tc>
          <w:tcPr>
            <w:tcW w:w="408" w:type="dxa"/>
            <w:gridSpan w:val="2"/>
            <w:tcBorders>
              <w:top w:val="single" w:color="000000" w:sz="4" w:space="0"/>
              <w:left w:val="single" w:color="000000" w:sz="4" w:space="0"/>
              <w:bottom w:val="nil"/>
              <w:right w:val="single" w:color="auto" w:sz="4" w:space="0"/>
            </w:tcBorders>
            <w:noWrap/>
            <w:vAlign w:val="center"/>
          </w:tcPr>
          <w:p>
            <w:pPr>
              <w:widowControl/>
              <w:spacing w:line="440" w:lineRule="exact"/>
              <w:jc w:val="center"/>
              <w:rPr>
                <w:rFonts w:eastAsia="仿宋_GB2312"/>
                <w:color w:val="000000"/>
                <w:kern w:val="0"/>
                <w:szCs w:val="22"/>
              </w:rPr>
            </w:pPr>
          </w:p>
        </w:tc>
        <w:tc>
          <w:tcPr>
            <w:tcW w:w="468" w:type="dxa"/>
            <w:gridSpan w:val="3"/>
            <w:tcBorders>
              <w:top w:val="single" w:color="000000" w:sz="4" w:space="0"/>
              <w:left w:val="single" w:color="auto" w:sz="4" w:space="0"/>
              <w:bottom w:val="nil"/>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1418" w:type="dxa"/>
            <w:gridSpan w:val="2"/>
            <w:tcBorders>
              <w:top w:val="single" w:color="000000" w:sz="4" w:space="0"/>
              <w:left w:val="nil"/>
              <w:bottom w:val="nil"/>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注：查看1家&gt;500平米的餐馆（21分），在党政机关或企业中查看1家食堂（12分），共计33分。</w:t>
            </w:r>
          </w:p>
        </w:tc>
        <w:tc>
          <w:tcPr>
            <w:tcW w:w="665" w:type="dxa"/>
            <w:tcBorders>
              <w:top w:val="single" w:color="000000" w:sz="4" w:space="0"/>
              <w:left w:val="nil"/>
              <w:bottom w:val="nil"/>
              <w:right w:val="nil"/>
            </w:tcBorders>
            <w:noWrap/>
            <w:vAlign w:val="center"/>
          </w:tcPr>
          <w:p>
            <w:pPr>
              <w:widowControl/>
              <w:spacing w:line="440" w:lineRule="exact"/>
              <w:jc w:val="left"/>
              <w:rPr>
                <w:rFonts w:eastAsia="仿宋_GB2312"/>
                <w:color w:val="000000"/>
                <w:kern w:val="0"/>
                <w:szCs w:val="22"/>
              </w:rPr>
            </w:pPr>
          </w:p>
        </w:tc>
        <w:tc>
          <w:tcPr>
            <w:tcW w:w="876" w:type="dxa"/>
            <w:gridSpan w:val="5"/>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1107"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nil"/>
              <w:left w:val="nil"/>
              <w:bottom w:val="nil"/>
              <w:right w:val="nil"/>
            </w:tcBorders>
            <w:noWrap/>
            <w:vAlign w:val="center"/>
          </w:tcPr>
          <w:p>
            <w:pPr>
              <w:widowControl/>
              <w:spacing w:line="440" w:lineRule="exact"/>
              <w:jc w:val="center"/>
              <w:rPr>
                <w:rFonts w:eastAsia="仿宋_GB2312"/>
                <w:kern w:val="0"/>
                <w:sz w:val="20"/>
                <w:szCs w:val="20"/>
              </w:rPr>
            </w:pPr>
          </w:p>
        </w:tc>
        <w:tc>
          <w:tcPr>
            <w:tcW w:w="9008" w:type="dxa"/>
            <w:tcBorders>
              <w:top w:val="nil"/>
              <w:left w:val="nil"/>
              <w:bottom w:val="nil"/>
              <w:right w:val="nil"/>
            </w:tcBorders>
            <w:noWrap/>
            <w:vAlign w:val="center"/>
          </w:tcPr>
          <w:p>
            <w:pPr>
              <w:widowControl/>
              <w:spacing w:line="440" w:lineRule="exact"/>
              <w:jc w:val="center"/>
              <w:rPr>
                <w:rFonts w:eastAsia="仿宋_GB2312"/>
                <w:kern w:val="0"/>
                <w:sz w:val="20"/>
                <w:szCs w:val="20"/>
              </w:rPr>
            </w:pPr>
          </w:p>
        </w:tc>
        <w:tc>
          <w:tcPr>
            <w:tcW w:w="665" w:type="dxa"/>
            <w:tcBorders>
              <w:top w:val="nil"/>
              <w:left w:val="nil"/>
              <w:bottom w:val="nil"/>
              <w:right w:val="nil"/>
            </w:tcBorders>
            <w:noWrap/>
            <w:vAlign w:val="center"/>
          </w:tcPr>
          <w:p>
            <w:pPr>
              <w:widowControl/>
              <w:spacing w:line="440" w:lineRule="exact"/>
              <w:jc w:val="center"/>
              <w:rPr>
                <w:rFonts w:eastAsia="仿宋_GB2312"/>
                <w:kern w:val="0"/>
                <w:sz w:val="20"/>
                <w:szCs w:val="20"/>
              </w:rPr>
            </w:pPr>
          </w:p>
        </w:tc>
        <w:tc>
          <w:tcPr>
            <w:tcW w:w="876" w:type="dxa"/>
            <w:gridSpan w:val="5"/>
            <w:tcBorders>
              <w:top w:val="nil"/>
              <w:left w:val="nil"/>
              <w:bottom w:val="nil"/>
              <w:right w:val="nil"/>
            </w:tcBorders>
            <w:noWrap/>
            <w:vAlign w:val="center"/>
          </w:tcPr>
          <w:p>
            <w:pPr>
              <w:widowControl/>
              <w:spacing w:line="440" w:lineRule="exact"/>
              <w:jc w:val="center"/>
              <w:rPr>
                <w:rFonts w:eastAsia="仿宋_GB2312"/>
                <w:kern w:val="0"/>
                <w:sz w:val="20"/>
                <w:szCs w:val="20"/>
              </w:rPr>
            </w:pPr>
          </w:p>
        </w:tc>
        <w:tc>
          <w:tcPr>
            <w:tcW w:w="1107" w:type="dxa"/>
            <w:tcBorders>
              <w:top w:val="nil"/>
              <w:left w:val="nil"/>
              <w:bottom w:val="nil"/>
              <w:right w:val="nil"/>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top w:val="nil"/>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抽查单位9-10：党政机关1-2</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396" w:type="dxa"/>
            <w:tcBorders>
              <w:top w:val="nil"/>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1</w:t>
            </w:r>
          </w:p>
        </w:tc>
        <w:tc>
          <w:tcPr>
            <w:tcW w:w="480" w:type="dxa"/>
            <w:gridSpan w:val="4"/>
            <w:tcBorders>
              <w:top w:val="nil"/>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r>
              <w:rPr>
                <w:rFonts w:eastAsia="仿宋_GB2312"/>
                <w:color w:val="000000"/>
                <w:kern w:val="0"/>
                <w:szCs w:val="22"/>
              </w:rPr>
              <w:t>2</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健康细胞7、8</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见健康细胞评估细则。</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396" w:type="dxa"/>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480"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81.无烟环境建设</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具备醒目的禁烟标识，得1分；无相应标识，不得分;2.如果吸烟区设置不规范或缺乏醒目的引导标识，扣0.5分。3.在非吸烟区（无吸烟区的单位，视为场所范围均为非吸烟区）未发现吸烟现象或烟蒂，得1分；如有发现，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396" w:type="dxa"/>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480"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6</w:t>
            </w:r>
          </w:p>
        </w:tc>
        <w:tc>
          <w:tcPr>
            <w:tcW w:w="396" w:type="dxa"/>
            <w:tcBorders>
              <w:top w:val="single" w:color="000000" w:sz="4" w:space="0"/>
              <w:left w:val="single" w:color="000000" w:sz="4" w:space="0"/>
              <w:bottom w:val="nil"/>
              <w:right w:val="single" w:color="auto" w:sz="4" w:space="0"/>
            </w:tcBorders>
            <w:noWrap/>
            <w:vAlign w:val="center"/>
          </w:tcPr>
          <w:p>
            <w:pPr>
              <w:widowControl/>
              <w:spacing w:line="440" w:lineRule="exact"/>
              <w:jc w:val="center"/>
              <w:rPr>
                <w:rFonts w:eastAsia="仿宋_GB2312"/>
                <w:color w:val="000000"/>
                <w:kern w:val="0"/>
                <w:szCs w:val="22"/>
              </w:rPr>
            </w:pPr>
          </w:p>
        </w:tc>
        <w:tc>
          <w:tcPr>
            <w:tcW w:w="480" w:type="dxa"/>
            <w:gridSpan w:val="4"/>
            <w:tcBorders>
              <w:top w:val="single" w:color="000000" w:sz="4" w:space="0"/>
              <w:left w:val="single" w:color="auto" w:sz="4" w:space="0"/>
              <w:bottom w:val="nil"/>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top w:val="single" w:color="000000" w:sz="4" w:space="0"/>
              <w:left w:val="nil"/>
              <w:bottom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注：查看2家，共计12分。</w:t>
            </w:r>
          </w:p>
        </w:tc>
      </w:tr>
      <w:tr>
        <w:tblPrEx>
          <w:tblCellMar>
            <w:top w:w="0" w:type="dxa"/>
            <w:left w:w="108" w:type="dxa"/>
            <w:bottom w:w="0" w:type="dxa"/>
            <w:right w:w="108" w:type="dxa"/>
          </w:tblCellMar>
        </w:tblPrEx>
        <w:trPr>
          <w:trHeight w:val="288" w:hRule="atLeast"/>
        </w:trPr>
        <w:tc>
          <w:tcPr>
            <w:tcW w:w="2410" w:type="dxa"/>
            <w:tcBorders>
              <w:top w:val="nil"/>
              <w:left w:val="nil"/>
              <w:bottom w:val="nil"/>
              <w:right w:val="nil"/>
            </w:tcBorders>
            <w:noWrap/>
            <w:vAlign w:val="center"/>
          </w:tcPr>
          <w:p>
            <w:pPr>
              <w:widowControl/>
              <w:spacing w:line="440" w:lineRule="exact"/>
              <w:jc w:val="left"/>
              <w:rPr>
                <w:rFonts w:eastAsia="仿宋_GB2312"/>
                <w:color w:val="000000"/>
                <w:kern w:val="0"/>
                <w:szCs w:val="22"/>
              </w:rPr>
            </w:pPr>
          </w:p>
        </w:tc>
        <w:tc>
          <w:tcPr>
            <w:tcW w:w="9008" w:type="dxa"/>
            <w:tcBorders>
              <w:top w:val="nil"/>
              <w:left w:val="nil"/>
              <w:bottom w:val="nil"/>
              <w:right w:val="nil"/>
            </w:tcBorders>
            <w:noWrap/>
            <w:vAlign w:val="center"/>
          </w:tcPr>
          <w:p>
            <w:pPr>
              <w:spacing w:line="440" w:lineRule="exact"/>
              <w:rPr>
                <w:rFonts w:eastAsia="仿宋_GB2312"/>
                <w:sz w:val="20"/>
                <w:szCs w:val="20"/>
              </w:rPr>
            </w:pPr>
          </w:p>
        </w:tc>
        <w:tc>
          <w:tcPr>
            <w:tcW w:w="665" w:type="dxa"/>
            <w:tcBorders>
              <w:top w:val="nil"/>
              <w:left w:val="nil"/>
              <w:bottom w:val="nil"/>
              <w:right w:val="nil"/>
            </w:tcBorders>
            <w:noWrap/>
            <w:vAlign w:val="center"/>
          </w:tcPr>
          <w:p>
            <w:pPr>
              <w:widowControl/>
              <w:spacing w:line="440" w:lineRule="exact"/>
              <w:jc w:val="left"/>
              <w:rPr>
                <w:rFonts w:eastAsia="仿宋_GB2312"/>
                <w:kern w:val="0"/>
                <w:sz w:val="20"/>
                <w:szCs w:val="20"/>
              </w:rPr>
            </w:pPr>
          </w:p>
        </w:tc>
        <w:tc>
          <w:tcPr>
            <w:tcW w:w="876" w:type="dxa"/>
            <w:gridSpan w:val="5"/>
            <w:tcBorders>
              <w:top w:val="nil"/>
              <w:left w:val="nil"/>
              <w:bottom w:val="nil"/>
              <w:right w:val="nil"/>
            </w:tcBorders>
            <w:noWrap/>
            <w:vAlign w:val="center"/>
          </w:tcPr>
          <w:p>
            <w:pPr>
              <w:widowControl/>
              <w:spacing w:line="440" w:lineRule="exact"/>
              <w:jc w:val="center"/>
              <w:rPr>
                <w:rFonts w:eastAsia="仿宋_GB2312"/>
                <w:kern w:val="0"/>
                <w:sz w:val="20"/>
                <w:szCs w:val="20"/>
              </w:rPr>
            </w:pPr>
          </w:p>
        </w:tc>
        <w:tc>
          <w:tcPr>
            <w:tcW w:w="1107" w:type="dxa"/>
            <w:tcBorders>
              <w:top w:val="nil"/>
              <w:left w:val="nil"/>
              <w:bottom w:val="nil"/>
              <w:right w:val="nil"/>
            </w:tcBorders>
            <w:noWrap/>
            <w:vAlign w:val="center"/>
          </w:tcPr>
          <w:p>
            <w:pPr>
              <w:widowControl/>
              <w:spacing w:line="440" w:lineRule="exact"/>
              <w:jc w:val="left"/>
              <w:rPr>
                <w:rFonts w:eastAsia="仿宋_GB2312"/>
                <w:kern w:val="0"/>
                <w:sz w:val="20"/>
                <w:szCs w:val="20"/>
              </w:rPr>
            </w:pPr>
          </w:p>
        </w:tc>
      </w:tr>
      <w:tr>
        <w:trPr>
          <w:trHeight w:val="288" w:hRule="atLeast"/>
        </w:trPr>
        <w:tc>
          <w:tcPr>
            <w:tcW w:w="14066" w:type="dxa"/>
            <w:gridSpan w:val="9"/>
            <w:tcBorders>
              <w:top w:val="nil"/>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抽查单位11-12.企业1-2</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408"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1</w:t>
            </w:r>
          </w:p>
        </w:tc>
        <w:tc>
          <w:tcPr>
            <w:tcW w:w="468"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r>
              <w:rPr>
                <w:rFonts w:eastAsia="仿宋_GB2312"/>
                <w:color w:val="000000"/>
                <w:kern w:val="0"/>
                <w:szCs w:val="22"/>
              </w:rPr>
              <w:t>2</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健康细胞9、10</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见健康细胞评估细则。</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408" w:type="dxa"/>
            <w:gridSpan w:val="2"/>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468"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408" w:type="dxa"/>
            <w:gridSpan w:val="2"/>
            <w:tcBorders>
              <w:top w:val="single" w:color="000000" w:sz="4" w:space="0"/>
              <w:left w:val="single" w:color="000000" w:sz="4" w:space="0"/>
              <w:bottom w:val="nil"/>
              <w:right w:val="single" w:color="auto" w:sz="4" w:space="0"/>
            </w:tcBorders>
            <w:noWrap/>
            <w:vAlign w:val="center"/>
          </w:tcPr>
          <w:p>
            <w:pPr>
              <w:widowControl/>
              <w:spacing w:line="440" w:lineRule="exact"/>
              <w:jc w:val="center"/>
              <w:rPr>
                <w:rFonts w:eastAsia="仿宋_GB2312"/>
                <w:color w:val="000000"/>
                <w:kern w:val="0"/>
                <w:szCs w:val="22"/>
              </w:rPr>
            </w:pPr>
          </w:p>
        </w:tc>
        <w:tc>
          <w:tcPr>
            <w:tcW w:w="468" w:type="dxa"/>
            <w:gridSpan w:val="3"/>
            <w:tcBorders>
              <w:top w:val="single" w:color="000000" w:sz="4" w:space="0"/>
              <w:left w:val="single" w:color="auto" w:sz="4" w:space="0"/>
              <w:bottom w:val="nil"/>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top w:val="single" w:color="000000" w:sz="4" w:space="0"/>
              <w:left w:val="nil"/>
              <w:bottom w:val="nil"/>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注：查看2家，共计8分。</w:t>
            </w:r>
          </w:p>
        </w:tc>
      </w:tr>
      <w:tr>
        <w:tblPrEx>
          <w:tblCellMar>
            <w:top w:w="0" w:type="dxa"/>
            <w:left w:w="108" w:type="dxa"/>
            <w:bottom w:w="0" w:type="dxa"/>
            <w:right w:w="108" w:type="dxa"/>
          </w:tblCellMar>
        </w:tblPrEx>
        <w:trPr>
          <w:trHeight w:val="288" w:hRule="atLeast"/>
        </w:trPr>
        <w:tc>
          <w:tcPr>
            <w:tcW w:w="14066" w:type="dxa"/>
            <w:gridSpan w:val="9"/>
            <w:tcBorders>
              <w:top w:val="nil"/>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抽查单位13-14.公厕1-2</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432" w:type="dxa"/>
            <w:gridSpan w:val="4"/>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1</w:t>
            </w:r>
          </w:p>
        </w:tc>
        <w:tc>
          <w:tcPr>
            <w:tcW w:w="444" w:type="dxa"/>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r>
              <w:rPr>
                <w:rFonts w:eastAsia="仿宋_GB2312"/>
                <w:color w:val="000000"/>
                <w:kern w:val="0"/>
                <w:szCs w:val="22"/>
              </w:rPr>
              <w:t>2</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26.公共厕所建设和管理</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免费开放（0.5分）、厕所标识醒目（0.5分）、洗手设施完好（0.5分）、无蚊蝇（0.5分）、基本无臭味（0.5分）；不符合要求，不得分。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2.5</w:t>
            </w:r>
          </w:p>
        </w:tc>
        <w:tc>
          <w:tcPr>
            <w:tcW w:w="432" w:type="dxa"/>
            <w:gridSpan w:val="4"/>
            <w:tcBorders>
              <w:top w:val="single" w:color="000000" w:sz="4" w:space="0"/>
              <w:left w:val="single" w:color="000000" w:sz="4" w:space="0"/>
              <w:bottom w:val="single" w:color="000000" w:sz="4" w:space="0"/>
              <w:right w:val="single" w:color="auto" w:sz="4" w:space="0"/>
            </w:tcBorders>
            <w:noWrap/>
            <w:vAlign w:val="center"/>
          </w:tcPr>
          <w:p>
            <w:pPr>
              <w:widowControl/>
              <w:spacing w:line="440" w:lineRule="exact"/>
              <w:jc w:val="center"/>
              <w:rPr>
                <w:rFonts w:eastAsia="仿宋_GB2312"/>
                <w:color w:val="000000"/>
                <w:kern w:val="0"/>
                <w:szCs w:val="22"/>
              </w:rPr>
            </w:pPr>
          </w:p>
        </w:tc>
        <w:tc>
          <w:tcPr>
            <w:tcW w:w="444" w:type="dxa"/>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2.5</w:t>
            </w:r>
          </w:p>
        </w:tc>
        <w:tc>
          <w:tcPr>
            <w:tcW w:w="432" w:type="dxa"/>
            <w:gridSpan w:val="4"/>
            <w:tcBorders>
              <w:top w:val="single" w:color="000000" w:sz="4" w:space="0"/>
              <w:left w:val="single" w:color="000000" w:sz="4" w:space="0"/>
              <w:bottom w:val="nil"/>
              <w:right w:val="single" w:color="auto" w:sz="4" w:space="0"/>
            </w:tcBorders>
            <w:noWrap/>
            <w:vAlign w:val="center"/>
          </w:tcPr>
          <w:p>
            <w:pPr>
              <w:widowControl/>
              <w:spacing w:line="440" w:lineRule="exact"/>
              <w:jc w:val="center"/>
              <w:rPr>
                <w:rFonts w:eastAsia="仿宋_GB2312"/>
                <w:color w:val="000000"/>
                <w:kern w:val="0"/>
                <w:szCs w:val="22"/>
              </w:rPr>
            </w:pPr>
          </w:p>
        </w:tc>
        <w:tc>
          <w:tcPr>
            <w:tcW w:w="444" w:type="dxa"/>
            <w:tcBorders>
              <w:top w:val="single" w:color="000000" w:sz="4" w:space="0"/>
              <w:left w:val="single" w:color="auto" w:sz="4" w:space="0"/>
              <w:bottom w:val="nil"/>
              <w:right w:val="single" w:color="000000" w:sz="4" w:space="0"/>
            </w:tcBorders>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top w:val="single" w:color="000000" w:sz="4" w:space="0"/>
              <w:left w:val="nil"/>
              <w:bottom w:val="nil"/>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注：查看2处，共计5分。</w:t>
            </w:r>
          </w:p>
        </w:tc>
      </w:tr>
      <w:tr>
        <w:tblPrEx>
          <w:tblCellMar>
            <w:top w:w="0" w:type="dxa"/>
            <w:left w:w="108" w:type="dxa"/>
            <w:bottom w:w="0" w:type="dxa"/>
            <w:right w:w="108" w:type="dxa"/>
          </w:tblCellMar>
        </w:tblPrEx>
        <w:trPr>
          <w:trHeight w:val="288" w:hRule="atLeast"/>
        </w:trPr>
        <w:tc>
          <w:tcPr>
            <w:tcW w:w="2410" w:type="dxa"/>
            <w:tcBorders>
              <w:top w:val="nil"/>
              <w:left w:val="nil"/>
              <w:bottom w:val="nil"/>
              <w:right w:val="nil"/>
            </w:tcBorders>
            <w:noWrap/>
            <w:vAlign w:val="center"/>
          </w:tcPr>
          <w:p>
            <w:pPr>
              <w:widowControl/>
              <w:spacing w:line="440" w:lineRule="exact"/>
              <w:jc w:val="left"/>
              <w:rPr>
                <w:rFonts w:eastAsia="仿宋_GB2312"/>
                <w:color w:val="000000"/>
                <w:kern w:val="0"/>
                <w:szCs w:val="22"/>
              </w:rPr>
            </w:pPr>
          </w:p>
        </w:tc>
        <w:tc>
          <w:tcPr>
            <w:tcW w:w="9008" w:type="dxa"/>
            <w:tcBorders>
              <w:top w:val="nil"/>
              <w:left w:val="nil"/>
              <w:bottom w:val="nil"/>
              <w:right w:val="nil"/>
            </w:tcBorders>
            <w:noWrap/>
            <w:vAlign w:val="center"/>
          </w:tcPr>
          <w:p>
            <w:pPr>
              <w:widowControl/>
              <w:spacing w:line="440" w:lineRule="exact"/>
              <w:jc w:val="left"/>
              <w:rPr>
                <w:rFonts w:eastAsia="仿宋_GB2312"/>
                <w:kern w:val="0"/>
                <w:sz w:val="20"/>
                <w:szCs w:val="20"/>
              </w:rPr>
            </w:pPr>
          </w:p>
        </w:tc>
        <w:tc>
          <w:tcPr>
            <w:tcW w:w="665" w:type="dxa"/>
            <w:tcBorders>
              <w:top w:val="nil"/>
              <w:left w:val="nil"/>
              <w:bottom w:val="nil"/>
              <w:right w:val="nil"/>
            </w:tcBorders>
            <w:noWrap/>
            <w:vAlign w:val="center"/>
          </w:tcPr>
          <w:p>
            <w:pPr>
              <w:widowControl/>
              <w:spacing w:line="440" w:lineRule="exact"/>
              <w:jc w:val="left"/>
              <w:rPr>
                <w:rFonts w:eastAsia="仿宋_GB2312"/>
                <w:kern w:val="0"/>
                <w:sz w:val="20"/>
                <w:szCs w:val="20"/>
              </w:rPr>
            </w:pPr>
          </w:p>
        </w:tc>
        <w:tc>
          <w:tcPr>
            <w:tcW w:w="876" w:type="dxa"/>
            <w:gridSpan w:val="5"/>
            <w:tcBorders>
              <w:top w:val="nil"/>
              <w:left w:val="nil"/>
              <w:bottom w:val="nil"/>
              <w:right w:val="nil"/>
            </w:tcBorders>
            <w:noWrap/>
            <w:vAlign w:val="center"/>
          </w:tcPr>
          <w:p>
            <w:pPr>
              <w:widowControl/>
              <w:spacing w:line="440" w:lineRule="exact"/>
              <w:jc w:val="center"/>
              <w:rPr>
                <w:rFonts w:eastAsia="仿宋_GB2312"/>
                <w:kern w:val="0"/>
                <w:sz w:val="20"/>
                <w:szCs w:val="20"/>
              </w:rPr>
            </w:pPr>
          </w:p>
        </w:tc>
        <w:tc>
          <w:tcPr>
            <w:tcW w:w="1107" w:type="dxa"/>
            <w:tcBorders>
              <w:top w:val="nil"/>
              <w:left w:val="nil"/>
              <w:bottom w:val="nil"/>
              <w:right w:val="nil"/>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top w:val="nil"/>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抽查单位15.娱乐场所</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26.公共厕所</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免费开放（0.5分）、厕所标识醒目（0.5分）、洗手设施完好（0.5分）、无蚊蝇（0.5分）、基本无臭味（0.5分）；不符合要求，不得分。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2.5</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576"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52.消防安全</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eastAsia="仿宋_GB2312"/>
                <w:color w:val="000000"/>
                <w:kern w:val="0"/>
                <w:szCs w:val="21"/>
              </w:rPr>
            </w:pPr>
            <w:r>
              <w:rPr>
                <w:rFonts w:eastAsia="仿宋_GB2312"/>
                <w:color w:val="000000"/>
                <w:kern w:val="0"/>
                <w:szCs w:val="21"/>
              </w:rPr>
              <w:t>1.消防设施齐全、完好（火灾自动报警系统、自动灭火系统、消火栓系统、防烟排烟系统以及应急广播和应急照明、安全疏散设施等），得2分；未达标，不得分。2.消防车通道畅通，得2分；未达标，不得分。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6.5</w:t>
            </w:r>
          </w:p>
        </w:tc>
        <w:tc>
          <w:tcPr>
            <w:tcW w:w="876" w:type="dxa"/>
            <w:gridSpan w:val="5"/>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nil"/>
              <w:bottom w:val="nil"/>
              <w:right w:val="nil"/>
            </w:tcBorders>
            <w:noWrap/>
            <w:vAlign w:val="center"/>
          </w:tcPr>
          <w:p>
            <w:pPr>
              <w:widowControl/>
              <w:spacing w:line="440" w:lineRule="exact"/>
              <w:rPr>
                <w:rFonts w:eastAsia="仿宋_GB2312"/>
                <w:kern w:val="0"/>
                <w:sz w:val="20"/>
                <w:szCs w:val="20"/>
              </w:rPr>
            </w:pPr>
          </w:p>
        </w:tc>
        <w:tc>
          <w:tcPr>
            <w:tcW w:w="9008"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665"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876" w:type="dxa"/>
            <w:gridSpan w:val="5"/>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1107"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top w:val="nil"/>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抽查单位16.商场/超市/菜市场</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10.无障碍设施</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 w:val="22"/>
                <w:szCs w:val="22"/>
              </w:rPr>
            </w:pPr>
            <w:r>
              <w:rPr>
                <w:rFonts w:eastAsia="仿宋_GB2312"/>
                <w:color w:val="000000"/>
                <w:kern w:val="0"/>
                <w:szCs w:val="22"/>
              </w:rPr>
              <w:t>在抽查的场所中，至少建有盲道、无障碍卫生间（厕位）、出入口无障碍设施、低位服务设施、无障碍停车位、无障碍标志这 6 种无障碍设施的 3 种及以上，得 4 分；＜3 种，得 2 分； 未建设无障碍设施，不得分。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26.公共厕所</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免费开放（0.5分）、厕所标识醒目（0.5分）、洗手设施完好（0.5分）、无蚊蝇（0.5分）、基本无臭味（0.5分）；不符合要求，不得分。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2.5</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6.5</w:t>
            </w:r>
          </w:p>
        </w:tc>
        <w:tc>
          <w:tcPr>
            <w:tcW w:w="876" w:type="dxa"/>
            <w:gridSpan w:val="5"/>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9008"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665"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876" w:type="dxa"/>
            <w:gridSpan w:val="5"/>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1107"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top w:val="nil"/>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抽查单位17.公园、步道等</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11.健康主题公园</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公园内有禁烟标识（1分）。2.位置便利，环境优美，配有休息椅凳等设施，至少有1条健康步道（1分）。3.配备适合儿童青少年等不同人群身体锻炼的体育设施,且设施器材可正常使用（1分）。4.定期更新健康宣传材料（1分）。5.开展健康生活方式宣传活动（1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5</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12.健康步道</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1.设置健康标识（2分）。2.位置便利，路面整洁安全，无车辆穿行（2分）。3.步道宽度不小于1.2米，总长度不小于1000米或环形步道周长不小于300米（2分）。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6</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13.绿道</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串联公园绿地、广场、防护绿地等（1分）。2.与公交、步行及自行车交通系统相衔接，设置指示、警示等标识（1分）。3.铺装材料透水防滑，与周边环境协调（1分）。4.连接城乡居民点、公共空间及历史文化节点，设置科普解说及展示设施（1分）。5.步行道宽度不小于1.5m；自行车道宽度单向不小于1.5m，双向不小于3m（1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5</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79.健身场地设施供给</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被抽查的公共体育设施，有免费或低收费开放的措施，得2分；无相关措施，不得分。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rPr>
          <w:trHeight w:val="288" w:hRule="atLeast"/>
        </w:trPr>
        <w:tc>
          <w:tcPr>
            <w:tcW w:w="2410"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18</w:t>
            </w:r>
          </w:p>
        </w:tc>
        <w:tc>
          <w:tcPr>
            <w:tcW w:w="876" w:type="dxa"/>
            <w:gridSpan w:val="5"/>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nil"/>
              <w:bottom w:val="nil"/>
              <w:right w:val="nil"/>
            </w:tcBorders>
            <w:noWrap/>
            <w:vAlign w:val="center"/>
          </w:tcPr>
          <w:p>
            <w:pPr>
              <w:widowControl/>
              <w:spacing w:line="440" w:lineRule="exact"/>
              <w:rPr>
                <w:rFonts w:eastAsia="仿宋_GB2312"/>
                <w:kern w:val="0"/>
                <w:sz w:val="20"/>
                <w:szCs w:val="20"/>
              </w:rPr>
            </w:pPr>
          </w:p>
        </w:tc>
        <w:tc>
          <w:tcPr>
            <w:tcW w:w="9008"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665"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876" w:type="dxa"/>
            <w:gridSpan w:val="5"/>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1107"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top w:val="nil"/>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抽查单位18.污水厂</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22.污水处理</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被抽查污水处理厂达标运行，得4分；基本达标运行，得2分；运行较差，不得分。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4</w:t>
            </w:r>
          </w:p>
        </w:tc>
        <w:tc>
          <w:tcPr>
            <w:tcW w:w="876" w:type="dxa"/>
            <w:gridSpan w:val="5"/>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9008"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665"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876" w:type="dxa"/>
            <w:gridSpan w:val="5"/>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1107"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r>
      <w:tr>
        <w:trPr>
          <w:trHeight w:val="288" w:hRule="atLeast"/>
        </w:trPr>
        <w:tc>
          <w:tcPr>
            <w:tcW w:w="14066" w:type="dxa"/>
            <w:gridSpan w:val="9"/>
            <w:tcBorders>
              <w:top w:val="nil"/>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抽查单位19.农贸/宠物市场/集市</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31.禁止贩卖、制售、食用野生动物</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在抽查的场所未发现贩卖、制售、食用野生动物情况，得3分；发现上述情况，不得分。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3</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3</w:t>
            </w:r>
          </w:p>
        </w:tc>
        <w:tc>
          <w:tcPr>
            <w:tcW w:w="876" w:type="dxa"/>
            <w:gridSpan w:val="5"/>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nil"/>
              <w:right w:val="single" w:color="000000"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9008"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665"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876" w:type="dxa"/>
            <w:gridSpan w:val="5"/>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c>
          <w:tcPr>
            <w:tcW w:w="1107" w:type="dxa"/>
            <w:tcBorders>
              <w:top w:val="single" w:color="000000" w:sz="4" w:space="0"/>
              <w:left w:val="nil"/>
              <w:bottom w:val="nil"/>
              <w:right w:val="nil"/>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14066" w:type="dxa"/>
            <w:gridSpan w:val="9"/>
            <w:tcBorders>
              <w:top w:val="nil"/>
              <w:left w:val="nil"/>
              <w:bottom w:val="single" w:color="000000" w:sz="4" w:space="0"/>
              <w:right w:val="nil"/>
            </w:tcBorders>
            <w:noWrap/>
            <w:vAlign w:val="center"/>
          </w:tcPr>
          <w:p>
            <w:pPr>
              <w:widowControl/>
              <w:spacing w:line="440" w:lineRule="exact"/>
              <w:jc w:val="left"/>
              <w:rPr>
                <w:rFonts w:eastAsia="仿宋_GB2312"/>
                <w:color w:val="000000"/>
                <w:kern w:val="0"/>
                <w:szCs w:val="22"/>
              </w:rPr>
            </w:pPr>
            <w:r>
              <w:rPr>
                <w:rFonts w:eastAsia="仿宋_GB2312"/>
                <w:color w:val="000000"/>
                <w:kern w:val="0"/>
                <w:szCs w:val="22"/>
              </w:rPr>
              <w:t>抽查单位20.铁（公）路沿线</w:t>
            </w:r>
          </w:p>
        </w:tc>
      </w:tr>
      <w:tr>
        <w:tblPrEx>
          <w:tblCellMar>
            <w:top w:w="0" w:type="dxa"/>
            <w:left w:w="108" w:type="dxa"/>
            <w:bottom w:w="0" w:type="dxa"/>
            <w:right w:w="108" w:type="dxa"/>
          </w:tblCellMar>
        </w:tblPrEx>
        <w:trPr>
          <w:trHeight w:val="288" w:hRule="atLeast"/>
        </w:trPr>
        <w:tc>
          <w:tcPr>
            <w:tcW w:w="2410"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评估指标</w:t>
            </w:r>
          </w:p>
        </w:tc>
        <w:tc>
          <w:tcPr>
            <w:tcW w:w="9008"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赋分标准</w:t>
            </w:r>
          </w:p>
        </w:tc>
        <w:tc>
          <w:tcPr>
            <w:tcW w:w="665"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分值</w:t>
            </w:r>
          </w:p>
        </w:tc>
        <w:tc>
          <w:tcPr>
            <w:tcW w:w="876" w:type="dxa"/>
            <w:gridSpan w:val="5"/>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得分</w:t>
            </w:r>
          </w:p>
        </w:tc>
        <w:tc>
          <w:tcPr>
            <w:tcW w:w="1107" w:type="dxa"/>
            <w:tcBorders>
              <w:top w:val="nil"/>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r>
              <w:rPr>
                <w:rFonts w:eastAsia="仿宋_GB2312"/>
                <w:color w:val="000000"/>
                <w:kern w:val="0"/>
                <w:szCs w:val="22"/>
              </w:rPr>
              <w:t>扣分原因</w:t>
            </w: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24.生活垃圾污染治理</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1.抽查铁路（公路）沿线无垃圾乱堆现象，得4分；有乱堆现象，不得分。2.沿途未发现露天焚烧垃圾或违规填埋现象，得4分；有露天焚烧或违规填埋现象，不得分。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8</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19.水功能区水质</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现场查看未发现黑臭水体，得3分；有黑臭水体，不得分。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3</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30.文明饲养宠物</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eastAsia="仿宋_GB2312"/>
                <w:color w:val="000000"/>
                <w:kern w:val="0"/>
                <w:szCs w:val="21"/>
              </w:rPr>
            </w:pPr>
            <w:r>
              <w:rPr>
                <w:rFonts w:eastAsia="仿宋_GB2312"/>
                <w:color w:val="000000"/>
                <w:kern w:val="0"/>
                <w:szCs w:val="21"/>
              </w:rPr>
              <w:t>1.未发现有遛狗不系狗绳者，得4分；发现有，不得分。2.马路边未发现宠物粪便，得3分；偶见，得2分；多见，不得分。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7</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81.无烟环境建设</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color w:val="000000"/>
                <w:kern w:val="0"/>
                <w:szCs w:val="21"/>
              </w:rPr>
            </w:pPr>
            <w:r>
              <w:rPr>
                <w:rFonts w:eastAsia="仿宋_GB2312"/>
                <w:color w:val="000000"/>
                <w:kern w:val="0"/>
                <w:szCs w:val="21"/>
              </w:rPr>
              <w:t>辖区内无任何形式的烟草广告，得2分；有烟草广告，不得分。</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r>
        <w:tblPrEx>
          <w:tblCellMar>
            <w:top w:w="0" w:type="dxa"/>
            <w:left w:w="108" w:type="dxa"/>
            <w:bottom w:w="0" w:type="dxa"/>
            <w:right w:w="108" w:type="dxa"/>
          </w:tblCellMar>
        </w:tblPrEx>
        <w:trPr>
          <w:trHeight w:val="260"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总分</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r>
              <w:rPr>
                <w:rFonts w:eastAsia="仿宋_GB2312"/>
                <w:color w:val="000000"/>
                <w:kern w:val="0"/>
                <w:szCs w:val="22"/>
              </w:rPr>
              <w:t>20</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kern w:val="0"/>
                <w:sz w:val="20"/>
                <w:szCs w:val="20"/>
              </w:rPr>
            </w:pPr>
          </w:p>
        </w:tc>
      </w:tr>
      <w:tr>
        <w:tblPrEx>
          <w:tblCellMar>
            <w:top w:w="0" w:type="dxa"/>
            <w:left w:w="108" w:type="dxa"/>
            <w:bottom w:w="0" w:type="dxa"/>
            <w:right w:w="108" w:type="dxa"/>
          </w:tblCellMar>
        </w:tblPrEx>
        <w:trPr>
          <w:trHeight w:val="288" w:hRule="atLeast"/>
        </w:trPr>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b/>
                <w:color w:val="000000"/>
                <w:kern w:val="0"/>
                <w:sz w:val="22"/>
                <w:szCs w:val="22"/>
              </w:rPr>
            </w:pPr>
            <w:r>
              <w:rPr>
                <w:rFonts w:eastAsia="仿宋_GB2312"/>
                <w:b/>
                <w:color w:val="000000"/>
                <w:kern w:val="0"/>
                <w:szCs w:val="22"/>
              </w:rPr>
              <w:t>现场总分</w:t>
            </w:r>
          </w:p>
        </w:tc>
        <w:tc>
          <w:tcPr>
            <w:tcW w:w="90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 w:val="22"/>
                <w:szCs w:val="22"/>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b/>
                <w:color w:val="000000"/>
                <w:kern w:val="0"/>
                <w:sz w:val="22"/>
                <w:szCs w:val="22"/>
              </w:rPr>
            </w:pPr>
            <w:r>
              <w:rPr>
                <w:rFonts w:eastAsia="仿宋_GB2312"/>
                <w:b/>
                <w:color w:val="000000"/>
                <w:kern w:val="0"/>
                <w:szCs w:val="22"/>
              </w:rPr>
              <w:t>303</w:t>
            </w:r>
          </w:p>
        </w:tc>
        <w:tc>
          <w:tcPr>
            <w:tcW w:w="8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eastAsia="仿宋_GB2312"/>
                <w:color w:val="000000"/>
                <w:kern w:val="0"/>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eastAsia="仿宋_GB2312"/>
                <w:kern w:val="0"/>
                <w:sz w:val="20"/>
                <w:szCs w:val="20"/>
              </w:rPr>
            </w:pPr>
          </w:p>
        </w:tc>
      </w:tr>
    </w:tbl>
    <w:p>
      <w:pPr>
        <w:widowControl/>
        <w:jc w:val="left"/>
        <w:rPr>
          <w:rFonts w:eastAsia="仿宋_GB2312"/>
          <w:b/>
          <w:sz w:val="32"/>
          <w:szCs w:val="21"/>
        </w:rPr>
      </w:pPr>
    </w:p>
    <w:p>
      <w:pPr>
        <w:widowControl/>
        <w:jc w:val="left"/>
        <w:rPr>
          <w:rFonts w:eastAsia="仿宋_GB2312"/>
          <w:b/>
          <w:sz w:val="32"/>
          <w:szCs w:val="21"/>
        </w:rPr>
      </w:pPr>
    </w:p>
    <w:p>
      <w:pPr>
        <w:widowControl/>
        <w:jc w:val="left"/>
        <w:rPr>
          <w:rFonts w:eastAsia="仿宋_GB2312"/>
          <w:b/>
          <w:sz w:val="32"/>
          <w:szCs w:val="21"/>
        </w:rPr>
      </w:pPr>
    </w:p>
    <w:p>
      <w:pPr>
        <w:widowControl/>
        <w:jc w:val="left"/>
        <w:rPr>
          <w:rFonts w:eastAsia="仿宋_GB2312"/>
          <w:sz w:val="32"/>
          <w:szCs w:val="32"/>
        </w:rPr>
      </w:pPr>
      <w:r>
        <w:rPr>
          <w:rFonts w:eastAsia="仿宋_GB2312"/>
          <w:sz w:val="32"/>
          <w:szCs w:val="32"/>
        </w:rPr>
        <w:t>附件</w:t>
      </w:r>
      <w:r>
        <w:rPr>
          <w:rFonts w:hint="eastAsia" w:eastAsia="仿宋_GB2312"/>
          <w:sz w:val="32"/>
          <w:szCs w:val="32"/>
        </w:rPr>
        <w:t>12</w:t>
      </w:r>
    </w:p>
    <w:p>
      <w:pPr>
        <w:widowControl/>
        <w:spacing w:beforeLines="50" w:afterLines="50"/>
        <w:jc w:val="center"/>
        <w:rPr>
          <w:rFonts w:eastAsia="仿宋_GB2312"/>
          <w:sz w:val="36"/>
          <w:szCs w:val="36"/>
        </w:rPr>
      </w:pPr>
      <w:r>
        <w:rPr>
          <w:rFonts w:eastAsia="仿宋_GB2312"/>
          <w:kern w:val="0"/>
          <w:sz w:val="36"/>
          <w:szCs w:val="36"/>
        </w:rPr>
        <w:t>健康县区现场评估指标解释</w:t>
      </w:r>
    </w:p>
    <w:tbl>
      <w:tblPr>
        <w:tblStyle w:val="9"/>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662"/>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38" w:type="dxa"/>
            <w:vAlign w:val="center"/>
          </w:tcPr>
          <w:p>
            <w:pPr>
              <w:widowControl/>
              <w:spacing w:line="365" w:lineRule="atLeast"/>
              <w:jc w:val="center"/>
              <w:rPr>
                <w:rFonts w:eastAsia="仿宋_GB2312"/>
                <w:color w:val="000000"/>
                <w:kern w:val="0"/>
                <w:sz w:val="20"/>
                <w:szCs w:val="21"/>
              </w:rPr>
            </w:pPr>
            <w:r>
              <w:rPr>
                <w:rFonts w:eastAsia="仿宋_GB2312"/>
                <w:color w:val="000000"/>
                <w:kern w:val="0"/>
                <w:sz w:val="20"/>
                <w:szCs w:val="21"/>
              </w:rPr>
              <w:t>评估指标</w:t>
            </w:r>
          </w:p>
        </w:tc>
        <w:tc>
          <w:tcPr>
            <w:tcW w:w="6662" w:type="dxa"/>
            <w:vAlign w:val="center"/>
          </w:tcPr>
          <w:p>
            <w:pPr>
              <w:widowControl/>
              <w:spacing w:line="365" w:lineRule="atLeast"/>
              <w:jc w:val="center"/>
              <w:rPr>
                <w:rFonts w:eastAsia="仿宋_GB2312"/>
                <w:color w:val="000000"/>
                <w:kern w:val="0"/>
                <w:sz w:val="20"/>
                <w:szCs w:val="21"/>
              </w:rPr>
            </w:pPr>
            <w:r>
              <w:rPr>
                <w:rFonts w:eastAsia="仿宋_GB2312"/>
                <w:color w:val="000000"/>
                <w:kern w:val="0"/>
                <w:sz w:val="20"/>
                <w:szCs w:val="21"/>
              </w:rPr>
              <w:t>指标说明</w:t>
            </w:r>
          </w:p>
        </w:tc>
        <w:tc>
          <w:tcPr>
            <w:tcW w:w="6096" w:type="dxa"/>
            <w:vAlign w:val="center"/>
          </w:tcPr>
          <w:p>
            <w:pPr>
              <w:widowControl/>
              <w:spacing w:line="365" w:lineRule="atLeast"/>
              <w:jc w:val="center"/>
              <w:rPr>
                <w:rFonts w:eastAsia="仿宋_GB2312"/>
                <w:color w:val="000000"/>
                <w:kern w:val="0"/>
                <w:sz w:val="20"/>
                <w:szCs w:val="21"/>
              </w:rPr>
            </w:pPr>
            <w:r>
              <w:rPr>
                <w:rFonts w:eastAsia="仿宋_GB2312"/>
                <w:color w:val="000000"/>
                <w:kern w:val="0"/>
                <w:sz w:val="20"/>
                <w:szCs w:val="21"/>
              </w:rPr>
              <w:t>评估方式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10.无障碍设施</w:t>
            </w:r>
          </w:p>
        </w:tc>
        <w:tc>
          <w:tcPr>
            <w:tcW w:w="6662" w:type="dxa"/>
          </w:tcPr>
          <w:p>
            <w:pPr>
              <w:widowControl/>
              <w:rPr>
                <w:rFonts w:eastAsia="仿宋_GB2312"/>
                <w:color w:val="000000"/>
                <w:kern w:val="0"/>
                <w:sz w:val="20"/>
                <w:szCs w:val="21"/>
              </w:rPr>
            </w:pPr>
            <w:r>
              <w:rPr>
                <w:rFonts w:eastAsia="仿宋_GB2312"/>
                <w:color w:val="000000"/>
                <w:kern w:val="0"/>
                <w:sz w:val="20"/>
                <w:szCs w:val="21"/>
              </w:rPr>
              <w:t>按照《建筑与市政工程无障碍通用规范》要求，建设和运行维护人行道、盲道、人行过街设施以及出入口、无障碍卫生间（无障碍厕位）、低位服务设施、无障碍停车位、无障碍标志等无障碍设施，满足相关人群出行需求。</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现场抽查：随机抽查1个城区居民小区和1家当地较大规模的商场，现场查看无障碍设施的建设情况。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11.健康主题公园</w:t>
            </w:r>
          </w:p>
        </w:tc>
        <w:tc>
          <w:tcPr>
            <w:tcW w:w="6662" w:type="dxa"/>
          </w:tcPr>
          <w:p>
            <w:pPr>
              <w:widowControl/>
              <w:rPr>
                <w:rFonts w:eastAsia="仿宋_GB2312"/>
                <w:color w:val="000000"/>
                <w:kern w:val="0"/>
                <w:sz w:val="20"/>
                <w:szCs w:val="21"/>
              </w:rPr>
            </w:pPr>
            <w:r>
              <w:rPr>
                <w:rFonts w:eastAsia="仿宋_GB2312"/>
                <w:color w:val="000000"/>
                <w:kern w:val="0"/>
                <w:sz w:val="20"/>
                <w:szCs w:val="21"/>
              </w:rPr>
              <w:t>建设和管理健康主题公园，向公众传播健康知识，促进公众身体活动。</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现场抽查：随机抽查1个健康主题公园。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12.健康步道</w:t>
            </w:r>
          </w:p>
        </w:tc>
        <w:tc>
          <w:tcPr>
            <w:tcW w:w="6662" w:type="dxa"/>
          </w:tcPr>
          <w:p>
            <w:pPr>
              <w:widowControl/>
              <w:rPr>
                <w:rFonts w:eastAsia="仿宋_GB2312"/>
                <w:color w:val="000000"/>
                <w:kern w:val="0"/>
                <w:sz w:val="20"/>
                <w:szCs w:val="21"/>
              </w:rPr>
            </w:pPr>
            <w:r>
              <w:rPr>
                <w:rFonts w:eastAsia="仿宋_GB2312"/>
                <w:color w:val="000000"/>
                <w:kern w:val="0"/>
                <w:sz w:val="20"/>
                <w:szCs w:val="21"/>
              </w:rPr>
              <w:t>在社区、单位、公园等公共场所建设健康步道，供公众开展健步走等健身活动，获取健康知识和技能。</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现场抽查：随机抽查1条健康步道。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13.绿道</w:t>
            </w:r>
          </w:p>
        </w:tc>
        <w:tc>
          <w:tcPr>
            <w:tcW w:w="6662" w:type="dxa"/>
          </w:tcPr>
          <w:p>
            <w:pPr>
              <w:widowControl/>
              <w:rPr>
                <w:rFonts w:eastAsia="仿宋_GB2312"/>
                <w:color w:val="000000"/>
                <w:kern w:val="0"/>
                <w:sz w:val="20"/>
                <w:szCs w:val="21"/>
              </w:rPr>
            </w:pPr>
            <w:r>
              <w:rPr>
                <w:rFonts w:eastAsia="仿宋_GB2312"/>
                <w:color w:val="000000"/>
                <w:kern w:val="0"/>
                <w:sz w:val="20"/>
                <w:szCs w:val="21"/>
              </w:rPr>
              <w:t>建设绿道，为市民绿色出行、游憩、休闲提供环境。</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现场抽查：随机抽查1条绿道。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21.农村自来水普及</w:t>
            </w:r>
          </w:p>
        </w:tc>
        <w:tc>
          <w:tcPr>
            <w:tcW w:w="6662" w:type="dxa"/>
          </w:tcPr>
          <w:p>
            <w:pPr>
              <w:widowControl/>
              <w:rPr>
                <w:rFonts w:eastAsia="仿宋_GB2312"/>
                <w:color w:val="000000"/>
                <w:kern w:val="0"/>
                <w:sz w:val="20"/>
                <w:szCs w:val="21"/>
              </w:rPr>
            </w:pPr>
            <w:r>
              <w:rPr>
                <w:rFonts w:eastAsia="仿宋_GB2312"/>
                <w:color w:val="000000"/>
                <w:kern w:val="0"/>
                <w:sz w:val="20"/>
                <w:szCs w:val="21"/>
              </w:rPr>
              <w:t>制定城镇供水设施向农村延伸工作目标或方案，因地制宜推进城乡供水一体化工程建设。农村自来水普及率不低于85%。</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现场抽查：随机抽取1个行政村，再随机抽取5户农村家庭，查看自来水入户情况。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24.生活垃圾污染治理</w:t>
            </w:r>
          </w:p>
        </w:tc>
        <w:tc>
          <w:tcPr>
            <w:tcW w:w="6662" w:type="dxa"/>
          </w:tcPr>
          <w:p>
            <w:pPr>
              <w:widowControl/>
              <w:rPr>
                <w:rFonts w:eastAsia="仿宋_GB2312"/>
                <w:color w:val="000000"/>
                <w:kern w:val="0"/>
                <w:sz w:val="20"/>
                <w:szCs w:val="21"/>
              </w:rPr>
            </w:pPr>
            <w:r>
              <w:rPr>
                <w:rFonts w:eastAsia="仿宋_GB2312"/>
                <w:color w:val="000000"/>
                <w:kern w:val="0"/>
                <w:sz w:val="20"/>
                <w:szCs w:val="21"/>
              </w:rPr>
              <w:t>生活垃圾收运臭气控制达标，无露天焚烧垃圾、违规填埋垃圾和在铁路沿线乱堆放垃圾等现象。</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现场抽查：随机抽查1处铁路沿线（无铁路的县区可抽查1处当地主要公路沿线），查看有无垃圾乱堆情况，途中可同时观察有无露天焚烧垃圾、违规填埋现象。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25.医疗废物处置</w:t>
            </w:r>
          </w:p>
        </w:tc>
        <w:tc>
          <w:tcPr>
            <w:tcW w:w="6662" w:type="dxa"/>
          </w:tcPr>
          <w:p>
            <w:pPr>
              <w:widowControl/>
              <w:rPr>
                <w:rFonts w:eastAsia="仿宋_GB2312"/>
                <w:color w:val="000000"/>
                <w:kern w:val="0"/>
                <w:sz w:val="20"/>
                <w:szCs w:val="21"/>
              </w:rPr>
            </w:pPr>
            <w:r>
              <w:rPr>
                <w:rFonts w:eastAsia="仿宋_GB2312"/>
                <w:color w:val="000000"/>
                <w:kern w:val="0"/>
                <w:sz w:val="20"/>
                <w:szCs w:val="21"/>
              </w:rPr>
              <w:t>医疗废物管理责任明确，规章制度健全，规范操作，源头分类和分类收集、运送、暂存、交接、集中处置符合《医疗废物分类目录》《医疗废物管理条例》等规定，实现医疗废物收集处理全覆盖。</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现场抽查：抽查1家县级医院和1家乡镇卫生院，了解医疗废物管理情况。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26.城镇公共厕所建设和管理</w:t>
            </w:r>
          </w:p>
        </w:tc>
        <w:tc>
          <w:tcPr>
            <w:tcW w:w="6662" w:type="dxa"/>
          </w:tcPr>
          <w:p>
            <w:pPr>
              <w:widowControl/>
              <w:rPr>
                <w:rFonts w:eastAsia="仿宋_GB2312"/>
                <w:color w:val="000000"/>
                <w:kern w:val="0"/>
                <w:sz w:val="20"/>
                <w:szCs w:val="21"/>
              </w:rPr>
            </w:pPr>
            <w:r>
              <w:rPr>
                <w:rFonts w:eastAsia="仿宋_GB2312"/>
                <w:color w:val="000000"/>
                <w:kern w:val="0"/>
                <w:sz w:val="20"/>
                <w:szCs w:val="21"/>
              </w:rPr>
              <w:t>辖区内城镇公共厕所规划布局合理，公厕的数量、间距、类别、功能等符合《公共厕所卫生规范》《城市公共厕所设计标准》等国家标准，管理规范、免费开放、方便群众使用。</w:t>
            </w:r>
          </w:p>
        </w:tc>
        <w:tc>
          <w:tcPr>
            <w:tcW w:w="6096" w:type="dxa"/>
          </w:tcPr>
          <w:p>
            <w:pPr>
              <w:widowControl/>
              <w:textAlignment w:val="center"/>
              <w:rPr>
                <w:rFonts w:eastAsia="仿宋_GB2312"/>
                <w:color w:val="000000"/>
                <w:kern w:val="0"/>
                <w:sz w:val="20"/>
                <w:szCs w:val="21"/>
              </w:rPr>
            </w:pPr>
            <w:r>
              <w:rPr>
                <w:rFonts w:eastAsia="仿宋_GB2312"/>
                <w:color w:val="000000"/>
                <w:kern w:val="0"/>
                <w:sz w:val="20"/>
                <w:szCs w:val="21"/>
              </w:rPr>
              <w:t>现场抽查：随机抽取2处独立式公共厕所和2处附属式公共厕所（从1家娱乐场所和1个当地规模较大的商场、超市或菜市场中，各抽取1处附属式公共厕所），查看其建设和管理情况。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29.规范饲养禽畜</w:t>
            </w:r>
          </w:p>
        </w:tc>
        <w:tc>
          <w:tcPr>
            <w:tcW w:w="6662" w:type="dxa"/>
          </w:tcPr>
          <w:p>
            <w:pPr>
              <w:rPr>
                <w:rFonts w:eastAsia="仿宋_GB2312"/>
                <w:color w:val="000000"/>
                <w:kern w:val="0"/>
                <w:sz w:val="20"/>
                <w:szCs w:val="21"/>
              </w:rPr>
            </w:pPr>
            <w:r>
              <w:rPr>
                <w:rFonts w:eastAsia="仿宋_GB2312"/>
                <w:color w:val="000000"/>
                <w:kern w:val="0"/>
                <w:sz w:val="20"/>
                <w:szCs w:val="21"/>
              </w:rPr>
              <w:t>倡导禽畜圈养，指导养殖户或居民规范处理禽畜粪污，按要求对动物实施免疫接种。城市建成区内禁止饲养鸡、鸭、鹅、兔、羊、猪等家畜家禽。</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现场抽查：随机抽取1个行政村，再随机抽取5户农村家庭，查看其禽畜饲养情况。</w:t>
            </w:r>
          </w:p>
          <w:p>
            <w:pPr>
              <w:widowControl/>
              <w:rPr>
                <w:rFonts w:eastAsia="仿宋_GB2312"/>
                <w:color w:val="000000"/>
                <w:kern w:val="0"/>
                <w:sz w:val="20"/>
                <w:szCs w:val="21"/>
              </w:rPr>
            </w:pPr>
            <w:r>
              <w:rPr>
                <w:rFonts w:eastAsia="仿宋_GB2312"/>
                <w:color w:val="000000"/>
                <w:kern w:val="0"/>
                <w:sz w:val="20"/>
                <w:szCs w:val="21"/>
              </w:rPr>
              <w:t>评判标准：禽畜圈养；及时清理粪便。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30.文明饲养宠物</w:t>
            </w:r>
          </w:p>
        </w:tc>
        <w:tc>
          <w:tcPr>
            <w:tcW w:w="6662" w:type="dxa"/>
          </w:tcPr>
          <w:p>
            <w:pPr>
              <w:rPr>
                <w:rFonts w:eastAsia="仿宋_GB2312"/>
                <w:color w:val="000000"/>
                <w:kern w:val="0"/>
                <w:sz w:val="20"/>
                <w:szCs w:val="21"/>
              </w:rPr>
            </w:pPr>
            <w:r>
              <w:rPr>
                <w:rFonts w:eastAsia="仿宋_GB2312"/>
                <w:color w:val="000000"/>
                <w:kern w:val="0"/>
                <w:sz w:val="20"/>
                <w:szCs w:val="21"/>
              </w:rPr>
              <w:t>倡导居民文明饲养宠物，饲养犬只定期免疫接种狂犬病疫苗，携带犬只出户采取系犬绳等措施，防止犬只伤人，及时清理宠物粪便。流浪犬、猫得到妥善控制和处置，防止疫病传播。</w:t>
            </w:r>
          </w:p>
        </w:tc>
        <w:tc>
          <w:tcPr>
            <w:tcW w:w="6096" w:type="dxa"/>
          </w:tcPr>
          <w:p>
            <w:pPr>
              <w:widowControl/>
              <w:rPr>
                <w:rFonts w:eastAsia="仿宋_GB2312"/>
                <w:color w:val="000000"/>
                <w:kern w:val="0"/>
                <w:sz w:val="20"/>
                <w:szCs w:val="21"/>
              </w:rPr>
            </w:pPr>
            <w:r>
              <w:rPr>
                <w:rFonts w:eastAsia="仿宋_GB2312"/>
                <w:color w:val="000000"/>
                <w:kern w:val="0"/>
                <w:sz w:val="20"/>
                <w:szCs w:val="21"/>
              </w:rPr>
              <w:t>现场查看：有无遛狗不系狗绳者、马路边有无宠物粪便。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32.食品生产经营单位油烟净化</w:t>
            </w:r>
          </w:p>
        </w:tc>
        <w:tc>
          <w:tcPr>
            <w:tcW w:w="6662" w:type="dxa"/>
          </w:tcPr>
          <w:p>
            <w:pPr>
              <w:rPr>
                <w:rFonts w:eastAsia="仿宋_GB2312"/>
                <w:color w:val="000000"/>
                <w:kern w:val="0"/>
                <w:sz w:val="20"/>
                <w:szCs w:val="21"/>
              </w:rPr>
            </w:pPr>
            <w:r>
              <w:rPr>
                <w:rFonts w:eastAsia="仿宋_GB2312"/>
                <w:color w:val="000000"/>
                <w:kern w:val="0"/>
                <w:sz w:val="20"/>
                <w:szCs w:val="21"/>
              </w:rPr>
              <w:t>排放油烟的饮食业单位需按照《饮食业油烟排放标准》规定，安装油烟净化设施，排气罩面积与灶头数的比≥1.1，油烟排放浓度≤2mg/m</w:t>
            </w:r>
            <w:r>
              <w:rPr>
                <w:rFonts w:eastAsia="仿宋_GB2312"/>
                <w:color w:val="000000"/>
                <w:kern w:val="0"/>
                <w:sz w:val="20"/>
                <w:szCs w:val="21"/>
                <w:vertAlign w:val="superscript"/>
              </w:rPr>
              <w:t>3</w:t>
            </w:r>
            <w:r>
              <w:rPr>
                <w:rFonts w:eastAsia="仿宋_GB2312"/>
                <w:color w:val="000000"/>
                <w:kern w:val="0"/>
                <w:sz w:val="20"/>
                <w:szCs w:val="21"/>
              </w:rPr>
              <w:t>，并保证操作期间按要求运行。</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现场抽查：随机抽查</w:t>
            </w:r>
            <w:r>
              <w:rPr>
                <w:rFonts w:eastAsia="仿宋_GB2312"/>
                <w:color w:val="000000"/>
                <w:kern w:val="0"/>
                <w:sz w:val="24"/>
                <w:szCs w:val="21"/>
              </w:rPr>
              <w:t>＞</w:t>
            </w:r>
            <w:r>
              <w:rPr>
                <w:rFonts w:eastAsia="仿宋_GB2312"/>
                <w:color w:val="000000"/>
                <w:kern w:val="0"/>
                <w:sz w:val="20"/>
                <w:szCs w:val="21"/>
              </w:rPr>
              <w:t>500平米的1家餐馆和1家单位食堂，查阅抽查单位相关检测报告。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33.明厨亮灶</w:t>
            </w:r>
          </w:p>
        </w:tc>
        <w:tc>
          <w:tcPr>
            <w:tcW w:w="6662" w:type="dxa"/>
          </w:tcPr>
          <w:p>
            <w:pPr>
              <w:widowControl/>
              <w:rPr>
                <w:rFonts w:eastAsia="仿宋_GB2312"/>
                <w:color w:val="000000"/>
                <w:kern w:val="0"/>
                <w:sz w:val="20"/>
                <w:szCs w:val="21"/>
              </w:rPr>
            </w:pPr>
            <w:r>
              <w:rPr>
                <w:rFonts w:eastAsia="仿宋_GB2312"/>
                <w:color w:val="000000"/>
                <w:kern w:val="0"/>
                <w:sz w:val="20"/>
                <w:szCs w:val="21"/>
              </w:rPr>
              <w:t>餐饮服务经营者实施明厨亮灶管理，采用透明、视频等方式，将厨房环境卫生、冷食类食品加工制作、生食类食品加工制作、烹饪和餐饮具清洗消毒等过程，向社会公众展示。</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现场抽查：随机抽查</w:t>
            </w:r>
            <w:r>
              <w:rPr>
                <w:rFonts w:eastAsia="仿宋_GB2312"/>
                <w:color w:val="000000"/>
                <w:kern w:val="0"/>
                <w:sz w:val="24"/>
                <w:szCs w:val="21"/>
              </w:rPr>
              <w:t>＞</w:t>
            </w:r>
            <w:r>
              <w:rPr>
                <w:rFonts w:eastAsia="仿宋_GB2312"/>
                <w:color w:val="000000"/>
                <w:kern w:val="0"/>
                <w:sz w:val="20"/>
                <w:szCs w:val="21"/>
              </w:rPr>
              <w:t>500平米的1家餐馆和1家单位食堂。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34.食品安全管理</w:t>
            </w:r>
          </w:p>
        </w:tc>
        <w:tc>
          <w:tcPr>
            <w:tcW w:w="6662" w:type="dxa"/>
          </w:tcPr>
          <w:p>
            <w:pPr>
              <w:widowControl/>
              <w:rPr>
                <w:rFonts w:eastAsia="仿宋_GB2312"/>
                <w:color w:val="000000"/>
                <w:kern w:val="0"/>
                <w:sz w:val="20"/>
                <w:szCs w:val="21"/>
              </w:rPr>
            </w:pPr>
            <w:r>
              <w:rPr>
                <w:rFonts w:eastAsia="仿宋_GB2312"/>
                <w:color w:val="000000"/>
                <w:kern w:val="0"/>
                <w:sz w:val="20"/>
                <w:szCs w:val="21"/>
              </w:rPr>
              <w:t>食品采购、贮存、加工制作、销售符合食品安全要求。管理要求：1.采购食品建立食品采购索证索票和登记台账制度。2.食品贮存做到分类分架、隔墙离地、生熟分开，并按照包装标识的条件进行存放。3.食品加工制作场所布局及工艺流程合理，防止原料与成品、生食品与熟食品交叉污染，避免食品接触有毒及不洁物。</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现场抽查：随机抽查</w:t>
            </w:r>
            <w:r>
              <w:rPr>
                <w:rFonts w:eastAsia="仿宋_GB2312"/>
                <w:color w:val="000000"/>
                <w:kern w:val="0"/>
                <w:sz w:val="24"/>
                <w:szCs w:val="21"/>
              </w:rPr>
              <w:t>＞</w:t>
            </w:r>
            <w:r>
              <w:rPr>
                <w:rFonts w:eastAsia="仿宋_GB2312"/>
                <w:color w:val="000000"/>
                <w:kern w:val="0"/>
                <w:sz w:val="20"/>
                <w:szCs w:val="21"/>
              </w:rPr>
              <w:t>500平米的1家餐馆和1家单位食堂，了解食品安全管理情况。</w:t>
            </w:r>
          </w:p>
          <w:p>
            <w:pPr>
              <w:widowControl/>
              <w:rPr>
                <w:rFonts w:eastAsia="仿宋_GB2312"/>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39.健康细胞建设质量</w:t>
            </w:r>
          </w:p>
        </w:tc>
        <w:tc>
          <w:tcPr>
            <w:tcW w:w="6662" w:type="dxa"/>
          </w:tcPr>
          <w:p>
            <w:pPr>
              <w:widowControl/>
              <w:rPr>
                <w:rFonts w:eastAsia="仿宋_GB2312"/>
                <w:color w:val="000000"/>
                <w:kern w:val="0"/>
                <w:sz w:val="20"/>
                <w:szCs w:val="21"/>
              </w:rPr>
            </w:pPr>
            <w:r>
              <w:rPr>
                <w:rFonts w:eastAsia="仿宋_GB2312"/>
                <w:color w:val="000000"/>
                <w:kern w:val="0"/>
                <w:sz w:val="20"/>
                <w:szCs w:val="21"/>
              </w:rPr>
              <w:t>提升各类健康细胞建设水平，达到本省或当地健康细胞建设要求。</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在已完成建设的健康细胞中，随机抽取1个城区的居民小区、1个行政村、2家党政机关、2家企业、1个小学和1个中学、1家县级医院和1家乡镇卫生院，结合本省或当地健康细胞评价标准，对其建设情况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52.消防安全</w:t>
            </w:r>
          </w:p>
        </w:tc>
        <w:tc>
          <w:tcPr>
            <w:tcW w:w="6662" w:type="dxa"/>
          </w:tcPr>
          <w:p>
            <w:pPr>
              <w:widowControl/>
              <w:rPr>
                <w:rFonts w:eastAsia="仿宋_GB2312"/>
                <w:color w:val="000000"/>
                <w:kern w:val="0"/>
                <w:sz w:val="20"/>
                <w:szCs w:val="21"/>
              </w:rPr>
            </w:pPr>
            <w:r>
              <w:rPr>
                <w:rFonts w:eastAsia="仿宋_GB2312"/>
                <w:color w:val="000000"/>
                <w:kern w:val="0"/>
                <w:sz w:val="20"/>
                <w:szCs w:val="21"/>
              </w:rPr>
              <w:t>各单位和居民住宅消防设施齐全、完好，消防车通道通畅。</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现场抽查：随机抽取1个城区的居民小区和1家娱乐场所，查看消防安全相关资料，实地了解其消防设施配置、消防车通道等情况。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55.家庭医生签约服务</w:t>
            </w:r>
          </w:p>
        </w:tc>
        <w:tc>
          <w:tcPr>
            <w:tcW w:w="6662" w:type="dxa"/>
          </w:tcPr>
          <w:p>
            <w:pPr>
              <w:widowControl/>
              <w:rPr>
                <w:rFonts w:eastAsia="仿宋_GB2312"/>
                <w:color w:val="000000"/>
                <w:kern w:val="0"/>
                <w:sz w:val="20"/>
                <w:szCs w:val="21"/>
              </w:rPr>
            </w:pPr>
            <w:r>
              <w:rPr>
                <w:rFonts w:eastAsia="仿宋_GB2312"/>
                <w:color w:val="000000"/>
                <w:kern w:val="0"/>
                <w:sz w:val="20"/>
                <w:szCs w:val="21"/>
              </w:rPr>
              <w:t>健全家庭医生签约服务团队，增加签约服务供给，扩大签约服务覆盖面，强化签约服务内涵，推进有效签约、规范签约。</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现场抽查：随机抽取1家社区卫生服务中心或1家乡镇卫生院，查阅家庭医生签约服务开展、质量控制等情况。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838" w:type="dxa"/>
            <w:vAlign w:val="center"/>
          </w:tcPr>
          <w:p>
            <w:pPr>
              <w:widowControl/>
              <w:rPr>
                <w:rFonts w:eastAsia="仿宋_GB2312"/>
                <w:color w:val="000000"/>
                <w:kern w:val="0"/>
                <w:sz w:val="20"/>
                <w:szCs w:val="21"/>
              </w:rPr>
            </w:pPr>
            <w:r>
              <w:rPr>
                <w:rFonts w:eastAsia="仿宋_GB2312"/>
                <w:color w:val="000000"/>
                <w:kern w:val="0"/>
                <w:sz w:val="20"/>
                <w:szCs w:val="21"/>
              </w:rPr>
              <w:t>63.基层健康教育服务项目</w:t>
            </w:r>
          </w:p>
        </w:tc>
        <w:tc>
          <w:tcPr>
            <w:tcW w:w="6662" w:type="dxa"/>
          </w:tcPr>
          <w:p>
            <w:pPr>
              <w:widowControl/>
              <w:rPr>
                <w:rFonts w:eastAsia="仿宋_GB2312"/>
                <w:color w:val="000000"/>
                <w:kern w:val="0"/>
                <w:sz w:val="20"/>
                <w:szCs w:val="21"/>
              </w:rPr>
            </w:pPr>
            <w:r>
              <w:rPr>
                <w:rFonts w:eastAsia="仿宋_GB2312"/>
                <w:color w:val="000000"/>
                <w:kern w:val="0"/>
                <w:sz w:val="20"/>
                <w:szCs w:val="21"/>
              </w:rPr>
              <w:t>落实国家基本公共卫生服务健康教育项目和健康素养促进项目，面向城乡居民普及健康知识和技能，倡导健康生活方式。</w:t>
            </w:r>
          </w:p>
        </w:tc>
        <w:tc>
          <w:tcPr>
            <w:tcW w:w="6096" w:type="dxa"/>
          </w:tcPr>
          <w:p>
            <w:pPr>
              <w:widowControl/>
              <w:rPr>
                <w:rFonts w:eastAsia="仿宋_GB2312"/>
                <w:color w:val="000000"/>
                <w:kern w:val="0"/>
                <w:sz w:val="20"/>
                <w:szCs w:val="21"/>
              </w:rPr>
            </w:pPr>
            <w:r>
              <w:rPr>
                <w:rFonts w:eastAsia="仿宋_GB2312"/>
                <w:color w:val="000000"/>
                <w:kern w:val="0"/>
                <w:sz w:val="20"/>
                <w:szCs w:val="21"/>
              </w:rPr>
              <w:t>现场抽查：随机抽取1家社区卫生服务中心和1家乡镇卫生院，查阅资料，了解国家基本公共卫生服务健康教育项目执行情况。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838" w:type="dxa"/>
            <w:vAlign w:val="center"/>
          </w:tcPr>
          <w:p>
            <w:pPr>
              <w:widowControl/>
              <w:rPr>
                <w:rFonts w:eastAsia="仿宋_GB2312"/>
                <w:color w:val="000000"/>
                <w:kern w:val="0"/>
                <w:sz w:val="20"/>
                <w:szCs w:val="21"/>
              </w:rPr>
            </w:pPr>
            <w:r>
              <w:rPr>
                <w:rFonts w:eastAsia="仿宋_GB2312"/>
                <w:kern w:val="0"/>
                <w:sz w:val="20"/>
                <w:szCs w:val="21"/>
              </w:rPr>
              <w:t>67.患者健康教育服务</w:t>
            </w:r>
          </w:p>
        </w:tc>
        <w:tc>
          <w:tcPr>
            <w:tcW w:w="6662" w:type="dxa"/>
          </w:tcPr>
          <w:p>
            <w:pPr>
              <w:widowControl/>
              <w:rPr>
                <w:rFonts w:eastAsia="仿宋_GB2312"/>
                <w:color w:val="000000"/>
                <w:kern w:val="0"/>
                <w:sz w:val="20"/>
                <w:szCs w:val="21"/>
              </w:rPr>
            </w:pPr>
            <w:r>
              <w:rPr>
                <w:rFonts w:eastAsia="仿宋_GB2312"/>
                <w:kern w:val="0"/>
                <w:sz w:val="20"/>
                <w:szCs w:val="21"/>
              </w:rPr>
              <w:t>辖区医疗卫生机构建立完善候诊、门诊、住院、随访等业务工作全周期健康教育工作流程，向患者提供健康教育处方，帮助患者养成有利于健康的行为。</w:t>
            </w:r>
          </w:p>
        </w:tc>
        <w:tc>
          <w:tcPr>
            <w:tcW w:w="6096" w:type="dxa"/>
          </w:tcPr>
          <w:p>
            <w:pPr>
              <w:widowControl/>
              <w:rPr>
                <w:rFonts w:eastAsia="仿宋_GB2312"/>
                <w:kern w:val="0"/>
                <w:sz w:val="20"/>
                <w:szCs w:val="21"/>
              </w:rPr>
            </w:pPr>
            <w:r>
              <w:rPr>
                <w:rFonts w:eastAsia="仿宋_GB2312"/>
                <w:kern w:val="0"/>
                <w:sz w:val="20"/>
                <w:szCs w:val="21"/>
              </w:rPr>
              <w:t>查阅资料：医疗卫生机构相关工作资料。</w:t>
            </w:r>
          </w:p>
          <w:p>
            <w:pPr>
              <w:widowControl/>
              <w:rPr>
                <w:rFonts w:eastAsia="仿宋_GB2312"/>
                <w:kern w:val="0"/>
                <w:sz w:val="20"/>
                <w:szCs w:val="21"/>
              </w:rPr>
            </w:pPr>
            <w:r>
              <w:rPr>
                <w:rFonts w:eastAsia="仿宋_GB2312"/>
                <w:kern w:val="0"/>
                <w:sz w:val="20"/>
                <w:szCs w:val="21"/>
              </w:rPr>
              <w:t>资料来源：医疗卫生机构。</w:t>
            </w:r>
          </w:p>
          <w:p>
            <w:pPr>
              <w:widowControl/>
              <w:rPr>
                <w:rFonts w:eastAsia="仿宋_GB2312"/>
                <w:color w:val="000000"/>
                <w:kern w:val="0"/>
                <w:sz w:val="20"/>
                <w:szCs w:val="21"/>
              </w:rPr>
            </w:pPr>
            <w:r>
              <w:rPr>
                <w:rFonts w:eastAsia="仿宋_GB2312"/>
                <w:kern w:val="0"/>
                <w:sz w:val="20"/>
                <w:szCs w:val="21"/>
              </w:rPr>
              <w:t>现场抽查:抽取1家县级医院和1家乡镇卫生院，了解健康教育服务提供情况。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838" w:type="dxa"/>
            <w:vAlign w:val="center"/>
          </w:tcPr>
          <w:p>
            <w:pPr>
              <w:widowControl/>
              <w:rPr>
                <w:rFonts w:eastAsia="仿宋_GB2312"/>
                <w:kern w:val="0"/>
                <w:sz w:val="20"/>
                <w:szCs w:val="21"/>
              </w:rPr>
            </w:pPr>
            <w:r>
              <w:rPr>
                <w:rFonts w:eastAsia="仿宋_GB2312"/>
                <w:kern w:val="0"/>
                <w:sz w:val="20"/>
                <w:szCs w:val="21"/>
              </w:rPr>
              <w:t>71.家庭医生中医药服务</w:t>
            </w:r>
          </w:p>
        </w:tc>
        <w:tc>
          <w:tcPr>
            <w:tcW w:w="6662" w:type="dxa"/>
          </w:tcPr>
          <w:p>
            <w:pPr>
              <w:widowControl/>
              <w:rPr>
                <w:rFonts w:eastAsia="仿宋_GB2312"/>
                <w:kern w:val="0"/>
                <w:sz w:val="20"/>
                <w:szCs w:val="21"/>
              </w:rPr>
            </w:pPr>
            <w:r>
              <w:rPr>
                <w:rFonts w:eastAsia="仿宋_GB2312"/>
                <w:kern w:val="0"/>
                <w:sz w:val="20"/>
                <w:szCs w:val="21"/>
              </w:rPr>
              <w:t>将中医药服务纳入家庭医生签约服务内容，加强签约团队中医药人员配置，鼓励家庭医生（团队）掌握和使用针刺、推拿、拔罐、艾灸等中医药技术方法，提供中医治未病服务。</w:t>
            </w:r>
          </w:p>
        </w:tc>
        <w:tc>
          <w:tcPr>
            <w:tcW w:w="6096" w:type="dxa"/>
          </w:tcPr>
          <w:p>
            <w:pPr>
              <w:widowControl/>
              <w:rPr>
                <w:rFonts w:eastAsia="仿宋_GB2312"/>
                <w:kern w:val="0"/>
                <w:sz w:val="20"/>
                <w:szCs w:val="21"/>
              </w:rPr>
            </w:pPr>
            <w:r>
              <w:rPr>
                <w:rFonts w:eastAsia="仿宋_GB2312"/>
                <w:kern w:val="0"/>
                <w:sz w:val="20"/>
                <w:szCs w:val="21"/>
              </w:rPr>
              <w:t>现场抽查：抽取1家社区卫生服务中心和1家乡镇卫生院，了解家庭医生中医药服务开展及中医治未病服务提供情况。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838" w:type="dxa"/>
            <w:vAlign w:val="center"/>
          </w:tcPr>
          <w:p>
            <w:pPr>
              <w:rPr>
                <w:rFonts w:eastAsia="仿宋_GB2312"/>
                <w:kern w:val="0"/>
                <w:sz w:val="20"/>
                <w:szCs w:val="21"/>
              </w:rPr>
            </w:pPr>
            <w:r>
              <w:rPr>
                <w:rFonts w:eastAsia="仿宋_GB2312"/>
                <w:kern w:val="0"/>
                <w:sz w:val="20"/>
                <w:szCs w:val="21"/>
              </w:rPr>
              <w:t>76.健康教育课程</w:t>
            </w:r>
          </w:p>
        </w:tc>
        <w:tc>
          <w:tcPr>
            <w:tcW w:w="6662" w:type="dxa"/>
          </w:tcPr>
          <w:p>
            <w:pPr>
              <w:rPr>
                <w:rFonts w:eastAsia="仿宋_GB2312"/>
                <w:kern w:val="0"/>
                <w:sz w:val="20"/>
                <w:szCs w:val="21"/>
              </w:rPr>
            </w:pPr>
            <w:r>
              <w:rPr>
                <w:rFonts w:eastAsia="仿宋_GB2312"/>
                <w:kern w:val="0"/>
                <w:sz w:val="20"/>
                <w:szCs w:val="21"/>
              </w:rPr>
              <w:t>辖区各类学校开设体育与健康课程，保障健康教育课时。与各学科教学有机融合，做到教学计划、教学材料、课时、师资“四到位”。</w:t>
            </w:r>
          </w:p>
        </w:tc>
        <w:tc>
          <w:tcPr>
            <w:tcW w:w="6096" w:type="dxa"/>
          </w:tcPr>
          <w:p>
            <w:pPr>
              <w:rPr>
                <w:rFonts w:eastAsia="仿宋_GB2312"/>
                <w:kern w:val="0"/>
                <w:sz w:val="20"/>
                <w:szCs w:val="21"/>
              </w:rPr>
            </w:pPr>
            <w:r>
              <w:rPr>
                <w:rFonts w:eastAsia="仿宋_GB2312"/>
                <w:kern w:val="0"/>
                <w:sz w:val="20"/>
                <w:szCs w:val="21"/>
              </w:rPr>
              <w:t>现场抽查：随机抽取1个小学和1个中学，查看健康教育课落实情况。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838" w:type="dxa"/>
            <w:vAlign w:val="center"/>
          </w:tcPr>
          <w:p>
            <w:pPr>
              <w:rPr>
                <w:rFonts w:eastAsia="仿宋_GB2312"/>
                <w:kern w:val="0"/>
                <w:sz w:val="20"/>
                <w:szCs w:val="21"/>
              </w:rPr>
            </w:pPr>
            <w:r>
              <w:rPr>
                <w:rFonts w:eastAsia="仿宋_GB2312"/>
                <w:kern w:val="0"/>
                <w:sz w:val="20"/>
                <w:szCs w:val="21"/>
              </w:rPr>
              <w:t>77.学校健康教育活动</w:t>
            </w:r>
          </w:p>
        </w:tc>
        <w:tc>
          <w:tcPr>
            <w:tcW w:w="6662" w:type="dxa"/>
          </w:tcPr>
          <w:p>
            <w:pPr>
              <w:rPr>
                <w:rFonts w:eastAsia="仿宋_GB2312"/>
                <w:kern w:val="0"/>
                <w:sz w:val="20"/>
                <w:szCs w:val="21"/>
              </w:rPr>
            </w:pPr>
            <w:r>
              <w:rPr>
                <w:rFonts w:eastAsia="仿宋_GB2312"/>
                <w:kern w:val="0"/>
                <w:sz w:val="20"/>
                <w:szCs w:val="21"/>
              </w:rPr>
              <w:t>依托健康主题健康教育，结合重要活动和时间节点，通过课堂、讲座、知识竞赛、主题班队会等，以及电子屏、宣传栏、健康标识等多种形式、多种渠道向学生教授健康知识和技能，提高学生健康素养，引导学生养成健康生活方式。</w:t>
            </w:r>
          </w:p>
        </w:tc>
        <w:tc>
          <w:tcPr>
            <w:tcW w:w="6096" w:type="dxa"/>
          </w:tcPr>
          <w:p>
            <w:pPr>
              <w:rPr>
                <w:rFonts w:eastAsia="仿宋_GB2312"/>
                <w:kern w:val="0"/>
                <w:sz w:val="20"/>
                <w:szCs w:val="21"/>
              </w:rPr>
            </w:pPr>
            <w:r>
              <w:rPr>
                <w:rFonts w:eastAsia="仿宋_GB2312"/>
                <w:kern w:val="0"/>
                <w:sz w:val="20"/>
                <w:szCs w:val="21"/>
              </w:rPr>
              <w:t>现场抽查：随机抽取1个小学和1个中学，查看健康教育活动开展情况。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838" w:type="dxa"/>
            <w:vAlign w:val="center"/>
          </w:tcPr>
          <w:p>
            <w:pPr>
              <w:rPr>
                <w:rFonts w:eastAsia="仿宋_GB2312"/>
                <w:kern w:val="0"/>
                <w:sz w:val="20"/>
                <w:szCs w:val="21"/>
              </w:rPr>
            </w:pPr>
            <w:r>
              <w:rPr>
                <w:rFonts w:eastAsia="仿宋_GB2312"/>
                <w:kern w:val="0"/>
                <w:sz w:val="20"/>
                <w:szCs w:val="21"/>
              </w:rPr>
              <w:t>78.学生健康水平</w:t>
            </w:r>
          </w:p>
        </w:tc>
        <w:tc>
          <w:tcPr>
            <w:tcW w:w="6662" w:type="dxa"/>
          </w:tcPr>
          <w:p>
            <w:pPr>
              <w:rPr>
                <w:rFonts w:eastAsia="仿宋_GB2312"/>
                <w:kern w:val="0"/>
                <w:sz w:val="20"/>
                <w:szCs w:val="21"/>
              </w:rPr>
            </w:pPr>
            <w:r>
              <w:rPr>
                <w:rFonts w:eastAsia="仿宋_GB2312"/>
                <w:kern w:val="0"/>
                <w:sz w:val="20"/>
                <w:szCs w:val="21"/>
              </w:rPr>
              <w:t>学生体质健康水平提高，近视、肥胖等不良健康状况有明显改善。</w:t>
            </w:r>
          </w:p>
        </w:tc>
        <w:tc>
          <w:tcPr>
            <w:tcW w:w="6096" w:type="dxa"/>
          </w:tcPr>
          <w:p>
            <w:pPr>
              <w:rPr>
                <w:rFonts w:eastAsia="仿宋_GB2312"/>
                <w:kern w:val="0"/>
                <w:sz w:val="20"/>
                <w:szCs w:val="21"/>
              </w:rPr>
            </w:pPr>
            <w:r>
              <w:rPr>
                <w:rFonts w:eastAsia="仿宋_GB2312"/>
                <w:kern w:val="0"/>
                <w:sz w:val="20"/>
                <w:szCs w:val="21"/>
              </w:rPr>
              <w:t>现场抽查：随机抽取1个小学和1个中学，查看学生体质情况。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838" w:type="dxa"/>
            <w:vAlign w:val="center"/>
          </w:tcPr>
          <w:p>
            <w:pPr>
              <w:rPr>
                <w:rFonts w:eastAsia="仿宋_GB2312"/>
                <w:kern w:val="0"/>
                <w:sz w:val="20"/>
                <w:szCs w:val="21"/>
              </w:rPr>
            </w:pPr>
            <w:r>
              <w:rPr>
                <w:rFonts w:eastAsia="仿宋_GB2312"/>
                <w:kern w:val="0"/>
                <w:sz w:val="20"/>
                <w:szCs w:val="21"/>
              </w:rPr>
              <w:t>82.不向未成年人售烟</w:t>
            </w:r>
          </w:p>
        </w:tc>
        <w:tc>
          <w:tcPr>
            <w:tcW w:w="6662" w:type="dxa"/>
          </w:tcPr>
          <w:p>
            <w:pPr>
              <w:rPr>
                <w:rFonts w:eastAsia="仿宋_GB2312"/>
                <w:kern w:val="0"/>
                <w:sz w:val="20"/>
                <w:szCs w:val="21"/>
              </w:rPr>
            </w:pPr>
            <w:r>
              <w:rPr>
                <w:rFonts w:eastAsia="仿宋_GB2312"/>
                <w:kern w:val="0"/>
                <w:sz w:val="20"/>
                <w:szCs w:val="21"/>
              </w:rPr>
              <w:t>学校周边100米内无烟草/电子烟零售点，不向未成年人销售烟草制品/电子烟。</w:t>
            </w:r>
          </w:p>
        </w:tc>
        <w:tc>
          <w:tcPr>
            <w:tcW w:w="6096" w:type="dxa"/>
          </w:tcPr>
          <w:p>
            <w:pPr>
              <w:rPr>
                <w:rFonts w:eastAsia="仿宋_GB2312"/>
                <w:kern w:val="0"/>
                <w:sz w:val="20"/>
                <w:szCs w:val="21"/>
              </w:rPr>
            </w:pPr>
            <w:r>
              <w:rPr>
                <w:rFonts w:eastAsia="仿宋_GB2312"/>
                <w:kern w:val="0"/>
                <w:sz w:val="20"/>
                <w:szCs w:val="21"/>
              </w:rPr>
              <w:t>现场抽查：随机抽取1个小学和1个中学，观察周边100米是否有烟草/电子烟零售点。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838" w:type="dxa"/>
            <w:vAlign w:val="center"/>
          </w:tcPr>
          <w:p>
            <w:pPr>
              <w:rPr>
                <w:rFonts w:eastAsia="仿宋_GB2312"/>
                <w:kern w:val="0"/>
                <w:sz w:val="20"/>
                <w:szCs w:val="21"/>
              </w:rPr>
            </w:pPr>
            <w:r>
              <w:rPr>
                <w:rFonts w:eastAsia="仿宋_GB2312"/>
                <w:kern w:val="0"/>
                <w:sz w:val="20"/>
                <w:szCs w:val="21"/>
              </w:rPr>
              <w:t>84.倡导公勺公筷和光盘行动</w:t>
            </w:r>
          </w:p>
        </w:tc>
        <w:tc>
          <w:tcPr>
            <w:tcW w:w="6662" w:type="dxa"/>
          </w:tcPr>
          <w:p>
            <w:pPr>
              <w:rPr>
                <w:rFonts w:eastAsia="仿宋_GB2312"/>
                <w:kern w:val="0"/>
                <w:sz w:val="20"/>
                <w:szCs w:val="21"/>
              </w:rPr>
            </w:pPr>
            <w:r>
              <w:rPr>
                <w:rFonts w:eastAsia="仿宋_GB2312"/>
                <w:kern w:val="0"/>
                <w:sz w:val="20"/>
                <w:szCs w:val="21"/>
              </w:rPr>
              <w:t>倡导餐馆向聚餐顾客提供公勺公筷，在全社会推进光盘行动。</w:t>
            </w:r>
          </w:p>
        </w:tc>
        <w:tc>
          <w:tcPr>
            <w:tcW w:w="6096" w:type="dxa"/>
          </w:tcPr>
          <w:p>
            <w:pPr>
              <w:rPr>
                <w:rFonts w:eastAsia="仿宋_GB2312"/>
                <w:kern w:val="0"/>
                <w:sz w:val="20"/>
                <w:szCs w:val="21"/>
              </w:rPr>
            </w:pPr>
            <w:r>
              <w:rPr>
                <w:rFonts w:eastAsia="仿宋_GB2312"/>
                <w:kern w:val="0"/>
                <w:sz w:val="20"/>
                <w:szCs w:val="21"/>
              </w:rPr>
              <w:t>现场抽查：</w:t>
            </w:r>
            <w:r>
              <w:rPr>
                <w:rFonts w:eastAsia="仿宋_GB2312"/>
                <w:color w:val="000000"/>
                <w:kern w:val="0"/>
                <w:sz w:val="20"/>
                <w:szCs w:val="21"/>
              </w:rPr>
              <w:t>随机抽查＞500平米的1家餐馆</w:t>
            </w:r>
            <w:r>
              <w:rPr>
                <w:rFonts w:eastAsia="仿宋_GB2312"/>
                <w:kern w:val="0"/>
                <w:sz w:val="20"/>
                <w:szCs w:val="21"/>
              </w:rPr>
              <w:t>，查看公勺公筷和光盘行动倡导宣传情况。</w:t>
            </w:r>
          </w:p>
        </w:tc>
      </w:tr>
    </w:tbl>
    <w:p>
      <w:pPr>
        <w:snapToGrid w:val="0"/>
        <w:spacing w:line="600" w:lineRule="exact"/>
        <w:rPr>
          <w:rFonts w:eastAsia="仿宋_GB2312" w:cs="仿宋_GB2312"/>
          <w:sz w:val="32"/>
          <w:szCs w:val="32"/>
        </w:rPr>
        <w:sectPr>
          <w:pgSz w:w="16838" w:h="11906" w:orient="landscape"/>
          <w:pgMar w:top="1474" w:right="2041" w:bottom="1418" w:left="1588"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rPr>
        <w:rFonts w:ascii="仿宋_GB2312" w:eastAsia="仿宋_GB2312"/>
        <w:sz w:val="18"/>
        <w:szCs w:val="18"/>
      </w:rPr>
    </w:pPr>
    <w:r>
      <w:rPr>
        <w:sz w:val="18"/>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3</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jc w:val="left"/>
      <w:rPr>
        <w:rStyle w:val="7"/>
        <w:rFonts w:ascii="仿宋_GB2312" w:eastAsia="仿宋_GB2312"/>
        <w:sz w:val="18"/>
        <w:szCs w:val="18"/>
      </w:rPr>
    </w:pPr>
    <w:r>
      <w:rPr>
        <w:rStyle w:val="7"/>
        <w:sz w:val="18"/>
        <w:szCs w:val="18"/>
      </w:rPr>
      <w:fldChar w:fldCharType="begin"/>
    </w:r>
    <w:r>
      <w:rPr>
        <w:rStyle w:val="7"/>
        <w:sz w:val="18"/>
        <w:szCs w:val="18"/>
      </w:rPr>
      <w:instrText xml:space="preserve">PAGE  </w:instrText>
    </w:r>
    <w:r>
      <w:rPr>
        <w:rStyle w:val="7"/>
        <w:sz w:val="18"/>
        <w:szCs w:val="18"/>
      </w:rPr>
      <w:fldChar w:fldCharType="end"/>
    </w:r>
  </w:p>
  <w:p>
    <w:pPr>
      <w:snapToGrid w:val="0"/>
      <w:ind w:right="360" w:firstLine="360"/>
      <w:jc w:val="left"/>
      <w:rPr>
        <w:rFonts w:ascii="仿宋_GB2312" w:eastAsia="仿宋_GB2312"/>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32900"/>
    <w:multiLevelType w:val="singleLevel"/>
    <w:tmpl w:val="BFE32900"/>
    <w:lvl w:ilvl="0" w:tentative="0">
      <w:start w:val="1"/>
      <w:numFmt w:val="decimal"/>
      <w:lvlText w:val="%1."/>
      <w:lvlJc w:val="left"/>
      <w:pPr>
        <w:tabs>
          <w:tab w:val="left" w:pos="312"/>
        </w:tabs>
      </w:pPr>
    </w:lvl>
  </w:abstractNum>
  <w:abstractNum w:abstractNumId="1">
    <w:nsid w:val="F0BF6ADA"/>
    <w:multiLevelType w:val="singleLevel"/>
    <w:tmpl w:val="F0BF6ADA"/>
    <w:lvl w:ilvl="0" w:tentative="0">
      <w:start w:val="10"/>
      <w:numFmt w:val="chineseCounting"/>
      <w:suff w:val="nothing"/>
      <w:lvlText w:val="%1、"/>
      <w:lvlJc w:val="left"/>
      <w:rPr>
        <w:rFonts w:hint="eastAsia"/>
      </w:rPr>
    </w:lvl>
  </w:abstractNum>
  <w:abstractNum w:abstractNumId="2">
    <w:nsid w:val="7BF88FC9"/>
    <w:multiLevelType w:val="singleLevel"/>
    <w:tmpl w:val="7BF88FC9"/>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lODIwNjExNDRkY2ZkODc5ODljN2UxYmZhMmIzOGYifQ=="/>
    <w:docVar w:name="KSO_WPS_MARK_KEY" w:val="d1e475a4-26e8-40dd-b8e8-bd5fb02c8348"/>
  </w:docVars>
  <w:rsids>
    <w:rsidRoot w:val="0A357C83"/>
    <w:rsid w:val="001007BE"/>
    <w:rsid w:val="003458D4"/>
    <w:rsid w:val="0064351D"/>
    <w:rsid w:val="0A357C83"/>
    <w:rsid w:val="36973E50"/>
    <w:rsid w:val="75C56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7">
    <w:name w:val="page number"/>
    <w:basedOn w:val="6"/>
    <w:qFormat/>
    <w:uiPriority w:val="0"/>
  </w:style>
  <w:style w:type="paragraph" w:customStyle="1" w:styleId="8">
    <w:name w:val="List Paragraph1"/>
    <w:qFormat/>
    <w:uiPriority w:val="0"/>
    <w:pPr>
      <w:widowControl w:val="0"/>
      <w:ind w:firstLine="420"/>
      <w:jc w:val="both"/>
    </w:pPr>
    <w:rPr>
      <w:rFonts w:ascii="宋体" w:hAnsi="宋体" w:eastAsia="宋体" w:cs="Times New Roman"/>
      <w:lang w:val="en-US" w:eastAsia="zh-CN" w:bidi="ar-SA"/>
    </w:rPr>
  </w:style>
  <w:style w:type="table" w:customStyle="1" w:styleId="9">
    <w:name w:val="网格型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131</Pages>
  <Words>9079</Words>
  <Characters>51751</Characters>
  <Lines>431</Lines>
  <Paragraphs>121</Paragraphs>
  <TotalTime>4</TotalTime>
  <ScaleCrop>false</ScaleCrop>
  <LinksUpToDate>false</LinksUpToDate>
  <CharactersWithSpaces>60709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2024-01-29T03:08:00Z</dcterms:created>
  <dc:creator>Administrator</dc:creator>
  <cp:lastModifiedBy>荔枝</cp:lastModifiedBy>
  <dcterms:modified xsi:type="dcterms:W3CDTF">2024-11-15T03:00:07Z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4773C592A2164B05885FB9C9B9D2E9E4_11</vt:lpwstr>
  </property>
</Properties>
</file>