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pPr>
        <w:jc w:val="both"/>
        <w:rPr>
          <w:rFonts w:hint="default" w:ascii="黑体" w:hAnsi="黑体" w:eastAsia="黑体"/>
          <w:sz w:val="32"/>
          <w:szCs w:val="32"/>
          <w:lang w:val="en-US" w:eastAsia="zh-CN"/>
        </w:rPr>
      </w:pPr>
    </w:p>
    <w:p>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凤台县国有资产管理委员会2022年度项目支出绩效评价清单</w:t>
      </w: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spacing w:line="600" w:lineRule="exact"/>
        <w:ind w:firstLine="600" w:firstLineChars="200"/>
        <w:outlineLvl w:val="0"/>
        <w:rPr>
          <w:rFonts w:hint="eastAsia" w:ascii="仿宋_GB2312"/>
          <w:lang w:val="en-US" w:eastAsia="zh-CN"/>
        </w:rPr>
      </w:pPr>
    </w:p>
    <w:p>
      <w:pPr>
        <w:jc w:val="center"/>
        <w:rPr>
          <w:rFonts w:hint="default" w:ascii="黑体" w:hAnsi="黑体" w:eastAsia="黑体"/>
          <w:lang w:val="en-US" w:eastAsia="zh-CN"/>
        </w:rPr>
      </w:pPr>
    </w:p>
    <w:p>
      <w:pPr>
        <w:jc w:val="center"/>
        <w:rPr>
          <w:rFonts w:hint="eastAsia" w:ascii="黑体" w:hAnsi="黑体" w:eastAsia="黑体"/>
          <w:lang w:val="en-US" w:eastAsia="zh-CN"/>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89"/>
        <w:gridCol w:w="3461"/>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jc w:val="center"/>
              <w:rPr>
                <w:rFonts w:hint="default" w:ascii="黑体" w:hAnsi="黑体" w:eastAsia="黑体"/>
                <w:vertAlign w:val="baseline"/>
                <w:lang w:val="en-US" w:eastAsia="zh-CN"/>
              </w:rPr>
            </w:pPr>
            <w:r>
              <w:rPr>
                <w:rFonts w:hint="eastAsia" w:ascii="黑体" w:hAnsi="黑体" w:eastAsia="黑体"/>
                <w:vertAlign w:val="baseline"/>
                <w:lang w:val="en-US" w:eastAsia="zh-CN"/>
              </w:rPr>
              <w:t>序号</w:t>
            </w:r>
          </w:p>
        </w:tc>
        <w:tc>
          <w:tcPr>
            <w:tcW w:w="3889" w:type="dxa"/>
          </w:tcPr>
          <w:p>
            <w:pPr>
              <w:jc w:val="center"/>
              <w:rPr>
                <w:rFonts w:hint="default" w:ascii="黑体" w:hAnsi="黑体" w:eastAsia="黑体"/>
                <w:vertAlign w:val="baseline"/>
                <w:lang w:val="en-US" w:eastAsia="zh-CN"/>
              </w:rPr>
            </w:pPr>
            <w:r>
              <w:rPr>
                <w:rFonts w:hint="eastAsia" w:ascii="黑体" w:hAnsi="黑体" w:eastAsia="黑体"/>
                <w:vertAlign w:val="baseline"/>
                <w:lang w:val="en-US" w:eastAsia="zh-CN"/>
              </w:rPr>
              <w:t>项目名称</w:t>
            </w:r>
          </w:p>
        </w:tc>
        <w:tc>
          <w:tcPr>
            <w:tcW w:w="3461" w:type="dxa"/>
          </w:tcPr>
          <w:p>
            <w:pPr>
              <w:jc w:val="center"/>
              <w:rPr>
                <w:rFonts w:hint="default" w:ascii="黑体" w:hAnsi="黑体" w:eastAsia="黑体"/>
                <w:vertAlign w:val="baseline"/>
                <w:lang w:val="en-US" w:eastAsia="zh-CN"/>
              </w:rPr>
            </w:pPr>
            <w:r>
              <w:rPr>
                <w:rFonts w:hint="eastAsia" w:ascii="黑体" w:hAnsi="黑体" w:eastAsia="黑体"/>
                <w:vertAlign w:val="baseline"/>
                <w:lang w:val="en-US" w:eastAsia="zh-CN"/>
              </w:rPr>
              <w:t>内容</w:t>
            </w:r>
          </w:p>
        </w:tc>
        <w:tc>
          <w:tcPr>
            <w:tcW w:w="860" w:type="dxa"/>
          </w:tcPr>
          <w:p>
            <w:pPr>
              <w:jc w:val="center"/>
              <w:rPr>
                <w:rFonts w:hint="default" w:ascii="黑体" w:hAnsi="黑体" w:eastAsia="黑体"/>
                <w:vertAlign w:val="baseline"/>
                <w:lang w:val="en-US" w:eastAsia="zh-CN"/>
              </w:rPr>
            </w:pPr>
            <w:r>
              <w:rPr>
                <w:rFonts w:hint="eastAsia" w:ascii="黑体" w:hAnsi="黑体" w:eastAsia="黑体"/>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jc w:val="center"/>
              <w:rPr>
                <w:rFonts w:hint="default"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1</w:t>
            </w:r>
          </w:p>
        </w:tc>
        <w:tc>
          <w:tcPr>
            <w:tcW w:w="3889" w:type="dxa"/>
          </w:tcPr>
          <w:p>
            <w:pPr>
              <w:jc w:val="center"/>
              <w:rPr>
                <w:rFonts w:hint="default"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协保退休人员</w:t>
            </w:r>
            <w:r>
              <w:rPr>
                <w:rFonts w:hint="eastAsia" w:ascii="仿宋_GB2312" w:cs="仿宋_GB2312"/>
                <w:b w:val="0"/>
                <w:bCs/>
                <w:color w:val="000000"/>
                <w:sz w:val="32"/>
                <w:szCs w:val="32"/>
                <w:lang w:val="en-US" w:eastAsia="zh-CN"/>
              </w:rPr>
              <w:t>欠缴</w:t>
            </w:r>
            <w:r>
              <w:rPr>
                <w:rFonts w:hint="eastAsia" w:ascii="仿宋_GB2312" w:eastAsia="仿宋_GB2312" w:cs="仿宋_GB2312"/>
                <w:b w:val="0"/>
                <w:bCs/>
                <w:color w:val="000000"/>
                <w:sz w:val="32"/>
                <w:szCs w:val="32"/>
                <w:lang w:val="en-US" w:eastAsia="zh-CN"/>
              </w:rPr>
              <w:t>养老金</w:t>
            </w:r>
          </w:p>
        </w:tc>
        <w:tc>
          <w:tcPr>
            <w:tcW w:w="3461" w:type="dxa"/>
          </w:tcPr>
          <w:p>
            <w:pPr>
              <w:jc w:val="center"/>
              <w:rPr>
                <w:rFonts w:hint="eastAsia" w:ascii="黑体" w:hAnsi="黑体" w:eastAsia="黑体"/>
                <w:vertAlign w:val="baseline"/>
                <w:lang w:val="en-US" w:eastAsia="zh-CN"/>
              </w:rPr>
            </w:pPr>
            <w:r>
              <w:rPr>
                <w:rFonts w:hint="eastAsia" w:ascii="仿宋_GB2312" w:cs="仿宋_GB2312"/>
                <w:b w:val="0"/>
                <w:bCs/>
                <w:color w:val="000000"/>
                <w:sz w:val="32"/>
                <w:szCs w:val="32"/>
                <w:lang w:val="en-US" w:eastAsia="zh-CN"/>
              </w:rPr>
              <w:t>绩效</w:t>
            </w:r>
            <w:r>
              <w:rPr>
                <w:rFonts w:hint="eastAsia" w:ascii="仿宋_GB2312" w:eastAsia="仿宋_GB2312" w:cs="仿宋_GB2312"/>
                <w:b w:val="0"/>
                <w:bCs/>
                <w:color w:val="000000"/>
                <w:sz w:val="32"/>
                <w:szCs w:val="32"/>
                <w:lang w:eastAsia="zh-CN"/>
              </w:rPr>
              <w:t>自评表及</w:t>
            </w:r>
            <w:r>
              <w:rPr>
                <w:rFonts w:hint="eastAsia" w:ascii="仿宋_GB2312" w:eastAsia="仿宋_GB2312" w:cs="仿宋_GB2312"/>
                <w:b w:val="0"/>
                <w:bCs/>
                <w:color w:val="000000"/>
                <w:sz w:val="32"/>
                <w:szCs w:val="32"/>
                <w:lang w:val="en-US" w:eastAsia="zh-CN"/>
              </w:rPr>
              <w:t>评价报告</w:t>
            </w:r>
          </w:p>
        </w:tc>
        <w:tc>
          <w:tcPr>
            <w:tcW w:w="860" w:type="dxa"/>
          </w:tcPr>
          <w:p>
            <w:pPr>
              <w:jc w:val="center"/>
              <w:rPr>
                <w:rFonts w:hint="eastAsia" w:ascii="黑体" w:hAnsi="黑体" w:eastAsia="黑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jc w:val="center"/>
              <w:rPr>
                <w:rFonts w:hint="default"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2</w:t>
            </w:r>
          </w:p>
        </w:tc>
        <w:tc>
          <w:tcPr>
            <w:tcW w:w="3889" w:type="dxa"/>
          </w:tcPr>
          <w:p>
            <w:pPr>
              <w:jc w:val="center"/>
              <w:rPr>
                <w:rFonts w:hint="default"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协保退休人员医疗金</w:t>
            </w:r>
          </w:p>
        </w:tc>
        <w:tc>
          <w:tcPr>
            <w:tcW w:w="3461" w:type="dxa"/>
          </w:tcPr>
          <w:p>
            <w:pPr>
              <w:jc w:val="center"/>
              <w:rPr>
                <w:rFonts w:hint="eastAsia" w:ascii="黑体" w:hAnsi="黑体" w:eastAsia="黑体"/>
                <w:vertAlign w:val="baseline"/>
                <w:lang w:val="en-US" w:eastAsia="zh-CN"/>
              </w:rPr>
            </w:pPr>
            <w:r>
              <w:rPr>
                <w:rFonts w:hint="eastAsia" w:ascii="仿宋_GB2312" w:cs="仿宋_GB2312"/>
                <w:b w:val="0"/>
                <w:bCs/>
                <w:color w:val="000000"/>
                <w:sz w:val="32"/>
                <w:szCs w:val="32"/>
                <w:lang w:val="en-US" w:eastAsia="zh-CN"/>
              </w:rPr>
              <w:t>绩效</w:t>
            </w:r>
            <w:r>
              <w:rPr>
                <w:rFonts w:hint="eastAsia" w:ascii="仿宋_GB2312" w:eastAsia="仿宋_GB2312" w:cs="仿宋_GB2312"/>
                <w:b w:val="0"/>
                <w:bCs/>
                <w:color w:val="000000"/>
                <w:sz w:val="32"/>
                <w:szCs w:val="32"/>
                <w:lang w:eastAsia="zh-CN"/>
              </w:rPr>
              <w:t>自评表及</w:t>
            </w:r>
            <w:r>
              <w:rPr>
                <w:rFonts w:hint="eastAsia" w:ascii="仿宋_GB2312" w:eastAsia="仿宋_GB2312" w:cs="仿宋_GB2312"/>
                <w:b w:val="0"/>
                <w:bCs/>
                <w:color w:val="000000"/>
                <w:sz w:val="32"/>
                <w:szCs w:val="32"/>
                <w:lang w:val="en-US" w:eastAsia="zh-CN"/>
              </w:rPr>
              <w:t>评价报告</w:t>
            </w:r>
          </w:p>
        </w:tc>
        <w:tc>
          <w:tcPr>
            <w:tcW w:w="860" w:type="dxa"/>
          </w:tcPr>
          <w:p>
            <w:pPr>
              <w:jc w:val="center"/>
              <w:rPr>
                <w:rFonts w:hint="eastAsia" w:ascii="黑体" w:hAnsi="黑体" w:eastAsia="黑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jc w:val="center"/>
              <w:rPr>
                <w:rFonts w:hint="default"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3</w:t>
            </w:r>
          </w:p>
        </w:tc>
        <w:tc>
          <w:tcPr>
            <w:tcW w:w="3889" w:type="dxa"/>
          </w:tcPr>
          <w:p>
            <w:pPr>
              <w:jc w:val="center"/>
              <w:rPr>
                <w:rFonts w:hint="default" w:ascii="仿宋_GB2312" w:eastAsia="仿宋_GB2312" w:cs="仿宋_GB2312"/>
                <w:b w:val="0"/>
                <w:bCs/>
                <w:color w:val="000000"/>
                <w:sz w:val="32"/>
                <w:szCs w:val="32"/>
                <w:lang w:val="en-US" w:eastAsia="zh-CN"/>
              </w:rPr>
            </w:pPr>
            <w:r>
              <w:rPr>
                <w:rFonts w:hint="eastAsia" w:ascii="仿宋_GB2312" w:eastAsia="仿宋_GB2312" w:cs="仿宋_GB2312"/>
                <w:b w:val="0"/>
                <w:bCs/>
                <w:color w:val="000000"/>
                <w:sz w:val="32"/>
                <w:szCs w:val="32"/>
                <w:lang w:val="en-US" w:eastAsia="zh-CN"/>
              </w:rPr>
              <w:t>国资收益返还</w:t>
            </w:r>
          </w:p>
        </w:tc>
        <w:tc>
          <w:tcPr>
            <w:tcW w:w="3461" w:type="dxa"/>
          </w:tcPr>
          <w:p>
            <w:pPr>
              <w:jc w:val="center"/>
              <w:rPr>
                <w:rFonts w:hint="eastAsia" w:ascii="黑体" w:hAnsi="黑体" w:eastAsia="黑体"/>
                <w:vertAlign w:val="baseline"/>
                <w:lang w:val="en-US" w:eastAsia="zh-CN"/>
              </w:rPr>
            </w:pPr>
            <w:r>
              <w:rPr>
                <w:rFonts w:hint="eastAsia" w:ascii="仿宋_GB2312" w:cs="仿宋_GB2312"/>
                <w:b w:val="0"/>
                <w:bCs/>
                <w:color w:val="000000"/>
                <w:sz w:val="32"/>
                <w:szCs w:val="32"/>
                <w:lang w:val="en-US" w:eastAsia="zh-CN"/>
              </w:rPr>
              <w:t>绩效</w:t>
            </w:r>
            <w:r>
              <w:rPr>
                <w:rFonts w:hint="eastAsia" w:ascii="仿宋_GB2312" w:eastAsia="仿宋_GB2312" w:cs="仿宋_GB2312"/>
                <w:b w:val="0"/>
                <w:bCs/>
                <w:color w:val="000000"/>
                <w:sz w:val="32"/>
                <w:szCs w:val="32"/>
                <w:lang w:eastAsia="zh-CN"/>
              </w:rPr>
              <w:t>自评表及</w:t>
            </w:r>
            <w:r>
              <w:rPr>
                <w:rFonts w:hint="eastAsia" w:ascii="仿宋_GB2312" w:eastAsia="仿宋_GB2312" w:cs="仿宋_GB2312"/>
                <w:b w:val="0"/>
                <w:bCs/>
                <w:color w:val="000000"/>
                <w:sz w:val="32"/>
                <w:szCs w:val="32"/>
                <w:lang w:val="en-US" w:eastAsia="zh-CN"/>
              </w:rPr>
              <w:t>评价报告</w:t>
            </w:r>
          </w:p>
        </w:tc>
        <w:tc>
          <w:tcPr>
            <w:tcW w:w="860" w:type="dxa"/>
          </w:tcPr>
          <w:p>
            <w:pPr>
              <w:jc w:val="center"/>
              <w:rPr>
                <w:rFonts w:hint="eastAsia" w:ascii="黑体" w:hAnsi="黑体" w:eastAsia="黑体"/>
                <w:vertAlign w:val="baseline"/>
                <w:lang w:val="en-US" w:eastAsia="zh-CN"/>
              </w:rPr>
            </w:pPr>
          </w:p>
        </w:tc>
      </w:tr>
    </w:tbl>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jc w:val="center"/>
        <w:rPr>
          <w:rFonts w:hint="eastAsia" w:ascii="黑体" w:hAnsi="黑体" w:eastAsia="黑体"/>
          <w:lang w:val="en-US" w:eastAsia="zh-CN"/>
        </w:rPr>
      </w:pPr>
    </w:p>
    <w:p>
      <w:pPr>
        <w:spacing w:line="600" w:lineRule="exact"/>
        <w:jc w:val="both"/>
        <w:outlineLvl w:val="0"/>
        <w:rPr>
          <w:rFonts w:hint="eastAsia" w:ascii="仿宋_GB2312"/>
          <w:lang w:val="en-US" w:eastAsia="zh-CN"/>
        </w:rPr>
      </w:pPr>
      <w:r>
        <w:rPr>
          <w:rFonts w:hint="eastAsia" w:ascii="仿宋_GB2312"/>
          <w:lang w:val="en-US" w:eastAsia="zh-CN"/>
        </w:rPr>
        <w:t xml:space="preserve">                                </w:t>
      </w:r>
    </w:p>
    <w:tbl>
      <w:tblPr>
        <w:tblStyle w:val="4"/>
        <w:tblW w:w="8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0"/>
        <w:gridCol w:w="538"/>
        <w:gridCol w:w="242"/>
        <w:gridCol w:w="351"/>
        <w:gridCol w:w="1018"/>
        <w:gridCol w:w="774"/>
        <w:gridCol w:w="1215"/>
        <w:gridCol w:w="919"/>
        <w:gridCol w:w="824"/>
        <w:gridCol w:w="63"/>
        <w:gridCol w:w="700"/>
        <w:gridCol w:w="474"/>
        <w:gridCol w:w="639"/>
        <w:gridCol w:w="404"/>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trPr>
        <w:tc>
          <w:tcPr>
            <w:tcW w:w="8942" w:type="dxa"/>
            <w:gridSpan w:val="15"/>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6"/>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942" w:type="dxa"/>
            <w:gridSpan w:val="15"/>
            <w:tcBorders>
              <w:bottom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15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39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协保退休人员欠缴养老金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155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27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凤台县财政局</w:t>
            </w:r>
          </w:p>
        </w:tc>
        <w:tc>
          <w:tcPr>
            <w:tcW w:w="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29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trPr>
        <w:tc>
          <w:tcPr>
            <w:tcW w:w="1550"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2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155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3764.63</w:t>
            </w:r>
          </w:p>
        </w:tc>
        <w:tc>
          <w:tcPr>
            <w:tcW w:w="2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3764.63</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3764.63</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trPr>
        <w:tc>
          <w:tcPr>
            <w:tcW w:w="155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7"/>
                <w:lang w:val="en-US" w:eastAsia="zh-CN" w:bidi="ar"/>
              </w:rPr>
              <w:t xml:space="preserve"> </w:t>
            </w:r>
            <w:r>
              <w:rPr>
                <w:rStyle w:val="8"/>
                <w:lang w:val="en-US" w:eastAsia="zh-CN" w:bidi="ar"/>
              </w:rPr>
              <w:t>其中：本年财政拨款</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3764.63</w:t>
            </w:r>
          </w:p>
        </w:tc>
        <w:tc>
          <w:tcPr>
            <w:tcW w:w="2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3764.63</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3764.63</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trPr>
        <w:tc>
          <w:tcPr>
            <w:tcW w:w="155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上年结转资金</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419" w:hRule="atLeast"/>
        </w:trPr>
        <w:tc>
          <w:tcPr>
            <w:tcW w:w="155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7"/>
                <w:lang w:val="en-US" w:eastAsia="zh-CN" w:bidi="ar"/>
              </w:rPr>
              <w:t xml:space="preserve"> </w:t>
            </w:r>
            <w:r>
              <w:rPr>
                <w:rStyle w:val="8"/>
                <w:lang w:val="en-US" w:eastAsia="zh-CN" w:bidi="ar"/>
              </w:rPr>
              <w:t xml:space="preserve">      其他资金</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1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462" w:hRule="atLeast"/>
        </w:trPr>
        <w:tc>
          <w:tcPr>
            <w:tcW w:w="77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w:t>
            </w:r>
          </w:p>
        </w:tc>
        <w:tc>
          <w:tcPr>
            <w:tcW w:w="50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10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1094" w:hRule="atLeast"/>
        </w:trPr>
        <w:tc>
          <w:tcPr>
            <w:tcW w:w="770"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057"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用于支付破产或改制企业职工安置费等事务方面支出，保障协保职工顺利退休，体现党和政府对职工的关心爱护维护广大职工利益，妥善安置职工。</w:t>
            </w:r>
          </w:p>
        </w:tc>
        <w:tc>
          <w:tcPr>
            <w:tcW w:w="3104"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完成当年协保退休、死亡人员养老金拨付，保障协保人员顺利退休。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646" w:hRule="atLeast"/>
        </w:trPr>
        <w:tc>
          <w:tcPr>
            <w:tcW w:w="7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646"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指标1：全年运行12个月，每月按照养老中心提供数据进行补缴</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646"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指标1：严格执行相关法规、制度</w:t>
            </w:r>
          </w:p>
        </w:tc>
        <w:tc>
          <w:tcPr>
            <w:tcW w:w="919"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95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指标1：按照年度完成计划指标拨付</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年12月31日前完成</w:t>
            </w:r>
          </w:p>
        </w:tc>
        <w:tc>
          <w:tcPr>
            <w:tcW w:w="887"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年12月31日前完成</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95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指标1：全年预计拨付</w:t>
            </w:r>
            <w:r>
              <w:rPr>
                <w:rFonts w:hint="eastAsia" w:ascii="宋体" w:hAnsi="宋体" w:cs="宋体"/>
                <w:i w:val="0"/>
                <w:color w:val="000000"/>
                <w:kern w:val="0"/>
                <w:sz w:val="20"/>
                <w:szCs w:val="20"/>
                <w:u w:val="none"/>
                <w:lang w:val="en-US" w:eastAsia="zh-CN" w:bidi="ar"/>
              </w:rPr>
              <w:t>3764.63</w:t>
            </w:r>
            <w:r>
              <w:rPr>
                <w:rFonts w:hint="eastAsia" w:ascii="宋体" w:hAnsi="宋体" w:eastAsia="宋体" w:cs="宋体"/>
                <w:i w:val="0"/>
                <w:color w:val="000000"/>
                <w:kern w:val="0"/>
                <w:sz w:val="20"/>
                <w:szCs w:val="20"/>
                <w:u w:val="none"/>
                <w:lang w:val="en-US" w:eastAsia="zh-CN" w:bidi="ar"/>
              </w:rPr>
              <w:t>万元</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3764.63</w:t>
            </w:r>
            <w:r>
              <w:rPr>
                <w:rFonts w:hint="eastAsia" w:ascii="宋体" w:hAnsi="宋体" w:eastAsia="宋体" w:cs="宋体"/>
                <w:i w:val="0"/>
                <w:color w:val="000000"/>
                <w:kern w:val="0"/>
                <w:sz w:val="20"/>
                <w:szCs w:val="20"/>
                <w:u w:val="none"/>
                <w:lang w:val="en-US" w:eastAsia="zh-CN" w:bidi="ar"/>
              </w:rPr>
              <w:t>万元</w:t>
            </w:r>
          </w:p>
        </w:tc>
        <w:tc>
          <w:tcPr>
            <w:tcW w:w="887"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3764.63</w:t>
            </w:r>
            <w:r>
              <w:rPr>
                <w:rFonts w:hint="eastAsia" w:ascii="宋体" w:hAnsi="宋体" w:eastAsia="宋体" w:cs="宋体"/>
                <w:i w:val="0"/>
                <w:color w:val="000000"/>
                <w:kern w:val="0"/>
                <w:sz w:val="20"/>
                <w:szCs w:val="20"/>
                <w:u w:val="none"/>
                <w:lang w:val="en-US" w:eastAsia="zh-CN" w:bidi="ar"/>
              </w:rPr>
              <w:t>万元</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95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指标1：保障协保改制人员顺利退休</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887"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95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指标1：提高协保退休人员生活水平，促进和谐社会发展</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887"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95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指标1：妥善安置职工，维护社会和谐稳定                                                                                                                                                                                                                                                                                                                                                                                                                                                                                                                                        </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887"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950"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响指标</w:t>
            </w:r>
          </w:p>
        </w:tc>
        <w:tc>
          <w:tcPr>
            <w:tcW w:w="3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指标1：为协保职工利益提供长期保障</w:t>
            </w:r>
          </w:p>
        </w:tc>
        <w:tc>
          <w:tcPr>
            <w:tcW w:w="9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887"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1253" w:hRule="atLeast"/>
        </w:trPr>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3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593"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007" w:type="dxa"/>
            <w:gridSpan w:val="3"/>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指标1：协保退休人员满意度</w:t>
            </w:r>
          </w:p>
        </w:tc>
        <w:tc>
          <w:tcPr>
            <w:tcW w:w="919"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87"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419" w:hRule="atLeast"/>
        </w:trPr>
        <w:tc>
          <w:tcPr>
            <w:tcW w:w="4908"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88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0"/>
                <w:szCs w:val="20"/>
                <w:u w:val="none"/>
              </w:rPr>
            </w:pPr>
          </w:p>
        </w:tc>
        <w:tc>
          <w:tcPr>
            <w:tcW w:w="70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100</w:t>
            </w:r>
          </w:p>
        </w:tc>
        <w:tc>
          <w:tcPr>
            <w:tcW w:w="10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754" w:hRule="atLeast"/>
        </w:trPr>
        <w:tc>
          <w:tcPr>
            <w:tcW w:w="8931" w:type="dxa"/>
            <w:gridSpan w:val="14"/>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注：1</w:t>
            </w:r>
            <w:r>
              <w:rPr>
                <w:rStyle w:val="10"/>
                <w:lang w:val="en-US" w:eastAsia="zh-CN" w:bidi="ar"/>
              </w:rPr>
              <w:t>.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636" w:hRule="atLeast"/>
        </w:trPr>
        <w:tc>
          <w:tcPr>
            <w:tcW w:w="8931" w:type="dxa"/>
            <w:gridSpan w:val="14"/>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1" w:type="dxa"/>
          <w:trHeight w:val="1138" w:hRule="atLeast"/>
        </w:trPr>
        <w:tc>
          <w:tcPr>
            <w:tcW w:w="8931" w:type="dxa"/>
            <w:gridSpan w:val="14"/>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Style w:val="9"/>
                <w:lang w:val="en-US" w:eastAsia="zh-CN" w:bidi="ar"/>
              </w:rPr>
              <w:t xml:space="preserve">    3.定量指标若为正向指标（即指标值为</w:t>
            </w:r>
            <w:r>
              <w:rPr>
                <w:rStyle w:val="11"/>
                <w:lang w:val="en-US" w:eastAsia="zh-CN" w:bidi="ar"/>
              </w:rPr>
              <w:t>≥*），则得分计算方法应用全年实际值/年度指标值</w:t>
            </w:r>
            <w:r>
              <w:rPr>
                <w:rStyle w:val="12"/>
                <w:lang w:val="en-US" w:eastAsia="zh-CN" w:bidi="ar"/>
              </w:rPr>
              <w:t>╳</w:t>
            </w:r>
            <w:r>
              <w:rPr>
                <w:rStyle w:val="11"/>
                <w:lang w:val="en-US" w:eastAsia="zh-CN" w:bidi="ar"/>
              </w:rPr>
              <w:t>该指标分值；若定量指标为反向指标（即指标值为≤*），则得分计算方法应用年度指标值/全年实际值</w:t>
            </w:r>
            <w:r>
              <w:rPr>
                <w:rStyle w:val="12"/>
                <w:lang w:val="en-US" w:eastAsia="zh-CN" w:bidi="ar"/>
              </w:rPr>
              <w:t>╳</w:t>
            </w:r>
            <w:r>
              <w:rPr>
                <w:rStyle w:val="11"/>
                <w:lang w:val="en-US" w:eastAsia="zh-CN" w:bidi="ar"/>
              </w:rPr>
              <w:t>该指标分值；定量指标得分最高不得超过该指标分值上限。</w:t>
            </w:r>
            <w:r>
              <w:rPr>
                <w:rStyle w:val="11"/>
                <w:lang w:val="en-US" w:eastAsia="zh-CN" w:bidi="ar"/>
              </w:rPr>
              <w:br w:type="textWrapping"/>
            </w:r>
            <w:r>
              <w:rPr>
                <w:rStyle w:val="11"/>
                <w:lang w:val="en-US" w:eastAsia="zh-CN" w:bidi="ar"/>
              </w:rPr>
              <w:t xml:space="preserve">    4.评价得分说明：说明全年实际值与年度指标值偏离情况（未达、持平、超额）。</w:t>
            </w:r>
          </w:p>
        </w:tc>
      </w:tr>
    </w:tbl>
    <w:p>
      <w:pPr>
        <w:ind w:firstLine="600" w:firstLineChars="200"/>
        <w:jc w:val="both"/>
        <w:rPr>
          <w:rFonts w:hint="eastAsia" w:ascii="宋体" w:hAnsi="宋体" w:eastAsia="宋体" w:cs="Arial"/>
          <w:b/>
          <w:bCs/>
          <w:sz w:val="36"/>
          <w:szCs w:val="36"/>
          <w:lang w:eastAsia="zh-CN"/>
        </w:rPr>
      </w:pPr>
      <w:r>
        <w:rPr>
          <w:rFonts w:hint="eastAsia" w:ascii="仿宋_GB2312"/>
          <w:lang w:val="en-US" w:eastAsia="zh-CN"/>
        </w:rPr>
        <w:t xml:space="preserve">     </w:t>
      </w:r>
      <w:r>
        <w:rPr>
          <w:rFonts w:hint="eastAsia" w:ascii="宋体" w:hAnsi="宋体" w:eastAsia="宋体" w:cs="Arial"/>
          <w:b/>
          <w:bCs/>
          <w:sz w:val="36"/>
          <w:szCs w:val="36"/>
        </w:rPr>
        <w:t>项目支出</w:t>
      </w:r>
      <w:r>
        <w:rPr>
          <w:rFonts w:hint="eastAsia" w:ascii="宋体" w:hAnsi="宋体" w:eastAsia="宋体" w:cs="Arial"/>
          <w:b/>
          <w:bCs/>
          <w:sz w:val="36"/>
          <w:szCs w:val="36"/>
          <w:lang w:eastAsia="zh-CN"/>
        </w:rPr>
        <w:t>（</w:t>
      </w:r>
      <w:r>
        <w:rPr>
          <w:rFonts w:hint="eastAsia" w:ascii="宋体" w:hAnsi="宋体" w:eastAsia="宋体" w:cs="Arial"/>
          <w:b/>
          <w:bCs/>
          <w:sz w:val="36"/>
          <w:szCs w:val="36"/>
        </w:rPr>
        <w:t>协保退休人员欠缴养老金</w:t>
      </w:r>
      <w:r>
        <w:rPr>
          <w:rFonts w:hint="eastAsia" w:ascii="宋体" w:hAnsi="宋体" w:eastAsia="宋体" w:cs="Arial"/>
          <w:b/>
          <w:bCs/>
          <w:sz w:val="36"/>
          <w:szCs w:val="36"/>
          <w:lang w:eastAsia="zh-CN"/>
        </w:rPr>
        <w:t>）</w:t>
      </w:r>
    </w:p>
    <w:p>
      <w:pPr>
        <w:jc w:val="center"/>
        <w:rPr>
          <w:rFonts w:hint="eastAsia" w:ascii="黑体" w:hAnsi="黑体" w:eastAsia="黑体"/>
        </w:rPr>
      </w:pPr>
      <w:r>
        <w:rPr>
          <w:rFonts w:ascii="宋体" w:hAnsi="宋体" w:eastAsia="宋体" w:cs="Arial"/>
          <w:b/>
          <w:bCs/>
          <w:sz w:val="36"/>
          <w:szCs w:val="36"/>
        </w:rPr>
        <w:t>绩效</w:t>
      </w:r>
      <w:r>
        <w:rPr>
          <w:rFonts w:hint="eastAsia" w:ascii="宋体" w:hAnsi="宋体" w:eastAsia="宋体" w:cs="Arial"/>
          <w:b/>
          <w:bCs/>
          <w:sz w:val="36"/>
          <w:szCs w:val="36"/>
        </w:rPr>
        <w:t>评价报告</w:t>
      </w:r>
    </w:p>
    <w:p>
      <w:pPr>
        <w:spacing w:line="600" w:lineRule="exact"/>
        <w:ind w:firstLine="900" w:firstLineChars="300"/>
        <w:rPr>
          <w:rFonts w:ascii="黑体" w:hAnsi="黑体" w:eastAsia="黑体"/>
        </w:rPr>
      </w:pPr>
      <w:r>
        <w:rPr>
          <w:rFonts w:hint="eastAsia" w:ascii="黑体" w:hAnsi="黑体" w:eastAsia="黑体"/>
        </w:rPr>
        <w:t>一、基本情况</w:t>
      </w:r>
    </w:p>
    <w:p>
      <w:pPr>
        <w:spacing w:line="600" w:lineRule="exact"/>
        <w:ind w:firstLine="600" w:firstLineChars="200"/>
        <w:outlineLvl w:val="0"/>
        <w:rPr>
          <w:rFonts w:hint="eastAsia" w:ascii="仿宋_GB2312"/>
        </w:rPr>
      </w:pPr>
      <w:r>
        <w:rPr>
          <w:rFonts w:hint="eastAsia" w:ascii="仿宋_GB2312"/>
        </w:rPr>
        <w:t>（一）项目概况。</w:t>
      </w:r>
    </w:p>
    <w:p>
      <w:pPr>
        <w:spacing w:line="600" w:lineRule="exact"/>
        <w:ind w:firstLine="600" w:firstLineChars="200"/>
        <w:outlineLvl w:val="0"/>
        <w:rPr>
          <w:rFonts w:hint="eastAsia" w:ascii="仿宋_GB2312"/>
          <w:lang w:val="en-US" w:eastAsia="zh-CN"/>
        </w:rPr>
      </w:pPr>
      <w:r>
        <w:rPr>
          <w:rFonts w:hint="eastAsia" w:ascii="仿宋_GB2312"/>
          <w:lang w:val="en-US" w:eastAsia="zh-CN"/>
        </w:rPr>
        <w:t>根据省委、省政府、市委、市政府有关文件精神，为积极推进我县国有企业产权制度改革，切实做好改制国有企业职工的安置工作，贯彻落实淮发</w:t>
      </w:r>
      <w:r>
        <w:rPr>
          <w:rFonts w:hint="eastAsia" w:ascii="微软雅黑" w:hAnsi="微软雅黑" w:eastAsia="微软雅黑" w:cs="微软雅黑"/>
          <w:lang w:val="en-US" w:eastAsia="zh-CN"/>
        </w:rPr>
        <w:t>[</w:t>
      </w:r>
      <w:r>
        <w:rPr>
          <w:rFonts w:hint="eastAsia" w:ascii="仿宋_GB2312"/>
          <w:lang w:val="en-US" w:eastAsia="zh-CN"/>
        </w:rPr>
        <w:t>2004</w:t>
      </w:r>
      <w:r>
        <w:rPr>
          <w:rFonts w:hint="eastAsia" w:ascii="微软雅黑" w:hAnsi="微软雅黑" w:eastAsia="微软雅黑" w:cs="微软雅黑"/>
          <w:lang w:val="en-US" w:eastAsia="zh-CN"/>
        </w:rPr>
        <w:t>]</w:t>
      </w:r>
      <w:r>
        <w:rPr>
          <w:rFonts w:hint="eastAsia" w:ascii="仿宋_GB2312"/>
          <w:lang w:val="en-US" w:eastAsia="zh-CN"/>
        </w:rPr>
        <w:t>26号文号精神，体现党和政府对职工的关心爱护，维护广大职工的利益，妥善安置职工。由政府统一为到龄退休协保人员补缴养老，保障协保人员顺利退休，维护社会和谐稳定。</w:t>
      </w:r>
    </w:p>
    <w:p>
      <w:pPr>
        <w:spacing w:line="600" w:lineRule="exact"/>
        <w:ind w:firstLine="600" w:firstLineChars="200"/>
        <w:outlineLvl w:val="0"/>
        <w:rPr>
          <w:rFonts w:hint="eastAsia" w:ascii="仿宋_GB2312"/>
          <w:lang w:val="en-US" w:eastAsia="zh-CN"/>
        </w:rPr>
      </w:pPr>
      <w:r>
        <w:rPr>
          <w:rFonts w:hint="eastAsia" w:ascii="仿宋_GB2312"/>
          <w:lang w:val="en-US" w:eastAsia="zh-CN"/>
        </w:rPr>
        <w:t>2022年度，凤台县国有资产监督管理委员会全年共计支付协保退休人员欠缴养老金3764.63万元，</w:t>
      </w:r>
      <w:r>
        <w:rPr>
          <w:rFonts w:hint="eastAsia" w:ascii="仿宋" w:hAnsi="仿宋" w:eastAsia="仿宋" w:cs="仿宋"/>
          <w:sz w:val="32"/>
          <w:szCs w:val="32"/>
          <w:lang w:val="en-US" w:eastAsia="zh-CN"/>
        </w:rPr>
        <w:t>充分发挥资金的使用效益，</w:t>
      </w:r>
      <w:r>
        <w:rPr>
          <w:rFonts w:hint="eastAsia" w:ascii="仿宋" w:hAnsi="仿宋" w:eastAsia="仿宋" w:cs="仿宋"/>
          <w:sz w:val="32"/>
          <w:szCs w:val="32"/>
        </w:rPr>
        <w:t>常态化机制成功实施。</w:t>
      </w:r>
      <w:r>
        <w:rPr>
          <w:rFonts w:hint="eastAsia" w:ascii="仿宋" w:hAnsi="仿宋" w:eastAsia="仿宋" w:cs="仿宋"/>
          <w:color w:val="000000"/>
          <w:sz w:val="32"/>
          <w:szCs w:val="32"/>
        </w:rPr>
        <w:t>该资金严格遵守</w:t>
      </w:r>
      <w:r>
        <w:rPr>
          <w:rFonts w:hint="eastAsia" w:ascii="仿宋" w:hAnsi="仿宋" w:eastAsia="仿宋" w:cs="仿宋"/>
          <w:color w:val="000000"/>
          <w:sz w:val="32"/>
          <w:szCs w:val="32"/>
          <w:lang w:eastAsia="zh-CN"/>
        </w:rPr>
        <w:t>项目资金管理规定，</w:t>
      </w:r>
      <w:r>
        <w:rPr>
          <w:rFonts w:hint="eastAsia" w:ascii="仿宋" w:hAnsi="仿宋" w:eastAsia="仿宋" w:cs="仿宋"/>
          <w:color w:val="000000"/>
          <w:sz w:val="32"/>
          <w:szCs w:val="32"/>
        </w:rPr>
        <w:t>坚持专款专用，将资金用于</w:t>
      </w:r>
      <w:r>
        <w:rPr>
          <w:rFonts w:hint="eastAsia" w:ascii="仿宋_GB2312"/>
          <w:lang w:val="en-US" w:eastAsia="zh-CN"/>
        </w:rPr>
        <w:t>协保退休人员欠缴养老金</w:t>
      </w:r>
      <w:r>
        <w:rPr>
          <w:rFonts w:hint="eastAsia" w:ascii="仿宋_GB2312"/>
          <w:lang w:eastAsia="zh-CN"/>
        </w:rPr>
        <w:t>工作</w:t>
      </w:r>
      <w:r>
        <w:rPr>
          <w:rFonts w:hint="eastAsia" w:ascii="仿宋" w:hAnsi="仿宋" w:eastAsia="仿宋" w:cs="仿宋"/>
          <w:color w:val="000000"/>
          <w:sz w:val="32"/>
          <w:szCs w:val="32"/>
        </w:rPr>
        <w:t>等方面</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w:t>
      </w:r>
    </w:p>
    <w:p>
      <w:pPr>
        <w:numPr>
          <w:ilvl w:val="0"/>
          <w:numId w:val="1"/>
        </w:numPr>
        <w:spacing w:line="600" w:lineRule="exact"/>
        <w:ind w:firstLine="600" w:firstLineChars="200"/>
        <w:rPr>
          <w:rFonts w:hint="eastAsia" w:ascii="仿宋_GB2312"/>
        </w:rPr>
      </w:pPr>
      <w:r>
        <w:rPr>
          <w:rFonts w:hint="eastAsia" w:ascii="仿宋_GB2312"/>
        </w:rPr>
        <w:t>项目绩效目标。</w:t>
      </w:r>
    </w:p>
    <w:p>
      <w:pPr>
        <w:numPr>
          <w:ilvl w:val="0"/>
          <w:numId w:val="0"/>
        </w:numPr>
        <w:spacing w:line="600" w:lineRule="exact"/>
        <w:rPr>
          <w:rFonts w:ascii="仿宋_GB2312"/>
        </w:rPr>
      </w:pPr>
      <w:r>
        <w:rPr>
          <w:rFonts w:hint="eastAsia" w:ascii="仿宋_GB2312"/>
          <w:lang w:val="en-US" w:eastAsia="zh-CN"/>
        </w:rPr>
        <w:t xml:space="preserve">     </w:t>
      </w:r>
      <w:r>
        <w:rPr>
          <w:rFonts w:hint="eastAsia" w:ascii="仿宋_GB2312"/>
        </w:rPr>
        <w:t>用于支付破产或改制企业职工</w:t>
      </w:r>
      <w:r>
        <w:rPr>
          <w:rFonts w:hint="eastAsia" w:ascii="仿宋_GB2312"/>
          <w:lang w:val="en-US" w:eastAsia="zh-CN"/>
        </w:rPr>
        <w:t>安置</w:t>
      </w:r>
      <w:r>
        <w:rPr>
          <w:rFonts w:hint="eastAsia" w:ascii="仿宋_GB2312"/>
        </w:rPr>
        <w:t>费等事务方面支出，保障协保职工顺利退休，体现党和政府对职工的关心爱护</w:t>
      </w:r>
      <w:r>
        <w:rPr>
          <w:rFonts w:hint="eastAsia" w:ascii="仿宋_GB2312"/>
          <w:lang w:eastAsia="zh-CN"/>
        </w:rPr>
        <w:t>，</w:t>
      </w:r>
      <w:r>
        <w:rPr>
          <w:rFonts w:hint="eastAsia" w:ascii="仿宋_GB2312"/>
        </w:rPr>
        <w:t>维护广大职工利益，妥善安置职工</w:t>
      </w:r>
      <w:r>
        <w:rPr>
          <w:rFonts w:hint="eastAsia" w:ascii="仿宋_GB2312"/>
          <w:lang w:eastAsia="zh-CN"/>
        </w:rPr>
        <w:t>，</w:t>
      </w:r>
      <w:r>
        <w:rPr>
          <w:rFonts w:hint="eastAsia" w:ascii="仿宋_GB2312"/>
          <w:lang w:val="en-US" w:eastAsia="zh-CN"/>
        </w:rPr>
        <w:t>保障协保人员顺利退休，维护社会和谐稳定。</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rPr>
          <w:rFonts w:hint="eastAsia" w:ascii="仿宋_GB2312"/>
        </w:rPr>
      </w:pPr>
      <w:r>
        <w:rPr>
          <w:rFonts w:hint="eastAsia" w:ascii="仿宋_GB2312"/>
        </w:rPr>
        <w:t>（一）绩效评价目的、对象和范围。</w:t>
      </w:r>
    </w:p>
    <w:p>
      <w:pPr>
        <w:spacing w:line="600" w:lineRule="exact"/>
        <w:ind w:firstLine="600" w:firstLineChars="200"/>
        <w:rPr>
          <w:rFonts w:hint="eastAsia" w:ascii="仿宋_GB2312"/>
          <w:lang w:val="en-US" w:eastAsia="zh-CN"/>
        </w:rPr>
      </w:pPr>
      <w:r>
        <w:rPr>
          <w:rFonts w:hint="eastAsia" w:ascii="仿宋_GB2312"/>
          <w:lang w:val="en-US" w:eastAsia="zh-CN"/>
        </w:rPr>
        <w:t>1、绩效评价目的：为了深入贯彻落实《中共中央国务院关于全面实施预算绩效管理的意见》和预算法及其实施条例的有关要求，</w:t>
      </w:r>
      <w:r>
        <w:rPr>
          <w:rFonts w:hint="eastAsia" w:ascii="仿宋_GB2312" w:hAnsi="仿宋_GB2312" w:eastAsia="仿宋_GB2312" w:cs="仿宋_GB2312"/>
          <w:sz w:val="32"/>
          <w:szCs w:val="32"/>
          <w:lang w:eastAsia="zh-CN"/>
        </w:rPr>
        <w:t>加强预算绩效管理，强化支出责任，建立科学、合理的财政支出绩效评价管理体系，提高财政资金使用效益</w:t>
      </w:r>
      <w:r>
        <w:rPr>
          <w:rFonts w:hint="eastAsia" w:ascii="仿宋_GB2312"/>
          <w:lang w:val="en-US" w:eastAsia="zh-CN"/>
        </w:rPr>
        <w:t>。</w:t>
      </w:r>
    </w:p>
    <w:p>
      <w:pPr>
        <w:spacing w:line="600" w:lineRule="exact"/>
        <w:ind w:firstLine="600" w:firstLineChars="200"/>
        <w:rPr>
          <w:rFonts w:hint="eastAsia" w:ascii="仿宋_GB2312"/>
          <w:lang w:val="en-US" w:eastAsia="zh-CN"/>
        </w:rPr>
      </w:pPr>
      <w:r>
        <w:rPr>
          <w:rFonts w:hint="eastAsia" w:ascii="仿宋_GB2312"/>
          <w:lang w:val="en-US" w:eastAsia="zh-CN"/>
        </w:rPr>
        <w:t>2、绩效评价对象：2022年度协保退休人员欠缴养老金。</w:t>
      </w:r>
    </w:p>
    <w:p>
      <w:pPr>
        <w:spacing w:line="600" w:lineRule="exact"/>
        <w:ind w:firstLine="600" w:firstLineChars="200"/>
        <w:rPr>
          <w:rFonts w:hint="eastAsia" w:ascii="仿宋_GB2312"/>
          <w:lang w:val="en-US" w:eastAsia="zh-CN"/>
        </w:rPr>
      </w:pPr>
      <w:r>
        <w:rPr>
          <w:rFonts w:hint="eastAsia" w:ascii="仿宋_GB2312"/>
          <w:lang w:val="en-US" w:eastAsia="zh-CN"/>
        </w:rPr>
        <w:t>3、绩效评价范围：2022年度通过县级政府性基金预算安排给各单位的项目资金。</w:t>
      </w:r>
    </w:p>
    <w:p>
      <w:pPr>
        <w:spacing w:line="600" w:lineRule="exact"/>
        <w:ind w:firstLine="600" w:firstLineChars="200"/>
        <w:rPr>
          <w:rFonts w:hint="eastAsia" w:ascii="仿宋_GB2312"/>
        </w:rPr>
      </w:pPr>
      <w:r>
        <w:rPr>
          <w:rFonts w:hint="eastAsia" w:ascii="仿宋_GB2312"/>
        </w:rPr>
        <w:t>（二）绩效评价原则、评价指标体系（附表说明）、评价方法、评价标准等。</w:t>
      </w:r>
    </w:p>
    <w:p>
      <w:pPr>
        <w:spacing w:line="600" w:lineRule="exact"/>
        <w:ind w:firstLine="600" w:firstLineChars="200"/>
        <w:rPr>
          <w:rFonts w:hint="eastAsia" w:ascii="仿宋_GB2312"/>
          <w:lang w:val="en-US" w:eastAsia="zh-CN"/>
        </w:rPr>
      </w:pPr>
      <w:r>
        <w:rPr>
          <w:rFonts w:hint="eastAsia" w:ascii="仿宋_GB2312"/>
          <w:lang w:val="en-US" w:eastAsia="zh-CN"/>
        </w:rPr>
        <w:t>1、</w:t>
      </w:r>
      <w:r>
        <w:rPr>
          <w:rFonts w:hint="eastAsia" w:ascii="仿宋_GB2312"/>
        </w:rPr>
        <w:t>绩效评价原则</w:t>
      </w:r>
      <w:r>
        <w:rPr>
          <w:rFonts w:hint="eastAsia" w:ascii="仿宋_GB2312"/>
          <w:lang w:eastAsia="zh-CN"/>
        </w:rPr>
        <w:t>：</w:t>
      </w:r>
      <w:r>
        <w:rPr>
          <w:rFonts w:hint="eastAsia" w:ascii="仿宋_GB2312"/>
          <w:lang w:val="en-US" w:eastAsia="zh-CN"/>
        </w:rPr>
        <w:t>根据不同类型的项目特点，实行分类评价，健全差异化绩效评价指标体系，绩效评价结果作为项目调整，后续支出的重要依据。在资源配置上体现绩效导向，切实提高项目经费的使用效益。</w:t>
      </w:r>
    </w:p>
    <w:p>
      <w:pPr>
        <w:spacing w:line="600" w:lineRule="exact"/>
        <w:ind w:firstLine="600" w:firstLineChars="200"/>
        <w:rPr>
          <w:rFonts w:hint="eastAsia" w:ascii="仿宋_GB2312"/>
          <w:lang w:val="en-US" w:eastAsia="zh-CN"/>
        </w:rPr>
      </w:pPr>
      <w:r>
        <w:rPr>
          <w:rFonts w:hint="eastAsia" w:ascii="仿宋_GB2312"/>
          <w:lang w:val="en-US" w:eastAsia="zh-CN"/>
        </w:rPr>
        <w:t>2、评价方法：通过自评方式。</w:t>
      </w:r>
    </w:p>
    <w:p>
      <w:pPr>
        <w:spacing w:line="600" w:lineRule="exact"/>
        <w:ind w:firstLine="600" w:firstLineChars="200"/>
        <w:rPr>
          <w:rFonts w:hint="eastAsia" w:ascii="仿宋_GB2312"/>
          <w:lang w:val="en-US" w:eastAsia="zh-CN"/>
        </w:rPr>
      </w:pPr>
      <w:r>
        <w:rPr>
          <w:rFonts w:hint="eastAsia" w:ascii="仿宋_GB2312"/>
          <w:lang w:val="en-US" w:eastAsia="zh-CN"/>
        </w:rPr>
        <w:t>3、评价标准：一级指标分值统一设置为：产出指标50分、效益指标30分、服务对象满意度指标10分、预算资金执行率10分；定性指标根据指标完成情况分为：达成预期指标、部分达成预期指标并具有一定效果、未达成预期指标且效果较差三档，分别按照该指标对应分值区间100-80%(含80%)、80-60%(含60%)、60-0%合理确定分值；定量指标若为正向指标（即指标值为≥*），则得分计算方法应用全年实际值/年度指标值╳该指标分值；若定量指标为反向指标（即指标值为≤*），则得分计算方法应用年度指标值/全年实际值╳该指标分值；定量指标得分最高不得超过该指标分值上限。</w:t>
      </w:r>
    </w:p>
    <w:p>
      <w:pPr>
        <w:numPr>
          <w:ilvl w:val="0"/>
          <w:numId w:val="1"/>
        </w:numPr>
        <w:spacing w:line="600" w:lineRule="exact"/>
        <w:ind w:firstLine="600" w:firstLineChars="200"/>
        <w:rPr>
          <w:rFonts w:hint="eastAsia" w:ascii="仿宋_GB2312"/>
        </w:rPr>
      </w:pPr>
      <w:r>
        <w:rPr>
          <w:rFonts w:hint="eastAsia" w:ascii="仿宋_GB2312"/>
        </w:rPr>
        <w:t>绩效评价工作过程。</w:t>
      </w:r>
    </w:p>
    <w:p>
      <w:pPr>
        <w:spacing w:line="600" w:lineRule="exact"/>
        <w:ind w:firstLine="600" w:firstLineChars="200"/>
        <w:rPr>
          <w:rFonts w:hint="eastAsia" w:ascii="仿宋_GB2312"/>
          <w:lang w:val="en-US" w:eastAsia="zh-CN"/>
        </w:rPr>
      </w:pPr>
      <w:r>
        <w:rPr>
          <w:rFonts w:hint="eastAsia" w:ascii="仿宋_GB2312"/>
          <w:lang w:val="en-US" w:eastAsia="zh-CN"/>
        </w:rPr>
        <w:t xml:space="preserve">1、制定绩效计划。 </w:t>
      </w:r>
    </w:p>
    <w:p>
      <w:pPr>
        <w:spacing w:line="600" w:lineRule="exact"/>
        <w:ind w:firstLine="600" w:firstLineChars="200"/>
        <w:rPr>
          <w:rFonts w:hint="eastAsia" w:ascii="仿宋_GB2312"/>
          <w:lang w:val="en-US" w:eastAsia="zh-CN"/>
        </w:rPr>
      </w:pPr>
      <w:r>
        <w:rPr>
          <w:rFonts w:hint="eastAsia" w:ascii="仿宋_GB2312"/>
          <w:lang w:val="en-US" w:eastAsia="zh-CN"/>
        </w:rPr>
        <w:t>2、持续沟通。</w:t>
      </w:r>
    </w:p>
    <w:p>
      <w:pPr>
        <w:numPr>
          <w:ilvl w:val="0"/>
          <w:numId w:val="0"/>
        </w:numPr>
        <w:spacing w:line="600" w:lineRule="exact"/>
        <w:rPr>
          <w:rFonts w:hint="eastAsia" w:ascii="仿宋_GB2312" w:eastAsia="仿宋_GB2312"/>
          <w:lang w:val="en-US" w:eastAsia="zh-CN"/>
        </w:rPr>
      </w:pPr>
      <w:r>
        <w:rPr>
          <w:rFonts w:hint="eastAsia" w:ascii="仿宋_GB2312"/>
          <w:lang w:val="en-US" w:eastAsia="zh-CN"/>
        </w:rPr>
        <w:t xml:space="preserve">    3、实施绩效评价。</w:t>
      </w:r>
    </w:p>
    <w:p>
      <w:pPr>
        <w:numPr>
          <w:ilvl w:val="0"/>
          <w:numId w:val="0"/>
        </w:numPr>
        <w:spacing w:line="600" w:lineRule="exact"/>
        <w:ind w:firstLine="600" w:firstLineChars="200"/>
        <w:rPr>
          <w:rFonts w:hint="eastAsia" w:ascii="仿宋_GB2312"/>
        </w:rPr>
      </w:pPr>
      <w:r>
        <w:rPr>
          <w:rFonts w:hint="eastAsia" w:ascii="黑体" w:hAnsi="黑体" w:eastAsia="黑体"/>
          <w:lang w:val="en-US" w:eastAsia="zh-CN"/>
        </w:rPr>
        <w:t>三、</w:t>
      </w:r>
      <w:r>
        <w:rPr>
          <w:rFonts w:hint="eastAsia" w:ascii="黑体" w:hAnsi="黑体" w:eastAsia="黑体"/>
        </w:rPr>
        <w:t>综合评价情况及评价结论</w:t>
      </w:r>
      <w:r>
        <w:rPr>
          <w:rFonts w:hint="eastAsia" w:ascii="仿宋_GB2312"/>
        </w:rPr>
        <w:t>（附相关评分表）</w:t>
      </w:r>
    </w:p>
    <w:p>
      <w:pPr>
        <w:spacing w:line="600" w:lineRule="exact"/>
        <w:ind w:firstLine="600" w:firstLineChars="200"/>
        <w:outlineLvl w:val="0"/>
        <w:rPr>
          <w:rFonts w:hint="eastAsia" w:ascii="仿宋_GB2312"/>
        </w:rPr>
      </w:pPr>
      <w:r>
        <w:rPr>
          <w:rFonts w:hint="eastAsia" w:ascii="仿宋_GB2312"/>
          <w:lang w:val="en-US" w:eastAsia="zh-CN"/>
        </w:rPr>
        <w:t>根据专项绩效评定指标对各项目量化评价，协保退休人员欠缴养老金项目绩效评指标得分100分。</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outlineLvl w:val="0"/>
        <w:rPr>
          <w:rFonts w:hint="eastAsia" w:ascii="仿宋_GB2312"/>
        </w:rPr>
      </w:pPr>
      <w:r>
        <w:rPr>
          <w:rFonts w:hint="eastAsia" w:ascii="仿宋_GB2312"/>
        </w:rPr>
        <w:t>（一）项目决策情况。</w:t>
      </w:r>
    </w:p>
    <w:p>
      <w:pPr>
        <w:spacing w:line="600" w:lineRule="exact"/>
        <w:ind w:firstLine="600" w:firstLineChars="200"/>
        <w:outlineLvl w:val="0"/>
        <w:rPr>
          <w:rFonts w:ascii="仿宋_GB2312"/>
        </w:rPr>
      </w:pPr>
      <w:r>
        <w:rPr>
          <w:rFonts w:hint="eastAsia" w:ascii="仿宋_GB2312"/>
          <w:lang w:val="en-US" w:eastAsia="zh-CN"/>
        </w:rPr>
        <w:t>凤台县国有资产监督管理委员会</w:t>
      </w:r>
      <w:r>
        <w:rPr>
          <w:rFonts w:hint="eastAsia" w:ascii="仿宋_GB2312" w:hAnsi="仿宋_GB2312" w:eastAsia="仿宋_GB2312" w:cs="仿宋_GB2312"/>
          <w:i w:val="0"/>
          <w:iCs w:val="0"/>
          <w:caps w:val="0"/>
          <w:color w:val="333333"/>
          <w:spacing w:val="0"/>
          <w:sz w:val="32"/>
          <w:szCs w:val="32"/>
          <w:shd w:val="clear" w:fill="FFFFFF"/>
          <w:lang w:eastAsia="zh-CN"/>
        </w:rPr>
        <w:t>项目决策在</w:t>
      </w:r>
      <w:r>
        <w:rPr>
          <w:rFonts w:hint="eastAsia" w:ascii="仿宋_GB2312" w:hAnsi="仿宋_GB2312" w:eastAsia="仿宋_GB2312" w:cs="仿宋_GB2312"/>
          <w:i w:val="0"/>
          <w:iCs w:val="0"/>
          <w:caps w:val="0"/>
          <w:color w:val="333333"/>
          <w:spacing w:val="0"/>
          <w:sz w:val="32"/>
          <w:szCs w:val="32"/>
          <w:shd w:val="clear" w:fill="FFFFFF"/>
        </w:rPr>
        <w:t>科学的理论和方法指导下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进行细致深入调查和论证，作出科学决策</w:t>
      </w:r>
      <w:r>
        <w:rPr>
          <w:rFonts w:hint="eastAsia" w:ascii="仿宋_GB2312" w:hAnsi="仿宋_GB2312" w:eastAsia="仿宋_GB2312" w:cs="仿宋_GB2312"/>
          <w:i w:val="0"/>
          <w:iCs w:val="0"/>
          <w:caps w:val="0"/>
          <w:color w:val="333333"/>
          <w:spacing w:val="0"/>
          <w:sz w:val="32"/>
          <w:szCs w:val="32"/>
          <w:shd w:val="clear" w:fill="FFFFFF"/>
          <w:lang w:eastAsia="zh-CN"/>
        </w:rPr>
        <w:t>。</w:t>
      </w:r>
    </w:p>
    <w:p>
      <w:pPr>
        <w:numPr>
          <w:ilvl w:val="0"/>
          <w:numId w:val="2"/>
        </w:numPr>
        <w:spacing w:line="600" w:lineRule="exact"/>
        <w:ind w:firstLine="600" w:firstLineChars="200"/>
        <w:outlineLvl w:val="0"/>
        <w:rPr>
          <w:rFonts w:hint="eastAsia" w:ascii="仿宋_GB2312"/>
        </w:rPr>
      </w:pPr>
      <w:r>
        <w:rPr>
          <w:rFonts w:hint="eastAsia" w:ascii="仿宋_GB2312"/>
        </w:rPr>
        <w:t>项目过程情况。</w:t>
      </w:r>
    </w:p>
    <w:p>
      <w:pPr>
        <w:spacing w:line="600" w:lineRule="exact"/>
        <w:ind w:firstLine="600" w:firstLineChars="200"/>
        <w:outlineLvl w:val="0"/>
        <w:rPr>
          <w:rFonts w:hint="eastAsia" w:ascii="仿宋_GB2312"/>
        </w:rPr>
      </w:pPr>
      <w:r>
        <w:rPr>
          <w:rFonts w:hint="eastAsia" w:ascii="仿宋_GB2312"/>
          <w:lang w:eastAsia="zh-CN"/>
        </w:rPr>
        <w:t>按照实际发生情况拨付协保退休人员欠缴养老金经费，督促资金使用单位</w:t>
      </w:r>
      <w:r>
        <w:rPr>
          <w:rFonts w:hint="eastAsia" w:ascii="仿宋_GB2312"/>
          <w:lang w:val="en-US" w:eastAsia="zh-CN"/>
        </w:rPr>
        <w:t>合理、规范、精准，充分发挥资金的使用效益，</w:t>
      </w:r>
      <w:r>
        <w:rPr>
          <w:rFonts w:hint="eastAsia" w:ascii="仿宋_GB2312"/>
        </w:rPr>
        <w:t>常态化机制成功实施。该资金严格遵守</w:t>
      </w:r>
      <w:r>
        <w:rPr>
          <w:rFonts w:hint="eastAsia" w:ascii="仿宋_GB2312"/>
          <w:lang w:eastAsia="zh-CN"/>
        </w:rPr>
        <w:t>项目资金管理规定，</w:t>
      </w:r>
      <w:r>
        <w:rPr>
          <w:rFonts w:hint="eastAsia" w:ascii="仿宋_GB2312"/>
        </w:rPr>
        <w:t>坚持专款专用，将资金用于</w:t>
      </w:r>
      <w:r>
        <w:rPr>
          <w:rFonts w:hint="eastAsia" w:ascii="仿宋_GB2312"/>
          <w:lang w:eastAsia="zh-CN"/>
        </w:rPr>
        <w:t>协保退休人员欠缴养老金</w:t>
      </w:r>
      <w:r>
        <w:rPr>
          <w:rFonts w:hint="eastAsia" w:ascii="仿宋_GB2312"/>
        </w:rPr>
        <w:t>等方面</w:t>
      </w:r>
      <w:r>
        <w:rPr>
          <w:rFonts w:hint="eastAsia" w:ascii="仿宋_GB2312"/>
          <w:lang w:eastAsia="zh-CN"/>
        </w:rPr>
        <w:t>支出</w:t>
      </w:r>
      <w:r>
        <w:rPr>
          <w:rFonts w:hint="eastAsia" w:ascii="仿宋_GB2312"/>
        </w:rPr>
        <w:t>。</w:t>
      </w:r>
    </w:p>
    <w:p>
      <w:pPr>
        <w:numPr>
          <w:ilvl w:val="0"/>
          <w:numId w:val="2"/>
        </w:numPr>
        <w:spacing w:line="600" w:lineRule="exact"/>
        <w:ind w:firstLine="600" w:firstLineChars="200"/>
        <w:outlineLvl w:val="0"/>
        <w:rPr>
          <w:rFonts w:hint="eastAsia" w:ascii="仿宋_GB2312"/>
        </w:rPr>
      </w:pPr>
      <w:r>
        <w:rPr>
          <w:rFonts w:hint="eastAsia" w:ascii="仿宋_GB2312"/>
        </w:rPr>
        <w:t>项目产出情况。</w:t>
      </w:r>
    </w:p>
    <w:p>
      <w:pPr>
        <w:spacing w:line="600" w:lineRule="exact"/>
        <w:ind w:firstLine="600" w:firstLineChars="200"/>
        <w:outlineLvl w:val="0"/>
        <w:rPr>
          <w:rFonts w:hint="eastAsia" w:ascii="仿宋_GB2312"/>
          <w:lang w:val="en-US" w:eastAsia="zh-CN"/>
        </w:rPr>
      </w:pPr>
      <w:r>
        <w:rPr>
          <w:rFonts w:hint="eastAsia" w:ascii="仿宋_GB2312"/>
        </w:rPr>
        <w:t>1、</w:t>
      </w:r>
      <w:r>
        <w:rPr>
          <w:rFonts w:hint="eastAsia" w:ascii="仿宋_GB2312"/>
          <w:lang w:eastAsia="zh-CN"/>
        </w:rPr>
        <w:t>数量指标：全年执行</w:t>
      </w:r>
      <w:r>
        <w:rPr>
          <w:rFonts w:hint="eastAsia" w:ascii="仿宋_GB2312"/>
          <w:lang w:val="en-US" w:eastAsia="zh-CN"/>
        </w:rPr>
        <w:t>12个月，全年拨付3764.63万元，全年实际完成100%，全年按照实际工作需要实施资金拨付工作，下一步将进一步督促资金使用范围和力度。</w:t>
      </w:r>
    </w:p>
    <w:p>
      <w:pPr>
        <w:spacing w:line="600" w:lineRule="exact"/>
        <w:ind w:firstLine="600" w:firstLineChars="200"/>
        <w:outlineLvl w:val="0"/>
        <w:rPr>
          <w:rFonts w:hint="eastAsia" w:ascii="仿宋_GB2312"/>
        </w:rPr>
      </w:pPr>
      <w:r>
        <w:rPr>
          <w:rFonts w:hint="eastAsia" w:ascii="仿宋_GB2312"/>
        </w:rPr>
        <w:t>2、</w:t>
      </w:r>
      <w:r>
        <w:rPr>
          <w:rFonts w:hint="eastAsia" w:ascii="仿宋_GB2312"/>
          <w:lang w:eastAsia="zh-CN"/>
        </w:rPr>
        <w:t>质量指标</w:t>
      </w:r>
      <w:r>
        <w:rPr>
          <w:rFonts w:hint="eastAsia" w:ascii="仿宋_GB2312"/>
        </w:rPr>
        <w:t>：</w:t>
      </w:r>
      <w:r>
        <w:rPr>
          <w:rFonts w:hint="eastAsia" w:ascii="仿宋_GB2312"/>
          <w:lang w:val="en-US" w:eastAsia="zh-CN"/>
        </w:rPr>
        <w:t>严格执行相关法规、制度，确保</w:t>
      </w:r>
      <w:r>
        <w:rPr>
          <w:rFonts w:hint="eastAsia" w:ascii="仿宋_GB2312"/>
          <w:lang w:eastAsia="zh-CN"/>
        </w:rPr>
        <w:t>工作</w:t>
      </w:r>
      <w:r>
        <w:rPr>
          <w:rFonts w:hint="eastAsia" w:ascii="仿宋_GB2312"/>
          <w:lang w:val="en-US" w:eastAsia="zh-CN"/>
        </w:rPr>
        <w:t>及时有效开展。</w:t>
      </w:r>
    </w:p>
    <w:p>
      <w:pPr>
        <w:spacing w:line="600" w:lineRule="exact"/>
        <w:ind w:firstLine="600" w:firstLineChars="200"/>
        <w:outlineLvl w:val="0"/>
        <w:rPr>
          <w:rFonts w:hint="default" w:ascii="仿宋_GB2312"/>
          <w:lang w:val="en-US" w:eastAsia="zh-CN"/>
        </w:rPr>
      </w:pPr>
      <w:r>
        <w:rPr>
          <w:rFonts w:hint="eastAsia" w:ascii="仿宋_GB2312"/>
        </w:rPr>
        <w:t>3、</w:t>
      </w:r>
      <w:r>
        <w:rPr>
          <w:rFonts w:hint="eastAsia" w:ascii="仿宋_GB2312"/>
          <w:lang w:eastAsia="zh-CN"/>
        </w:rPr>
        <w:t>时效指标：按年度计划于</w:t>
      </w:r>
      <w:r>
        <w:rPr>
          <w:rFonts w:hint="eastAsia" w:ascii="仿宋_GB2312"/>
          <w:lang w:val="en-US" w:eastAsia="zh-CN"/>
        </w:rPr>
        <w:t>2022年12月31日前完成。</w:t>
      </w:r>
    </w:p>
    <w:p>
      <w:pPr>
        <w:spacing w:line="600" w:lineRule="exact"/>
        <w:ind w:firstLine="600" w:firstLineChars="200"/>
        <w:outlineLvl w:val="0"/>
        <w:rPr>
          <w:rFonts w:hint="eastAsia" w:ascii="仿宋_GB2312"/>
        </w:rPr>
      </w:pPr>
      <w:r>
        <w:rPr>
          <w:rFonts w:hint="eastAsia" w:ascii="仿宋_GB2312"/>
        </w:rPr>
        <w:t>4、</w:t>
      </w:r>
      <w:r>
        <w:rPr>
          <w:rFonts w:hint="eastAsia" w:ascii="仿宋_GB2312"/>
          <w:lang w:eastAsia="zh-CN"/>
        </w:rPr>
        <w:t>成本指标：</w:t>
      </w:r>
      <w:r>
        <w:rPr>
          <w:rFonts w:hint="eastAsia" w:ascii="仿宋_GB2312"/>
          <w:lang w:val="en-US" w:eastAsia="zh-CN"/>
        </w:rPr>
        <w:t>3764.63万元，2022年度已支付3764.63万元，全年实际完成100%。</w:t>
      </w:r>
    </w:p>
    <w:p>
      <w:pPr>
        <w:spacing w:line="600" w:lineRule="exact"/>
        <w:ind w:firstLine="600" w:firstLineChars="200"/>
        <w:outlineLvl w:val="0"/>
        <w:rPr>
          <w:rFonts w:hint="eastAsia" w:ascii="仿宋_GB2312"/>
        </w:rPr>
      </w:pPr>
      <w:r>
        <w:rPr>
          <w:rFonts w:hint="eastAsia" w:ascii="仿宋_GB2312"/>
        </w:rPr>
        <w:t>（四）项目效益情况。</w:t>
      </w:r>
    </w:p>
    <w:p>
      <w:pPr>
        <w:spacing w:line="600" w:lineRule="exact"/>
        <w:ind w:firstLine="600" w:firstLineChars="200"/>
        <w:outlineLvl w:val="0"/>
        <w:rPr>
          <w:rFonts w:hint="eastAsia" w:ascii="仿宋_GB2312"/>
          <w:lang w:eastAsia="zh-CN"/>
        </w:rPr>
      </w:pPr>
      <w:r>
        <w:rPr>
          <w:rFonts w:hint="eastAsia" w:ascii="仿宋_GB2312"/>
          <w:lang w:val="en-US" w:eastAsia="zh-CN"/>
        </w:rPr>
        <w:t>1</w:t>
      </w:r>
      <w:r>
        <w:rPr>
          <w:rFonts w:hint="eastAsia" w:ascii="仿宋_GB2312"/>
        </w:rPr>
        <w:t>、</w:t>
      </w:r>
      <w:r>
        <w:rPr>
          <w:rFonts w:hint="eastAsia" w:ascii="仿宋_GB2312"/>
          <w:lang w:eastAsia="zh-CN"/>
        </w:rPr>
        <w:t>经济效益指标：通过</w:t>
      </w:r>
      <w:r>
        <w:rPr>
          <w:rFonts w:hint="eastAsia" w:ascii="仿宋_GB2312"/>
          <w:lang w:val="en-US" w:eastAsia="zh-CN"/>
        </w:rPr>
        <w:t>资金拨付，</w:t>
      </w:r>
      <w:r>
        <w:rPr>
          <w:rFonts w:hint="eastAsia" w:ascii="仿宋_GB2312"/>
          <w:lang w:eastAsia="zh-CN"/>
        </w:rPr>
        <w:t>保障协保改制人员顺利退休。</w:t>
      </w:r>
    </w:p>
    <w:p>
      <w:pPr>
        <w:spacing w:line="600" w:lineRule="exact"/>
        <w:ind w:firstLine="600" w:firstLineChars="200"/>
        <w:outlineLvl w:val="0"/>
        <w:rPr>
          <w:rFonts w:hint="eastAsia" w:ascii="仿宋_GB2312"/>
          <w:lang w:eastAsia="zh-CN"/>
        </w:rPr>
      </w:pPr>
      <w:r>
        <w:rPr>
          <w:rFonts w:hint="eastAsia" w:ascii="仿宋_GB2312"/>
          <w:lang w:val="en-US" w:eastAsia="zh-CN"/>
        </w:rPr>
        <w:t>2</w:t>
      </w:r>
      <w:r>
        <w:rPr>
          <w:rFonts w:hint="eastAsia" w:ascii="仿宋_GB2312"/>
          <w:lang w:eastAsia="zh-CN"/>
        </w:rPr>
        <w:t>、社会效益指标：提高协保退休人员生活水平，促进和谐社会发展</w:t>
      </w:r>
      <w:r>
        <w:rPr>
          <w:rFonts w:hint="eastAsia" w:ascii="仿宋_GB2312"/>
          <w:lang w:val="en-US" w:eastAsia="zh-CN"/>
        </w:rPr>
        <w:t>。</w:t>
      </w:r>
    </w:p>
    <w:p>
      <w:pPr>
        <w:spacing w:line="600" w:lineRule="exact"/>
        <w:ind w:firstLine="600" w:firstLineChars="200"/>
        <w:outlineLvl w:val="0"/>
        <w:rPr>
          <w:rFonts w:hint="eastAsia" w:ascii="仿宋_GB2312"/>
          <w:lang w:eastAsia="zh-CN"/>
        </w:rPr>
      </w:pPr>
      <w:r>
        <w:rPr>
          <w:rFonts w:hint="eastAsia" w:ascii="仿宋_GB2312"/>
          <w:lang w:val="en-US" w:eastAsia="zh-CN"/>
        </w:rPr>
        <w:t>3</w:t>
      </w:r>
      <w:r>
        <w:rPr>
          <w:rFonts w:hint="eastAsia" w:ascii="仿宋_GB2312"/>
        </w:rPr>
        <w:t>、</w:t>
      </w:r>
      <w:r>
        <w:rPr>
          <w:rFonts w:hint="eastAsia" w:ascii="仿宋_GB2312"/>
          <w:lang w:eastAsia="zh-CN"/>
        </w:rPr>
        <w:t>生态效益指标：妥善安置职工，维护社会和谐稳定</w:t>
      </w:r>
      <w:r>
        <w:rPr>
          <w:rFonts w:hint="eastAsia" w:ascii="仿宋_GB2312"/>
          <w:lang w:val="en-US" w:eastAsia="zh-CN"/>
        </w:rPr>
        <w:t>。</w:t>
      </w:r>
    </w:p>
    <w:p>
      <w:pPr>
        <w:spacing w:line="600" w:lineRule="exact"/>
        <w:ind w:firstLine="600" w:firstLineChars="200"/>
        <w:outlineLvl w:val="0"/>
        <w:rPr>
          <w:rFonts w:hint="eastAsia" w:ascii="仿宋_GB2312"/>
        </w:rPr>
      </w:pPr>
      <w:r>
        <w:rPr>
          <w:rFonts w:hint="eastAsia" w:ascii="仿宋_GB2312"/>
          <w:lang w:val="en-US" w:eastAsia="zh-CN"/>
        </w:rPr>
        <w:t>4</w:t>
      </w:r>
      <w:r>
        <w:rPr>
          <w:rFonts w:hint="eastAsia" w:ascii="仿宋_GB2312"/>
        </w:rPr>
        <w:t>、</w:t>
      </w:r>
      <w:r>
        <w:rPr>
          <w:rFonts w:hint="eastAsia" w:ascii="仿宋_GB2312"/>
          <w:lang w:eastAsia="zh-CN"/>
        </w:rPr>
        <w:t>可持续影响指标：规范预算执行，严肃财经纪律，发挥资金效益，为协保职工利益提供长期保障</w:t>
      </w:r>
      <w:r>
        <w:rPr>
          <w:rFonts w:hint="eastAsia" w:ascii="仿宋_GB2312"/>
          <w:lang w:val="en-US" w:eastAsia="zh-CN"/>
        </w:rPr>
        <w:t>。</w:t>
      </w:r>
    </w:p>
    <w:p>
      <w:pPr>
        <w:spacing w:line="600" w:lineRule="exact"/>
        <w:ind w:firstLine="600" w:firstLineChars="200"/>
        <w:rPr>
          <w:rFonts w:hint="eastAsia" w:ascii="黑体" w:hAnsi="黑体" w:eastAsia="黑体"/>
        </w:rPr>
      </w:pPr>
      <w:r>
        <w:rPr>
          <w:rFonts w:hint="eastAsia" w:ascii="黑体" w:hAnsi="黑体" w:eastAsia="黑体"/>
        </w:rPr>
        <w:t>五、主要经验及做法、存在的问题及原因分析</w:t>
      </w:r>
    </w:p>
    <w:p>
      <w:pPr>
        <w:spacing w:line="600" w:lineRule="exact"/>
        <w:ind w:firstLine="600" w:firstLineChars="200"/>
        <w:outlineLvl w:val="0"/>
        <w:rPr>
          <w:rFonts w:hint="eastAsia" w:ascii="仿宋_GB2312"/>
          <w:lang w:val="en-US" w:eastAsia="zh-CN"/>
        </w:rPr>
      </w:pPr>
      <w:r>
        <w:rPr>
          <w:rFonts w:hint="eastAsia" w:ascii="仿宋_GB2312"/>
          <w:lang w:val="en-US" w:eastAsia="zh-CN"/>
        </w:rPr>
        <w:t>1、因政策变更、协保职工死亡等不确定因素，无法准确把握第二年协保退休人员补缴金额，导致可能出现预算金额不足或预算金额结余，年初绩效目标已经偏离项目实际情况，不适用于后续的监控和评价。</w:t>
      </w:r>
    </w:p>
    <w:p>
      <w:pPr>
        <w:spacing w:line="600" w:lineRule="exact"/>
        <w:ind w:firstLine="600" w:firstLineChars="200"/>
        <w:outlineLvl w:val="0"/>
        <w:rPr>
          <w:rFonts w:hint="eastAsia" w:ascii="仿宋_GB2312"/>
          <w:lang w:val="en-US" w:eastAsia="zh-CN"/>
        </w:rPr>
      </w:pPr>
      <w:r>
        <w:rPr>
          <w:rFonts w:hint="eastAsia" w:ascii="仿宋_GB2312"/>
          <w:lang w:val="en-US" w:eastAsia="zh-CN"/>
        </w:rPr>
        <w:t>2、绩效目标只是笼统用百分比来制定，当年完成率没有对比值或具体数值。指标设置不够明晰、细化，不便于考核和对后期工作的指导。</w:t>
      </w:r>
    </w:p>
    <w:p>
      <w:pPr>
        <w:numPr>
          <w:ilvl w:val="0"/>
          <w:numId w:val="3"/>
        </w:numPr>
        <w:spacing w:line="600" w:lineRule="exact"/>
        <w:ind w:firstLine="600" w:firstLineChars="200"/>
        <w:rPr>
          <w:rFonts w:hint="eastAsia" w:ascii="黑体" w:hAnsi="黑体" w:eastAsia="黑体"/>
        </w:rPr>
      </w:pPr>
      <w:r>
        <w:rPr>
          <w:rFonts w:hint="eastAsia" w:ascii="黑体" w:hAnsi="黑体" w:eastAsia="黑体"/>
        </w:rPr>
        <w:t>有关建议</w:t>
      </w:r>
    </w:p>
    <w:p>
      <w:pPr>
        <w:spacing w:line="600" w:lineRule="exact"/>
        <w:ind w:firstLine="600" w:firstLineChars="200"/>
        <w:outlineLvl w:val="0"/>
        <w:rPr>
          <w:rFonts w:hint="eastAsia" w:ascii="黑体" w:hAnsi="黑体" w:eastAsia="黑体"/>
        </w:rPr>
      </w:pPr>
      <w:r>
        <w:rPr>
          <w:rFonts w:hint="eastAsia" w:ascii="仿宋_GB2312"/>
          <w:lang w:val="en-US" w:eastAsia="zh-CN"/>
        </w:rPr>
        <w:t>建议项目单位应加强预算申报管理、专项资金核算及监督管理，项目资金应设置专账核算；建议财政部门加强对专项资金使用情况的监督检查。建议规范和加强项目档案管理工作。</w:t>
      </w:r>
    </w:p>
    <w:p>
      <w:pPr>
        <w:numPr>
          <w:ilvl w:val="0"/>
          <w:numId w:val="3"/>
        </w:numPr>
        <w:spacing w:line="600" w:lineRule="exact"/>
        <w:ind w:firstLine="600" w:firstLineChars="200"/>
        <w:rPr>
          <w:rFonts w:hint="eastAsia" w:ascii="黑体" w:hAnsi="黑体" w:eastAsia="黑体"/>
        </w:rPr>
      </w:pPr>
      <w:r>
        <w:rPr>
          <w:rFonts w:hint="eastAsia" w:ascii="黑体" w:hAnsi="黑体" w:eastAsia="黑体"/>
        </w:rPr>
        <w:t>其他需要说明的问题</w:t>
      </w:r>
    </w:p>
    <w:p>
      <w:pPr>
        <w:spacing w:line="600" w:lineRule="exact"/>
        <w:ind w:firstLine="600" w:firstLineChars="200"/>
        <w:outlineLvl w:val="0"/>
        <w:rPr>
          <w:rFonts w:hint="eastAsia" w:ascii="仿宋_GB2312"/>
          <w:lang w:val="en-US" w:eastAsia="zh-CN"/>
        </w:rPr>
      </w:pPr>
      <w:r>
        <w:rPr>
          <w:rFonts w:hint="eastAsia" w:ascii="仿宋_GB2312"/>
          <w:lang w:val="en-US" w:eastAsia="zh-CN"/>
        </w:rPr>
        <w:t>目前并未发现存在其他问题。</w:t>
      </w:r>
    </w:p>
    <w:p>
      <w:pPr>
        <w:spacing w:line="600" w:lineRule="exact"/>
        <w:ind w:firstLine="600" w:firstLineChars="200"/>
        <w:jc w:val="both"/>
        <w:outlineLvl w:val="0"/>
        <w:rPr>
          <w:rFonts w:hint="eastAsia" w:ascii="仿宋_GB2312"/>
          <w:lang w:val="en-US" w:eastAsia="zh-CN"/>
        </w:rPr>
      </w:pPr>
      <w:r>
        <w:rPr>
          <w:rFonts w:hint="eastAsia" w:ascii="仿宋_GB2312"/>
          <w:lang w:val="en-US" w:eastAsia="zh-CN"/>
        </w:rPr>
        <w:t xml:space="preserve">      </w:t>
      </w:r>
    </w:p>
    <w:p>
      <w:pPr>
        <w:spacing w:line="600" w:lineRule="exact"/>
        <w:ind w:firstLine="600" w:firstLineChars="200"/>
        <w:jc w:val="both"/>
        <w:outlineLvl w:val="0"/>
        <w:rPr>
          <w:rFonts w:hint="eastAsia" w:ascii="仿宋_GB2312"/>
          <w:lang w:val="en-US" w:eastAsia="zh-CN"/>
        </w:rPr>
      </w:pPr>
    </w:p>
    <w:p>
      <w:pPr>
        <w:spacing w:line="600" w:lineRule="exact"/>
        <w:ind w:firstLine="600" w:firstLineChars="200"/>
        <w:jc w:val="both"/>
        <w:outlineLvl w:val="0"/>
        <w:rPr>
          <w:rFonts w:hint="eastAsia" w:ascii="仿宋_GB2312"/>
          <w:lang w:val="en-US" w:eastAsia="zh-CN"/>
        </w:rPr>
      </w:pPr>
      <w:r>
        <w:rPr>
          <w:rFonts w:hint="eastAsia" w:ascii="仿宋_GB2312"/>
          <w:lang w:val="en-US" w:eastAsia="zh-CN"/>
        </w:rPr>
        <w:t xml:space="preserve">            </w:t>
      </w:r>
    </w:p>
    <w:tbl>
      <w:tblPr>
        <w:tblStyle w:val="4"/>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635"/>
        <w:gridCol w:w="668"/>
        <w:gridCol w:w="164"/>
        <w:gridCol w:w="691"/>
        <w:gridCol w:w="874"/>
        <w:gridCol w:w="777"/>
        <w:gridCol w:w="1014"/>
        <w:gridCol w:w="993"/>
        <w:gridCol w:w="956"/>
        <w:gridCol w:w="489"/>
        <w:gridCol w:w="707"/>
        <w:gridCol w:w="394"/>
        <w:gridCol w:w="11"/>
        <w:gridCol w:w="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610" w:hRule="atLeast"/>
        </w:trPr>
        <w:tc>
          <w:tcPr>
            <w:tcW w:w="8897" w:type="dxa"/>
            <w:gridSpan w:val="14"/>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13"/>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319" w:hRule="atLeast"/>
        </w:trPr>
        <w:tc>
          <w:tcPr>
            <w:tcW w:w="8897" w:type="dxa"/>
            <w:gridSpan w:val="14"/>
            <w:tcBorders>
              <w:bottom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329" w:hRule="atLeast"/>
        </w:trPr>
        <w:tc>
          <w:tcPr>
            <w:tcW w:w="18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07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协保退休人员医疗金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3" w:type="dxa"/>
          <w:trHeight w:val="329" w:hRule="atLeast"/>
        </w:trPr>
        <w:tc>
          <w:tcPr>
            <w:tcW w:w="18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2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凤台县财政局</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5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619" w:hRule="atLeast"/>
        </w:trPr>
        <w:tc>
          <w:tcPr>
            <w:tcW w:w="1827"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3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847"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580.75</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580.75</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580.75</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10"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4"/>
                <w:lang w:val="en-US" w:eastAsia="zh-CN" w:bidi="ar"/>
              </w:rPr>
              <w:t>其中：本年财政拨款</w:t>
            </w:r>
          </w:p>
        </w:tc>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580.75</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580.75</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580.75</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619"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上年结转资金</w:t>
            </w:r>
          </w:p>
        </w:tc>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619"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4"/>
                <w:lang w:val="en-US" w:eastAsia="zh-CN" w:bidi="ar"/>
              </w:rPr>
              <w:t xml:space="preserve">      其他资金</w:t>
            </w:r>
          </w:p>
        </w:tc>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329" w:hRule="atLeast"/>
        </w:trPr>
        <w:tc>
          <w:tcPr>
            <w:tcW w:w="52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w:t>
            </w:r>
          </w:p>
        </w:tc>
        <w:tc>
          <w:tcPr>
            <w:tcW w:w="482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53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1164" w:hRule="atLeast"/>
        </w:trPr>
        <w:tc>
          <w:tcPr>
            <w:tcW w:w="524"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823"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用于支付破产或改制企业职工安置费等事务方面支出，保障协保职工顺利退休，体现党和政府对职工的关心爱护维护广大职工利益，妥善安置职工，维护社会和谐稳定。</w:t>
            </w:r>
          </w:p>
        </w:tc>
        <w:tc>
          <w:tcPr>
            <w:tcW w:w="3539"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完成当年协保退休人员医疗金拨付，保障协保人员顺利退休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89" w:hRule="atLeast"/>
        </w:trPr>
        <w:tc>
          <w:tcPr>
            <w:tcW w:w="5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1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指标1：全年运行12个月，每月按照医保中心提供数据进行补缴</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681"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指标1：严格执行相关法规、制度</w:t>
            </w:r>
          </w:p>
        </w:tc>
        <w:tc>
          <w:tcPr>
            <w:tcW w:w="101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1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指标1：按照年度完成计划指标拨付</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2022年12月31日前完成</w:t>
            </w:r>
          </w:p>
        </w:tc>
        <w:tc>
          <w:tcPr>
            <w:tcW w:w="993"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2022年12月31日前完成</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33"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指标1：全年预计拨付580.75万元</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580.75万元</w:t>
            </w:r>
          </w:p>
        </w:tc>
        <w:tc>
          <w:tcPr>
            <w:tcW w:w="993"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580.75万元</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1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指标1：保障协保改制人员顺利退休</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93"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1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指标1：提高协保退休人员生活水平，促进和谐社会发展</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93"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1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指标1：妥善安置职工，维护社会和谐稳定                                                                                                                                                                                                                                                                                                                                                                                                                                                                                                                                        </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93"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910" w:hRule="atLeast"/>
        </w:trPr>
        <w:tc>
          <w:tcPr>
            <w:tcW w:w="5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3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响指标</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指标1：为协保职工利益提供长期保障</w:t>
            </w:r>
          </w:p>
        </w:tc>
        <w:tc>
          <w:tcPr>
            <w:tcW w:w="10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93"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1201" w:hRule="atLeast"/>
        </w:trPr>
        <w:tc>
          <w:tcPr>
            <w:tcW w:w="52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3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832"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342"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指标1：协保退休人员满意度</w:t>
            </w:r>
          </w:p>
        </w:tc>
        <w:tc>
          <w:tcPr>
            <w:tcW w:w="101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 w:type="dxa"/>
          <w:trHeight w:val="338" w:hRule="atLeast"/>
        </w:trPr>
        <w:tc>
          <w:tcPr>
            <w:tcW w:w="43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10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sz w:val="20"/>
                <w:szCs w:val="20"/>
                <w:u w:val="none"/>
              </w:rPr>
            </w:pPr>
          </w:p>
        </w:tc>
        <w:tc>
          <w:tcPr>
            <w:tcW w:w="993"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eastAsia="宋体" w:cs="宋体"/>
                <w:b/>
                <w:i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4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100</w:t>
            </w:r>
          </w:p>
        </w:tc>
        <w:tc>
          <w:tcPr>
            <w:tcW w:w="11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9" w:hRule="atLeast"/>
        </w:trPr>
        <w:tc>
          <w:tcPr>
            <w:tcW w:w="8920" w:type="dxa"/>
            <w:gridSpan w:val="15"/>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w:t>
            </w:r>
            <w:r>
              <w:rPr>
                <w:rStyle w:val="15"/>
                <w:lang w:val="en-US" w:eastAsia="zh-CN" w:bidi="ar"/>
              </w:rPr>
              <w:t>.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8920" w:type="dxa"/>
            <w:gridSpan w:val="15"/>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9" w:hRule="atLeast"/>
        </w:trPr>
        <w:tc>
          <w:tcPr>
            <w:tcW w:w="8920" w:type="dxa"/>
            <w:gridSpan w:val="15"/>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该指标分值；定量指标得分最高不得超过该指标分值上限。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4.评价得分说明：说明全年实际值与年度指标值偏离情况（未达、持平、超额）。</w:t>
            </w:r>
          </w:p>
        </w:tc>
      </w:tr>
    </w:tbl>
    <w:p>
      <w:pPr>
        <w:spacing w:line="600" w:lineRule="exact"/>
        <w:ind w:firstLine="600" w:firstLineChars="200"/>
        <w:jc w:val="both"/>
        <w:outlineLvl w:val="0"/>
        <w:rPr>
          <w:rFonts w:hint="eastAsia" w:ascii="仿宋_GB2312"/>
          <w:lang w:val="en-US" w:eastAsia="zh-CN"/>
        </w:rPr>
      </w:pPr>
      <w:r>
        <w:rPr>
          <w:rFonts w:hint="eastAsia" w:ascii="仿宋_GB2312"/>
          <w:lang w:val="en-US" w:eastAsia="zh-CN"/>
        </w:rPr>
        <w:t xml:space="preserve">               </w:t>
      </w:r>
    </w:p>
    <w:p>
      <w:pPr>
        <w:jc w:val="center"/>
        <w:rPr>
          <w:rFonts w:hint="eastAsia" w:ascii="宋体" w:hAnsi="宋体" w:eastAsia="宋体" w:cs="Arial"/>
          <w:b/>
          <w:bCs/>
          <w:sz w:val="36"/>
          <w:szCs w:val="36"/>
          <w:lang w:eastAsia="zh-CN"/>
        </w:rPr>
      </w:pPr>
      <w:r>
        <w:rPr>
          <w:rFonts w:hint="eastAsia" w:ascii="宋体" w:hAnsi="宋体" w:eastAsia="宋体" w:cs="Arial"/>
          <w:b/>
          <w:bCs/>
          <w:sz w:val="36"/>
          <w:szCs w:val="36"/>
        </w:rPr>
        <w:t>项目支出</w:t>
      </w:r>
      <w:r>
        <w:rPr>
          <w:rFonts w:hint="eastAsia" w:ascii="宋体" w:hAnsi="宋体" w:eastAsia="宋体" w:cs="Arial"/>
          <w:b/>
          <w:bCs/>
          <w:sz w:val="36"/>
          <w:szCs w:val="36"/>
          <w:lang w:eastAsia="zh-CN"/>
        </w:rPr>
        <w:t>（</w:t>
      </w:r>
      <w:r>
        <w:rPr>
          <w:rFonts w:hint="eastAsia" w:ascii="宋体" w:hAnsi="宋体" w:eastAsia="宋体" w:cs="Arial"/>
          <w:b/>
          <w:bCs/>
          <w:sz w:val="36"/>
          <w:szCs w:val="36"/>
        </w:rPr>
        <w:t>协保退休人员医疗金</w:t>
      </w:r>
      <w:r>
        <w:rPr>
          <w:rFonts w:hint="eastAsia" w:ascii="宋体" w:hAnsi="宋体" w:eastAsia="宋体" w:cs="Arial"/>
          <w:b/>
          <w:bCs/>
          <w:sz w:val="36"/>
          <w:szCs w:val="36"/>
          <w:lang w:eastAsia="zh-CN"/>
        </w:rPr>
        <w:t>）</w:t>
      </w:r>
    </w:p>
    <w:p>
      <w:pPr>
        <w:jc w:val="center"/>
        <w:rPr>
          <w:rFonts w:hint="eastAsia" w:ascii="黑体" w:hAnsi="黑体" w:eastAsia="黑体"/>
        </w:rPr>
      </w:pPr>
      <w:r>
        <w:rPr>
          <w:rFonts w:ascii="宋体" w:hAnsi="宋体" w:eastAsia="宋体" w:cs="Arial"/>
          <w:b/>
          <w:bCs/>
          <w:sz w:val="36"/>
          <w:szCs w:val="36"/>
        </w:rPr>
        <w:t>绩效</w:t>
      </w:r>
      <w:r>
        <w:rPr>
          <w:rFonts w:hint="eastAsia" w:ascii="宋体" w:hAnsi="宋体" w:eastAsia="宋体" w:cs="Arial"/>
          <w:b/>
          <w:bCs/>
          <w:sz w:val="36"/>
          <w:szCs w:val="36"/>
        </w:rPr>
        <w:t>评价报告</w:t>
      </w:r>
    </w:p>
    <w:p>
      <w:pPr>
        <w:spacing w:line="600" w:lineRule="exact"/>
        <w:ind w:firstLine="600" w:firstLineChars="200"/>
        <w:rPr>
          <w:rFonts w:ascii="黑体" w:hAnsi="黑体" w:eastAsia="黑体"/>
        </w:rPr>
      </w:pPr>
      <w:r>
        <w:rPr>
          <w:rFonts w:hint="eastAsia" w:ascii="黑体" w:hAnsi="黑体" w:eastAsia="黑体"/>
        </w:rPr>
        <w:t>一、基本情况</w:t>
      </w:r>
    </w:p>
    <w:p>
      <w:pPr>
        <w:spacing w:line="600" w:lineRule="exact"/>
        <w:ind w:firstLine="600" w:firstLineChars="200"/>
        <w:outlineLvl w:val="0"/>
        <w:rPr>
          <w:rFonts w:hint="eastAsia" w:ascii="仿宋_GB2312"/>
        </w:rPr>
      </w:pPr>
      <w:r>
        <w:rPr>
          <w:rFonts w:hint="eastAsia" w:ascii="仿宋_GB2312"/>
        </w:rPr>
        <w:t>（一）项目概况。</w:t>
      </w:r>
    </w:p>
    <w:p>
      <w:pPr>
        <w:spacing w:line="600" w:lineRule="exact"/>
        <w:ind w:firstLine="600" w:firstLineChars="200"/>
        <w:outlineLvl w:val="0"/>
        <w:rPr>
          <w:rFonts w:hint="eastAsia" w:ascii="仿宋_GB2312"/>
          <w:lang w:val="en-US" w:eastAsia="zh-CN"/>
        </w:rPr>
      </w:pPr>
      <w:r>
        <w:rPr>
          <w:rFonts w:hint="eastAsia" w:ascii="仿宋_GB2312"/>
          <w:lang w:val="en-US" w:eastAsia="zh-CN"/>
        </w:rPr>
        <w:t>根据省委、省政府、市委、市政府有关文件精神，为积极推进我县国有企业产权制度改革，切实做好改制国有企业职工的安置工作，贯彻落实淮发</w:t>
      </w:r>
      <w:r>
        <w:rPr>
          <w:rFonts w:hint="eastAsia" w:ascii="微软雅黑" w:hAnsi="微软雅黑" w:eastAsia="微软雅黑" w:cs="微软雅黑"/>
          <w:lang w:val="en-US" w:eastAsia="zh-CN"/>
        </w:rPr>
        <w:t>[</w:t>
      </w:r>
      <w:r>
        <w:rPr>
          <w:rFonts w:hint="eastAsia" w:ascii="仿宋_GB2312"/>
          <w:lang w:val="en-US" w:eastAsia="zh-CN"/>
        </w:rPr>
        <w:t>2004</w:t>
      </w:r>
      <w:r>
        <w:rPr>
          <w:rFonts w:hint="eastAsia" w:ascii="微软雅黑" w:hAnsi="微软雅黑" w:eastAsia="微软雅黑" w:cs="微软雅黑"/>
          <w:lang w:val="en-US" w:eastAsia="zh-CN"/>
        </w:rPr>
        <w:t>]</w:t>
      </w:r>
      <w:r>
        <w:rPr>
          <w:rFonts w:hint="eastAsia" w:ascii="仿宋_GB2312"/>
          <w:lang w:val="en-US" w:eastAsia="zh-CN"/>
        </w:rPr>
        <w:t>26号文号精神，体现党和政府对职工的关心爱护，维护广大职工的利益，妥善安置职工。由政府统一为到龄退休协保人员补缴医疗金，保障协保人员顺利退休，维护社会和谐稳定。</w:t>
      </w:r>
    </w:p>
    <w:p>
      <w:pPr>
        <w:spacing w:line="600" w:lineRule="exact"/>
        <w:ind w:firstLine="600" w:firstLineChars="200"/>
        <w:outlineLvl w:val="0"/>
        <w:rPr>
          <w:rFonts w:hint="eastAsia" w:ascii="仿宋_GB2312"/>
          <w:lang w:val="en-US" w:eastAsia="zh-CN"/>
        </w:rPr>
      </w:pPr>
      <w:r>
        <w:rPr>
          <w:rFonts w:hint="eastAsia" w:ascii="仿宋_GB2312"/>
          <w:lang w:val="en-US" w:eastAsia="zh-CN"/>
        </w:rPr>
        <w:t>2022年度，凤台县国有资产监督管理委员会全年共计支付协保退休人员医疗金580.75万元，充分发挥资金的使用效益，常态化机制成功实施。该</w:t>
      </w:r>
      <w:r>
        <w:rPr>
          <w:rFonts w:hint="eastAsia" w:ascii="仿宋" w:hAnsi="仿宋" w:eastAsia="仿宋" w:cs="仿宋"/>
          <w:color w:val="000000"/>
          <w:sz w:val="32"/>
          <w:szCs w:val="32"/>
        </w:rPr>
        <w:t>资金严格遵守</w:t>
      </w:r>
      <w:r>
        <w:rPr>
          <w:rFonts w:hint="eastAsia" w:ascii="仿宋" w:hAnsi="仿宋" w:eastAsia="仿宋" w:cs="仿宋"/>
          <w:color w:val="000000"/>
          <w:sz w:val="32"/>
          <w:szCs w:val="32"/>
          <w:lang w:eastAsia="zh-CN"/>
        </w:rPr>
        <w:t>项目资金管理规定，</w:t>
      </w:r>
      <w:r>
        <w:rPr>
          <w:rFonts w:hint="eastAsia" w:ascii="仿宋" w:hAnsi="仿宋" w:eastAsia="仿宋" w:cs="仿宋"/>
          <w:color w:val="000000"/>
          <w:sz w:val="32"/>
          <w:szCs w:val="32"/>
        </w:rPr>
        <w:t>坚持专款专用，将资金用于</w:t>
      </w:r>
      <w:r>
        <w:rPr>
          <w:rFonts w:hint="eastAsia" w:ascii="仿宋_GB2312"/>
          <w:lang w:val="en-US" w:eastAsia="zh-CN"/>
        </w:rPr>
        <w:t>协保退休人员医疗金</w:t>
      </w:r>
      <w:r>
        <w:rPr>
          <w:rFonts w:hint="eastAsia" w:ascii="仿宋_GB2312"/>
          <w:lang w:eastAsia="zh-CN"/>
        </w:rPr>
        <w:t>工作</w:t>
      </w:r>
      <w:r>
        <w:rPr>
          <w:rFonts w:hint="eastAsia" w:ascii="仿宋" w:hAnsi="仿宋" w:eastAsia="仿宋" w:cs="仿宋"/>
          <w:color w:val="000000"/>
          <w:sz w:val="32"/>
          <w:szCs w:val="32"/>
        </w:rPr>
        <w:t>等方面</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w:t>
      </w:r>
    </w:p>
    <w:p>
      <w:pPr>
        <w:numPr>
          <w:ilvl w:val="0"/>
          <w:numId w:val="1"/>
        </w:numPr>
        <w:spacing w:line="600" w:lineRule="exact"/>
        <w:ind w:firstLine="600" w:firstLineChars="200"/>
        <w:rPr>
          <w:rFonts w:hint="eastAsia" w:ascii="仿宋_GB2312"/>
        </w:rPr>
      </w:pPr>
      <w:r>
        <w:rPr>
          <w:rFonts w:hint="eastAsia" w:ascii="仿宋_GB2312"/>
        </w:rPr>
        <w:t>项目绩效目标。</w:t>
      </w:r>
    </w:p>
    <w:p>
      <w:pPr>
        <w:numPr>
          <w:ilvl w:val="0"/>
          <w:numId w:val="0"/>
        </w:numPr>
        <w:spacing w:line="600" w:lineRule="exact"/>
        <w:rPr>
          <w:rFonts w:ascii="仿宋_GB2312"/>
        </w:rPr>
      </w:pPr>
      <w:r>
        <w:rPr>
          <w:rFonts w:hint="eastAsia" w:ascii="仿宋_GB2312"/>
          <w:lang w:val="en-US" w:eastAsia="zh-CN"/>
        </w:rPr>
        <w:t xml:space="preserve">     </w:t>
      </w:r>
      <w:r>
        <w:rPr>
          <w:rFonts w:hint="eastAsia" w:ascii="仿宋_GB2312"/>
        </w:rPr>
        <w:t>用于支付破产或改制企业职工</w:t>
      </w:r>
      <w:r>
        <w:rPr>
          <w:rFonts w:hint="eastAsia" w:ascii="仿宋_GB2312"/>
          <w:lang w:val="en-US" w:eastAsia="zh-CN"/>
        </w:rPr>
        <w:t>安置</w:t>
      </w:r>
      <w:r>
        <w:rPr>
          <w:rFonts w:hint="eastAsia" w:ascii="仿宋_GB2312"/>
        </w:rPr>
        <w:t>费等事务方面支出，保障协保职工顺利退休，体现党和政府对职工的关心爱护</w:t>
      </w:r>
      <w:r>
        <w:rPr>
          <w:rFonts w:hint="eastAsia" w:ascii="仿宋_GB2312"/>
          <w:lang w:eastAsia="zh-CN"/>
        </w:rPr>
        <w:t>，</w:t>
      </w:r>
      <w:r>
        <w:rPr>
          <w:rFonts w:hint="eastAsia" w:ascii="仿宋_GB2312"/>
        </w:rPr>
        <w:t>维护广大职工利益，妥善安置职工</w:t>
      </w:r>
      <w:r>
        <w:rPr>
          <w:rFonts w:hint="eastAsia" w:ascii="仿宋_GB2312"/>
          <w:lang w:eastAsia="zh-CN"/>
        </w:rPr>
        <w:t>，</w:t>
      </w:r>
      <w:r>
        <w:rPr>
          <w:rFonts w:hint="eastAsia" w:ascii="仿宋_GB2312"/>
          <w:lang w:val="en-US" w:eastAsia="zh-CN"/>
        </w:rPr>
        <w:t>保障协保人员顺利退休，维护社会和谐稳定。</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rPr>
          <w:rFonts w:hint="eastAsia" w:ascii="仿宋_GB2312"/>
        </w:rPr>
      </w:pPr>
      <w:r>
        <w:rPr>
          <w:rFonts w:hint="eastAsia" w:ascii="仿宋_GB2312"/>
        </w:rPr>
        <w:t>（一）绩效评价目的、对象和范围。</w:t>
      </w:r>
    </w:p>
    <w:p>
      <w:pPr>
        <w:spacing w:line="600" w:lineRule="exact"/>
        <w:ind w:firstLine="600" w:firstLineChars="200"/>
        <w:rPr>
          <w:rFonts w:hint="eastAsia" w:ascii="仿宋_GB2312"/>
          <w:lang w:val="en-US" w:eastAsia="zh-CN"/>
        </w:rPr>
      </w:pPr>
      <w:r>
        <w:rPr>
          <w:rFonts w:hint="eastAsia" w:ascii="仿宋_GB2312"/>
          <w:lang w:val="en-US" w:eastAsia="zh-CN"/>
        </w:rPr>
        <w:t>1、绩效评价目的：为了深入贯彻落实《中共中央国务院关于全面实施预算绩效管理的意见》和预算法及其实施条例的有关要求，</w:t>
      </w:r>
      <w:r>
        <w:rPr>
          <w:rFonts w:hint="eastAsia" w:ascii="仿宋_GB2312" w:hAnsi="仿宋_GB2312" w:eastAsia="仿宋_GB2312" w:cs="仿宋_GB2312"/>
          <w:sz w:val="32"/>
          <w:szCs w:val="32"/>
          <w:lang w:eastAsia="zh-CN"/>
        </w:rPr>
        <w:t>加强预算绩效管理，强化支出责任，建立科学、合理的财政支出绩效评价管理体系，提高财政资金使用效益</w:t>
      </w:r>
      <w:r>
        <w:rPr>
          <w:rFonts w:hint="eastAsia" w:ascii="仿宋_GB2312"/>
          <w:lang w:val="en-US" w:eastAsia="zh-CN"/>
        </w:rPr>
        <w:t>。</w:t>
      </w:r>
    </w:p>
    <w:p>
      <w:pPr>
        <w:spacing w:line="600" w:lineRule="exact"/>
        <w:ind w:firstLine="600" w:firstLineChars="200"/>
        <w:rPr>
          <w:rFonts w:hint="eastAsia" w:ascii="仿宋_GB2312"/>
          <w:lang w:val="en-US" w:eastAsia="zh-CN"/>
        </w:rPr>
      </w:pPr>
      <w:r>
        <w:rPr>
          <w:rFonts w:hint="eastAsia" w:ascii="仿宋_GB2312"/>
          <w:lang w:val="en-US" w:eastAsia="zh-CN"/>
        </w:rPr>
        <w:t>2、绩效评价对象：2022年度协保退休人员医疗金。</w:t>
      </w:r>
    </w:p>
    <w:p>
      <w:pPr>
        <w:spacing w:line="600" w:lineRule="exact"/>
        <w:ind w:firstLine="600" w:firstLineChars="200"/>
        <w:rPr>
          <w:rFonts w:hint="eastAsia" w:ascii="仿宋_GB2312"/>
          <w:lang w:val="en-US" w:eastAsia="zh-CN"/>
        </w:rPr>
      </w:pPr>
      <w:r>
        <w:rPr>
          <w:rFonts w:hint="eastAsia" w:ascii="仿宋_GB2312"/>
          <w:lang w:val="en-US" w:eastAsia="zh-CN"/>
        </w:rPr>
        <w:t>3、绩效评价范围：2022年度通过县级政府性基金预算安排给各单位的项目资金。</w:t>
      </w:r>
    </w:p>
    <w:p>
      <w:pPr>
        <w:spacing w:line="600" w:lineRule="exact"/>
        <w:ind w:firstLine="600" w:firstLineChars="200"/>
        <w:rPr>
          <w:rFonts w:hint="eastAsia" w:ascii="仿宋_GB2312"/>
        </w:rPr>
      </w:pPr>
      <w:r>
        <w:rPr>
          <w:rFonts w:hint="eastAsia" w:ascii="仿宋_GB2312"/>
        </w:rPr>
        <w:t>（二）绩效评价原则、评价指标体系（附表说明）、评价方法、评价标准等。</w:t>
      </w:r>
    </w:p>
    <w:p>
      <w:pPr>
        <w:spacing w:line="600" w:lineRule="exact"/>
        <w:ind w:firstLine="600" w:firstLineChars="200"/>
        <w:rPr>
          <w:rFonts w:hint="eastAsia" w:ascii="仿宋_GB2312"/>
          <w:lang w:val="en-US" w:eastAsia="zh-CN"/>
        </w:rPr>
      </w:pPr>
      <w:r>
        <w:rPr>
          <w:rFonts w:hint="eastAsia" w:ascii="仿宋_GB2312"/>
          <w:lang w:val="en-US" w:eastAsia="zh-CN"/>
        </w:rPr>
        <w:t>1、</w:t>
      </w:r>
      <w:r>
        <w:rPr>
          <w:rFonts w:hint="eastAsia" w:ascii="仿宋_GB2312"/>
        </w:rPr>
        <w:t>绩效评价原则</w:t>
      </w:r>
      <w:r>
        <w:rPr>
          <w:rFonts w:hint="eastAsia" w:ascii="仿宋_GB2312"/>
          <w:lang w:eastAsia="zh-CN"/>
        </w:rPr>
        <w:t>：</w:t>
      </w:r>
      <w:r>
        <w:rPr>
          <w:rFonts w:hint="eastAsia" w:ascii="仿宋_GB2312"/>
          <w:lang w:val="en-US" w:eastAsia="zh-CN"/>
        </w:rPr>
        <w:t>根据不同类型的项目特点，实行分类评价，健全差异化绩效评价指标体系，绩效评价结果作为项目调整，后续支出的重要依据。在资源配置上体现绩效导向，切实提高项目经费的使用效益。</w:t>
      </w:r>
    </w:p>
    <w:p>
      <w:pPr>
        <w:spacing w:line="600" w:lineRule="exact"/>
        <w:ind w:firstLine="600" w:firstLineChars="200"/>
        <w:rPr>
          <w:rFonts w:hint="eastAsia" w:ascii="仿宋_GB2312"/>
          <w:lang w:val="en-US" w:eastAsia="zh-CN"/>
        </w:rPr>
      </w:pPr>
      <w:r>
        <w:rPr>
          <w:rFonts w:hint="eastAsia" w:ascii="仿宋_GB2312"/>
          <w:lang w:val="en-US" w:eastAsia="zh-CN"/>
        </w:rPr>
        <w:t>2、评价方法：通过自评方式。</w:t>
      </w:r>
    </w:p>
    <w:p>
      <w:pPr>
        <w:spacing w:line="600" w:lineRule="exact"/>
        <w:ind w:firstLine="600" w:firstLineChars="200"/>
        <w:rPr>
          <w:rFonts w:hint="eastAsia" w:ascii="仿宋_GB2312"/>
          <w:lang w:val="en-US" w:eastAsia="zh-CN"/>
        </w:rPr>
      </w:pPr>
      <w:r>
        <w:rPr>
          <w:rFonts w:hint="eastAsia" w:ascii="仿宋_GB2312"/>
          <w:lang w:val="en-US" w:eastAsia="zh-CN"/>
        </w:rPr>
        <w:t>3、评价标准：一级指标分值统一设置为：产出指标50分、效益指标30分、服务对象满意度指标10分、预算资金执行率10分；定性指标根据指标完成情况分为：达成预期指标、部分达成预期指标并具有一定效果、未达成预期指标且效果较差三档，分别按照该指标对应分值区间100-80%(含80%)、80-60%(含60%)、60-0%合理确定分值；定量指标若为正向指标（即指标值为≥*），则得分计算方法应用全年实际值/年度指标值╳该指标分值；若定量指标为反向指标（即指标值为≤*），则得分计算方法应用年度指标值/全年实际值╳该指标分值；定量指标得分最高不得超过该指标分值上限。</w:t>
      </w:r>
    </w:p>
    <w:p>
      <w:pPr>
        <w:numPr>
          <w:ilvl w:val="0"/>
          <w:numId w:val="1"/>
        </w:numPr>
        <w:spacing w:line="600" w:lineRule="exact"/>
        <w:ind w:firstLine="600" w:firstLineChars="200"/>
        <w:rPr>
          <w:rFonts w:hint="eastAsia" w:ascii="仿宋_GB2312"/>
        </w:rPr>
      </w:pPr>
      <w:r>
        <w:rPr>
          <w:rFonts w:hint="eastAsia" w:ascii="仿宋_GB2312"/>
        </w:rPr>
        <w:t>绩效评价工作过程。</w:t>
      </w:r>
    </w:p>
    <w:p>
      <w:pPr>
        <w:spacing w:line="600" w:lineRule="exact"/>
        <w:ind w:firstLine="600" w:firstLineChars="200"/>
        <w:rPr>
          <w:rFonts w:hint="eastAsia" w:ascii="仿宋_GB2312"/>
          <w:lang w:val="en-US" w:eastAsia="zh-CN"/>
        </w:rPr>
      </w:pPr>
      <w:r>
        <w:rPr>
          <w:rFonts w:hint="eastAsia" w:ascii="仿宋_GB2312"/>
          <w:lang w:val="en-US" w:eastAsia="zh-CN"/>
        </w:rPr>
        <w:t xml:space="preserve">1、制定绩效计划。 </w:t>
      </w:r>
    </w:p>
    <w:p>
      <w:pPr>
        <w:spacing w:line="600" w:lineRule="exact"/>
        <w:ind w:firstLine="600" w:firstLineChars="200"/>
        <w:rPr>
          <w:rFonts w:hint="eastAsia" w:ascii="仿宋_GB2312"/>
          <w:lang w:val="en-US" w:eastAsia="zh-CN"/>
        </w:rPr>
      </w:pPr>
      <w:r>
        <w:rPr>
          <w:rFonts w:hint="eastAsia" w:ascii="仿宋_GB2312"/>
          <w:lang w:val="en-US" w:eastAsia="zh-CN"/>
        </w:rPr>
        <w:t>2、持续沟通。</w:t>
      </w:r>
    </w:p>
    <w:p>
      <w:pPr>
        <w:numPr>
          <w:ilvl w:val="0"/>
          <w:numId w:val="0"/>
        </w:numPr>
        <w:spacing w:line="600" w:lineRule="exact"/>
        <w:rPr>
          <w:rFonts w:hint="eastAsia" w:ascii="仿宋_GB2312" w:eastAsia="仿宋_GB2312"/>
          <w:lang w:val="en-US" w:eastAsia="zh-CN"/>
        </w:rPr>
      </w:pPr>
      <w:r>
        <w:rPr>
          <w:rFonts w:hint="eastAsia" w:ascii="仿宋_GB2312"/>
          <w:lang w:val="en-US" w:eastAsia="zh-CN"/>
        </w:rPr>
        <w:t xml:space="preserve">    3、实施绩效评价。</w:t>
      </w:r>
    </w:p>
    <w:p>
      <w:pPr>
        <w:numPr>
          <w:ilvl w:val="0"/>
          <w:numId w:val="0"/>
        </w:numPr>
        <w:spacing w:line="600" w:lineRule="exact"/>
        <w:ind w:firstLine="600" w:firstLineChars="200"/>
        <w:rPr>
          <w:rFonts w:hint="eastAsia" w:ascii="仿宋_GB2312"/>
        </w:rPr>
      </w:pPr>
      <w:r>
        <w:rPr>
          <w:rFonts w:hint="eastAsia" w:ascii="黑体" w:hAnsi="黑体" w:eastAsia="黑体"/>
          <w:lang w:val="en-US" w:eastAsia="zh-CN"/>
        </w:rPr>
        <w:t>三、</w:t>
      </w:r>
      <w:r>
        <w:rPr>
          <w:rFonts w:hint="eastAsia" w:ascii="黑体" w:hAnsi="黑体" w:eastAsia="黑体"/>
        </w:rPr>
        <w:t>综合评价情况及评价结论</w:t>
      </w:r>
      <w:r>
        <w:rPr>
          <w:rFonts w:hint="eastAsia" w:ascii="仿宋_GB2312"/>
        </w:rPr>
        <w:t>（附相关评分表）</w:t>
      </w:r>
    </w:p>
    <w:p>
      <w:pPr>
        <w:spacing w:line="600" w:lineRule="exact"/>
        <w:ind w:firstLine="600" w:firstLineChars="200"/>
        <w:outlineLvl w:val="0"/>
        <w:rPr>
          <w:rFonts w:hint="eastAsia" w:ascii="仿宋_GB2312"/>
        </w:rPr>
      </w:pPr>
      <w:r>
        <w:rPr>
          <w:rFonts w:hint="eastAsia" w:ascii="仿宋_GB2312"/>
          <w:lang w:val="en-US" w:eastAsia="zh-CN"/>
        </w:rPr>
        <w:t>根据专项绩效评定指标对各项目量化评价，协保退休人员个医疗金项目绩效评指标得分100分。</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outlineLvl w:val="0"/>
        <w:rPr>
          <w:rFonts w:hint="eastAsia" w:ascii="仿宋_GB2312"/>
        </w:rPr>
      </w:pPr>
      <w:r>
        <w:rPr>
          <w:rFonts w:hint="eastAsia" w:ascii="仿宋_GB2312"/>
        </w:rPr>
        <w:t>（一）项目决策情况。</w:t>
      </w:r>
    </w:p>
    <w:p>
      <w:pPr>
        <w:numPr>
          <w:ilvl w:val="0"/>
          <w:numId w:val="0"/>
        </w:numPr>
        <w:spacing w:line="600" w:lineRule="exact"/>
        <w:ind w:firstLine="640"/>
        <w:outlineLvl w:val="0"/>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cs="仿宋_GB2312"/>
          <w:i w:val="0"/>
          <w:iCs w:val="0"/>
          <w:caps w:val="0"/>
          <w:color w:val="333333"/>
          <w:spacing w:val="0"/>
          <w:sz w:val="32"/>
          <w:szCs w:val="32"/>
          <w:shd w:val="clear" w:fill="FFFFFF"/>
          <w:lang w:val="en-US" w:eastAsia="zh-CN"/>
        </w:rPr>
        <w:t>凤台县国有资产监督管理委员会</w:t>
      </w:r>
      <w:r>
        <w:rPr>
          <w:rFonts w:hint="eastAsia" w:ascii="仿宋_GB2312" w:hAnsi="仿宋_GB2312" w:eastAsia="仿宋_GB2312" w:cs="仿宋_GB2312"/>
          <w:i w:val="0"/>
          <w:iCs w:val="0"/>
          <w:caps w:val="0"/>
          <w:color w:val="333333"/>
          <w:spacing w:val="0"/>
          <w:sz w:val="32"/>
          <w:szCs w:val="32"/>
          <w:shd w:val="clear" w:fill="FFFFFF"/>
          <w:lang w:eastAsia="zh-CN"/>
        </w:rPr>
        <w:t>项目决策在</w:t>
      </w:r>
      <w:r>
        <w:rPr>
          <w:rFonts w:hint="eastAsia" w:ascii="仿宋_GB2312" w:hAnsi="仿宋_GB2312" w:eastAsia="仿宋_GB2312" w:cs="仿宋_GB2312"/>
          <w:i w:val="0"/>
          <w:iCs w:val="0"/>
          <w:caps w:val="0"/>
          <w:color w:val="333333"/>
          <w:spacing w:val="0"/>
          <w:sz w:val="32"/>
          <w:szCs w:val="32"/>
          <w:shd w:val="clear" w:fill="FFFFFF"/>
        </w:rPr>
        <w:t>科学的理论和方法指导下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进行细致深入调查和论证，作出科学决策</w:t>
      </w:r>
      <w:r>
        <w:rPr>
          <w:rFonts w:hint="eastAsia" w:ascii="仿宋_GB2312" w:hAnsi="仿宋_GB2312" w:eastAsia="仿宋_GB2312" w:cs="仿宋_GB2312"/>
          <w:i w:val="0"/>
          <w:iCs w:val="0"/>
          <w:caps w:val="0"/>
          <w:color w:val="333333"/>
          <w:spacing w:val="0"/>
          <w:sz w:val="32"/>
          <w:szCs w:val="32"/>
          <w:shd w:val="clear" w:fill="FFFFFF"/>
          <w:lang w:eastAsia="zh-CN"/>
        </w:rPr>
        <w:t>。</w:t>
      </w:r>
    </w:p>
    <w:p>
      <w:pPr>
        <w:numPr>
          <w:ilvl w:val="0"/>
          <w:numId w:val="0"/>
        </w:numPr>
        <w:spacing w:line="600" w:lineRule="exact"/>
        <w:ind w:firstLine="640"/>
        <w:outlineLvl w:val="0"/>
        <w:rPr>
          <w:rFonts w:hint="eastAsia" w:ascii="仿宋_GB2312"/>
        </w:rPr>
      </w:pPr>
      <w:r>
        <w:rPr>
          <w:rFonts w:hint="eastAsia" w:ascii="仿宋_GB2312"/>
          <w:lang w:eastAsia="zh-CN"/>
        </w:rPr>
        <w:t>（</w:t>
      </w:r>
      <w:r>
        <w:rPr>
          <w:rFonts w:hint="eastAsia" w:ascii="仿宋_GB2312"/>
          <w:lang w:val="en-US" w:eastAsia="zh-CN"/>
        </w:rPr>
        <w:t>二</w:t>
      </w:r>
      <w:r>
        <w:rPr>
          <w:rFonts w:hint="eastAsia" w:ascii="仿宋_GB2312"/>
          <w:lang w:eastAsia="zh-CN"/>
        </w:rPr>
        <w:t>）</w:t>
      </w:r>
      <w:r>
        <w:rPr>
          <w:rFonts w:hint="eastAsia" w:ascii="仿宋_GB2312"/>
        </w:rPr>
        <w:t>项目过程情况。</w:t>
      </w:r>
    </w:p>
    <w:p>
      <w:pPr>
        <w:spacing w:line="600" w:lineRule="exact"/>
        <w:ind w:firstLine="600" w:firstLineChars="200"/>
        <w:outlineLvl w:val="0"/>
        <w:rPr>
          <w:rFonts w:hint="eastAsia" w:ascii="仿宋_GB2312"/>
        </w:rPr>
      </w:pPr>
      <w:r>
        <w:rPr>
          <w:rFonts w:hint="eastAsia" w:ascii="仿宋_GB2312"/>
          <w:lang w:eastAsia="zh-CN"/>
        </w:rPr>
        <w:t>按照实际发生情况拨付协保退休人员</w:t>
      </w:r>
      <w:r>
        <w:rPr>
          <w:rFonts w:hint="eastAsia" w:ascii="仿宋_GB2312"/>
          <w:lang w:val="en-US" w:eastAsia="zh-CN"/>
        </w:rPr>
        <w:t>医疗</w:t>
      </w:r>
      <w:r>
        <w:rPr>
          <w:rFonts w:hint="eastAsia" w:ascii="仿宋_GB2312"/>
          <w:lang w:eastAsia="zh-CN"/>
        </w:rPr>
        <w:t>金经费，督促资金使用单位</w:t>
      </w:r>
      <w:r>
        <w:rPr>
          <w:rFonts w:hint="eastAsia" w:ascii="仿宋_GB2312"/>
          <w:lang w:val="en-US" w:eastAsia="zh-CN"/>
        </w:rPr>
        <w:t>合理、规范、精准，充分发挥资金的使用效益，</w:t>
      </w:r>
      <w:r>
        <w:rPr>
          <w:rFonts w:hint="eastAsia" w:ascii="仿宋_GB2312"/>
        </w:rPr>
        <w:t>常态化机制成功实施。该资金严格遵守</w:t>
      </w:r>
      <w:r>
        <w:rPr>
          <w:rFonts w:hint="eastAsia" w:ascii="仿宋_GB2312"/>
          <w:lang w:eastAsia="zh-CN"/>
        </w:rPr>
        <w:t>项目资金管理规定，</w:t>
      </w:r>
      <w:r>
        <w:rPr>
          <w:rFonts w:hint="eastAsia" w:ascii="仿宋_GB2312"/>
        </w:rPr>
        <w:t>坚持专款专用，将资金用于</w:t>
      </w:r>
      <w:r>
        <w:rPr>
          <w:rFonts w:hint="eastAsia" w:ascii="仿宋_GB2312"/>
          <w:lang w:eastAsia="zh-CN"/>
        </w:rPr>
        <w:t>协保退休人员欠缴养老金</w:t>
      </w:r>
      <w:r>
        <w:rPr>
          <w:rFonts w:hint="eastAsia" w:ascii="仿宋_GB2312"/>
        </w:rPr>
        <w:t>等方面</w:t>
      </w:r>
      <w:r>
        <w:rPr>
          <w:rFonts w:hint="eastAsia" w:ascii="仿宋_GB2312"/>
          <w:lang w:eastAsia="zh-CN"/>
        </w:rPr>
        <w:t>支出</w:t>
      </w:r>
      <w:r>
        <w:rPr>
          <w:rFonts w:hint="eastAsia" w:ascii="仿宋_GB2312"/>
        </w:rPr>
        <w:t>。</w:t>
      </w:r>
    </w:p>
    <w:p>
      <w:pPr>
        <w:numPr>
          <w:ilvl w:val="0"/>
          <w:numId w:val="2"/>
        </w:numPr>
        <w:spacing w:line="600" w:lineRule="exact"/>
        <w:ind w:firstLine="600" w:firstLineChars="200"/>
        <w:outlineLvl w:val="0"/>
        <w:rPr>
          <w:rFonts w:hint="eastAsia" w:ascii="仿宋_GB2312"/>
        </w:rPr>
      </w:pPr>
      <w:r>
        <w:rPr>
          <w:rFonts w:hint="eastAsia" w:ascii="仿宋_GB2312"/>
        </w:rPr>
        <w:t>项目产出情况。</w:t>
      </w:r>
    </w:p>
    <w:p>
      <w:pPr>
        <w:spacing w:line="600" w:lineRule="exact"/>
        <w:ind w:firstLine="600" w:firstLineChars="200"/>
        <w:outlineLvl w:val="0"/>
        <w:rPr>
          <w:rFonts w:hint="eastAsia" w:ascii="仿宋_GB2312"/>
          <w:lang w:val="en-US" w:eastAsia="zh-CN"/>
        </w:rPr>
      </w:pPr>
      <w:r>
        <w:rPr>
          <w:rFonts w:hint="eastAsia" w:ascii="仿宋_GB2312"/>
        </w:rPr>
        <w:t>1、</w:t>
      </w:r>
      <w:r>
        <w:rPr>
          <w:rFonts w:hint="eastAsia" w:ascii="仿宋_GB2312"/>
          <w:lang w:eastAsia="zh-CN"/>
        </w:rPr>
        <w:t>数量指标：全年执行</w:t>
      </w:r>
      <w:r>
        <w:rPr>
          <w:rFonts w:hint="eastAsia" w:ascii="仿宋_GB2312"/>
          <w:lang w:val="en-US" w:eastAsia="zh-CN"/>
        </w:rPr>
        <w:t>12个月，全年拨付580.75万元，全年实际完成100%，全年按照实际工作需要实施资金拨付工作，下一步将进一步督促资金使用范围和力度。</w:t>
      </w:r>
    </w:p>
    <w:p>
      <w:pPr>
        <w:spacing w:line="600" w:lineRule="exact"/>
        <w:ind w:firstLine="600" w:firstLineChars="200"/>
        <w:outlineLvl w:val="0"/>
        <w:rPr>
          <w:rFonts w:hint="eastAsia" w:ascii="仿宋_GB2312"/>
        </w:rPr>
      </w:pPr>
      <w:r>
        <w:rPr>
          <w:rFonts w:hint="eastAsia" w:ascii="仿宋_GB2312"/>
        </w:rPr>
        <w:t>2、</w:t>
      </w:r>
      <w:r>
        <w:rPr>
          <w:rFonts w:hint="eastAsia" w:ascii="仿宋_GB2312"/>
          <w:lang w:eastAsia="zh-CN"/>
        </w:rPr>
        <w:t>质量指标</w:t>
      </w:r>
      <w:r>
        <w:rPr>
          <w:rFonts w:hint="eastAsia" w:ascii="仿宋_GB2312"/>
        </w:rPr>
        <w:t>：</w:t>
      </w:r>
      <w:r>
        <w:rPr>
          <w:rFonts w:hint="eastAsia" w:ascii="仿宋_GB2312"/>
          <w:lang w:val="en-US" w:eastAsia="zh-CN"/>
        </w:rPr>
        <w:t>严格执行相关法规、制度，确保</w:t>
      </w:r>
      <w:r>
        <w:rPr>
          <w:rFonts w:hint="eastAsia" w:ascii="仿宋_GB2312"/>
          <w:lang w:eastAsia="zh-CN"/>
        </w:rPr>
        <w:t>工作</w:t>
      </w:r>
      <w:r>
        <w:rPr>
          <w:rFonts w:hint="eastAsia" w:ascii="仿宋_GB2312"/>
          <w:lang w:val="en-US" w:eastAsia="zh-CN"/>
        </w:rPr>
        <w:t>及时有效开展。</w:t>
      </w:r>
    </w:p>
    <w:p>
      <w:pPr>
        <w:spacing w:line="600" w:lineRule="exact"/>
        <w:ind w:firstLine="600" w:firstLineChars="200"/>
        <w:outlineLvl w:val="0"/>
        <w:rPr>
          <w:rFonts w:hint="default" w:ascii="仿宋_GB2312"/>
          <w:lang w:val="en-US" w:eastAsia="zh-CN"/>
        </w:rPr>
      </w:pPr>
      <w:r>
        <w:rPr>
          <w:rFonts w:hint="eastAsia" w:ascii="仿宋_GB2312"/>
        </w:rPr>
        <w:t>3、</w:t>
      </w:r>
      <w:r>
        <w:rPr>
          <w:rFonts w:hint="eastAsia" w:ascii="仿宋_GB2312"/>
          <w:lang w:eastAsia="zh-CN"/>
        </w:rPr>
        <w:t>时效指标：按年度计划于</w:t>
      </w:r>
      <w:r>
        <w:rPr>
          <w:rFonts w:hint="eastAsia" w:ascii="仿宋_GB2312"/>
          <w:lang w:val="en-US" w:eastAsia="zh-CN"/>
        </w:rPr>
        <w:t>2022年12月31日前完成。</w:t>
      </w:r>
    </w:p>
    <w:p>
      <w:pPr>
        <w:spacing w:line="600" w:lineRule="exact"/>
        <w:ind w:firstLine="600" w:firstLineChars="200"/>
        <w:outlineLvl w:val="0"/>
        <w:rPr>
          <w:rFonts w:hint="eastAsia" w:ascii="仿宋_GB2312"/>
        </w:rPr>
      </w:pPr>
      <w:r>
        <w:rPr>
          <w:rFonts w:hint="eastAsia" w:ascii="仿宋_GB2312"/>
        </w:rPr>
        <w:t>4、</w:t>
      </w:r>
      <w:r>
        <w:rPr>
          <w:rFonts w:hint="eastAsia" w:ascii="仿宋_GB2312"/>
          <w:lang w:eastAsia="zh-CN"/>
        </w:rPr>
        <w:t>成本指标：</w:t>
      </w:r>
      <w:r>
        <w:rPr>
          <w:rFonts w:hint="eastAsia" w:ascii="仿宋_GB2312"/>
          <w:lang w:val="en-US" w:eastAsia="zh-CN"/>
        </w:rPr>
        <w:t>580.75万元，2022年度已支付580.75万元，全年实际完成100%。</w:t>
      </w:r>
    </w:p>
    <w:p>
      <w:pPr>
        <w:spacing w:line="600" w:lineRule="exact"/>
        <w:ind w:firstLine="600" w:firstLineChars="200"/>
        <w:outlineLvl w:val="0"/>
        <w:rPr>
          <w:rFonts w:hint="eastAsia" w:ascii="仿宋_GB2312"/>
        </w:rPr>
      </w:pPr>
      <w:r>
        <w:rPr>
          <w:rFonts w:hint="eastAsia" w:ascii="仿宋_GB2312"/>
        </w:rPr>
        <w:t>（四）项目效益情况。</w:t>
      </w:r>
    </w:p>
    <w:p>
      <w:pPr>
        <w:spacing w:line="600" w:lineRule="exact"/>
        <w:ind w:firstLine="600" w:firstLineChars="200"/>
        <w:outlineLvl w:val="0"/>
        <w:rPr>
          <w:rFonts w:hint="eastAsia" w:ascii="仿宋_GB2312"/>
          <w:lang w:eastAsia="zh-CN"/>
        </w:rPr>
      </w:pPr>
      <w:r>
        <w:rPr>
          <w:rFonts w:hint="eastAsia" w:ascii="仿宋_GB2312"/>
          <w:lang w:val="en-US" w:eastAsia="zh-CN"/>
        </w:rPr>
        <w:t>1</w:t>
      </w:r>
      <w:r>
        <w:rPr>
          <w:rFonts w:hint="eastAsia" w:ascii="仿宋_GB2312"/>
        </w:rPr>
        <w:t>、</w:t>
      </w:r>
      <w:r>
        <w:rPr>
          <w:rFonts w:hint="eastAsia" w:ascii="仿宋_GB2312"/>
          <w:lang w:eastAsia="zh-CN"/>
        </w:rPr>
        <w:t>经济效益指标：通过</w:t>
      </w:r>
      <w:r>
        <w:rPr>
          <w:rFonts w:hint="eastAsia" w:ascii="仿宋_GB2312"/>
          <w:lang w:val="en-US" w:eastAsia="zh-CN"/>
        </w:rPr>
        <w:t>资金拨付，</w:t>
      </w:r>
      <w:r>
        <w:rPr>
          <w:rFonts w:hint="eastAsia" w:ascii="仿宋_GB2312"/>
          <w:lang w:eastAsia="zh-CN"/>
        </w:rPr>
        <w:t>保障协保改制人员顺利退休。</w:t>
      </w:r>
    </w:p>
    <w:p>
      <w:pPr>
        <w:spacing w:line="600" w:lineRule="exact"/>
        <w:ind w:firstLine="600" w:firstLineChars="200"/>
        <w:outlineLvl w:val="0"/>
        <w:rPr>
          <w:rFonts w:hint="eastAsia" w:ascii="仿宋_GB2312"/>
          <w:lang w:eastAsia="zh-CN"/>
        </w:rPr>
      </w:pPr>
      <w:r>
        <w:rPr>
          <w:rFonts w:hint="eastAsia" w:ascii="仿宋_GB2312"/>
          <w:lang w:val="en-US" w:eastAsia="zh-CN"/>
        </w:rPr>
        <w:t>2</w:t>
      </w:r>
      <w:r>
        <w:rPr>
          <w:rFonts w:hint="eastAsia" w:ascii="仿宋_GB2312"/>
          <w:lang w:eastAsia="zh-CN"/>
        </w:rPr>
        <w:t>、社会效益指标：提高协保退休人员生活水平，促进和谐社会发展</w:t>
      </w:r>
      <w:r>
        <w:rPr>
          <w:rFonts w:hint="eastAsia" w:ascii="仿宋_GB2312"/>
          <w:lang w:val="en-US" w:eastAsia="zh-CN"/>
        </w:rPr>
        <w:t>。</w:t>
      </w:r>
    </w:p>
    <w:p>
      <w:pPr>
        <w:spacing w:line="600" w:lineRule="exact"/>
        <w:ind w:firstLine="600" w:firstLineChars="200"/>
        <w:outlineLvl w:val="0"/>
        <w:rPr>
          <w:rFonts w:hint="eastAsia" w:ascii="仿宋_GB2312"/>
          <w:lang w:eastAsia="zh-CN"/>
        </w:rPr>
      </w:pPr>
      <w:r>
        <w:rPr>
          <w:rFonts w:hint="eastAsia" w:ascii="仿宋_GB2312"/>
          <w:lang w:val="en-US" w:eastAsia="zh-CN"/>
        </w:rPr>
        <w:t>3</w:t>
      </w:r>
      <w:r>
        <w:rPr>
          <w:rFonts w:hint="eastAsia" w:ascii="仿宋_GB2312"/>
        </w:rPr>
        <w:t>、</w:t>
      </w:r>
      <w:r>
        <w:rPr>
          <w:rFonts w:hint="eastAsia" w:ascii="仿宋_GB2312"/>
          <w:lang w:eastAsia="zh-CN"/>
        </w:rPr>
        <w:t>生态效益指标：妥善安置职工，维护社会和谐稳定</w:t>
      </w:r>
      <w:r>
        <w:rPr>
          <w:rFonts w:hint="eastAsia" w:ascii="仿宋_GB2312"/>
          <w:lang w:val="en-US" w:eastAsia="zh-CN"/>
        </w:rPr>
        <w:t>。</w:t>
      </w:r>
    </w:p>
    <w:p>
      <w:pPr>
        <w:spacing w:line="600" w:lineRule="exact"/>
        <w:ind w:firstLine="600" w:firstLineChars="200"/>
        <w:outlineLvl w:val="0"/>
        <w:rPr>
          <w:rFonts w:hint="eastAsia" w:ascii="仿宋_GB2312"/>
        </w:rPr>
      </w:pPr>
      <w:r>
        <w:rPr>
          <w:rFonts w:hint="eastAsia" w:ascii="仿宋_GB2312"/>
          <w:lang w:val="en-US" w:eastAsia="zh-CN"/>
        </w:rPr>
        <w:t>4</w:t>
      </w:r>
      <w:r>
        <w:rPr>
          <w:rFonts w:hint="eastAsia" w:ascii="仿宋_GB2312"/>
        </w:rPr>
        <w:t>、</w:t>
      </w:r>
      <w:r>
        <w:rPr>
          <w:rFonts w:hint="eastAsia" w:ascii="仿宋_GB2312"/>
          <w:lang w:eastAsia="zh-CN"/>
        </w:rPr>
        <w:t>可持续影响指标：规范预算执行，严肃财经纪律，发挥资金效益，为协保职工利益提供长期保障</w:t>
      </w:r>
      <w:r>
        <w:rPr>
          <w:rFonts w:hint="eastAsia" w:ascii="仿宋_GB2312"/>
          <w:lang w:val="en-US" w:eastAsia="zh-CN"/>
        </w:rPr>
        <w:t>。</w:t>
      </w:r>
    </w:p>
    <w:p>
      <w:pPr>
        <w:spacing w:line="600" w:lineRule="exact"/>
        <w:ind w:firstLine="600" w:firstLineChars="200"/>
        <w:rPr>
          <w:rFonts w:hint="eastAsia" w:ascii="黑体" w:hAnsi="黑体" w:eastAsia="黑体"/>
        </w:rPr>
      </w:pPr>
      <w:r>
        <w:rPr>
          <w:rFonts w:hint="eastAsia" w:ascii="黑体" w:hAnsi="黑体" w:eastAsia="黑体"/>
        </w:rPr>
        <w:t>五、主要经验及做法、存在的问题及原因分析</w:t>
      </w:r>
    </w:p>
    <w:p>
      <w:pPr>
        <w:spacing w:line="600" w:lineRule="exact"/>
        <w:ind w:firstLine="600" w:firstLineChars="200"/>
        <w:outlineLvl w:val="0"/>
        <w:rPr>
          <w:rFonts w:hint="eastAsia" w:ascii="仿宋_GB2312"/>
          <w:lang w:val="en-US" w:eastAsia="zh-CN"/>
        </w:rPr>
      </w:pPr>
      <w:r>
        <w:rPr>
          <w:rFonts w:hint="eastAsia" w:ascii="仿宋_GB2312"/>
          <w:lang w:val="en-US" w:eastAsia="zh-CN"/>
        </w:rPr>
        <w:t>1、因政策变更、协保职工死亡等不确定因素，无法准确把握第二年协保退休人员补缴金额，导致可能出现预算金额不足或预算金额结余，年初绩效目标已经偏离项目实际情况，不适用于后续的监控和评价。</w:t>
      </w:r>
    </w:p>
    <w:p>
      <w:pPr>
        <w:spacing w:line="600" w:lineRule="exact"/>
        <w:ind w:firstLine="600" w:firstLineChars="200"/>
        <w:outlineLvl w:val="0"/>
        <w:rPr>
          <w:rFonts w:hint="eastAsia" w:ascii="仿宋_GB2312"/>
          <w:lang w:val="en-US" w:eastAsia="zh-CN"/>
        </w:rPr>
      </w:pPr>
      <w:r>
        <w:rPr>
          <w:rFonts w:hint="eastAsia" w:ascii="仿宋_GB2312"/>
          <w:lang w:val="en-US" w:eastAsia="zh-CN"/>
        </w:rPr>
        <w:t>2、绩效目标只是笼统用百分比来制定，当年完成率没有对比值或具体数值。指标设置不够明晰、细化，不便于考核和对后期工作的指导。</w:t>
      </w:r>
    </w:p>
    <w:p>
      <w:pPr>
        <w:numPr>
          <w:ilvl w:val="0"/>
          <w:numId w:val="0"/>
        </w:numPr>
        <w:spacing w:line="600" w:lineRule="exact"/>
        <w:ind w:firstLine="600" w:firstLineChars="200"/>
        <w:rPr>
          <w:rFonts w:hint="eastAsia" w:ascii="黑体" w:hAnsi="黑体" w:eastAsia="黑体"/>
        </w:rPr>
      </w:pPr>
      <w:r>
        <w:rPr>
          <w:rFonts w:hint="eastAsia" w:ascii="黑体" w:hAnsi="黑体" w:eastAsia="黑体"/>
          <w:lang w:val="en-US" w:eastAsia="zh-CN"/>
        </w:rPr>
        <w:t>六、</w:t>
      </w:r>
      <w:r>
        <w:rPr>
          <w:rFonts w:hint="eastAsia" w:ascii="黑体" w:hAnsi="黑体" w:eastAsia="黑体"/>
        </w:rPr>
        <w:t>有关建议</w:t>
      </w:r>
    </w:p>
    <w:p>
      <w:pPr>
        <w:spacing w:line="600" w:lineRule="exact"/>
        <w:ind w:firstLine="600" w:firstLineChars="200"/>
        <w:outlineLvl w:val="0"/>
        <w:rPr>
          <w:rFonts w:hint="eastAsia" w:ascii="黑体" w:hAnsi="黑体" w:eastAsia="黑体"/>
        </w:rPr>
      </w:pPr>
      <w:r>
        <w:rPr>
          <w:rFonts w:hint="eastAsia" w:ascii="仿宋_GB2312"/>
          <w:lang w:val="en-US" w:eastAsia="zh-CN"/>
        </w:rPr>
        <w:t>建议项目单位应加强预算申报管理、专项资金核算及监督管理，项目资金应设置专账核算；建议财政部门加强对专项资金使用情况的监督检查。建议规范和加强项目档案管理工作。</w:t>
      </w:r>
    </w:p>
    <w:p>
      <w:pPr>
        <w:numPr>
          <w:ilvl w:val="0"/>
          <w:numId w:val="0"/>
        </w:numPr>
        <w:spacing w:line="600" w:lineRule="exact"/>
        <w:ind w:firstLine="600" w:firstLineChars="200"/>
        <w:rPr>
          <w:rFonts w:hint="eastAsia" w:ascii="黑体" w:hAnsi="黑体" w:eastAsia="黑体"/>
        </w:rPr>
      </w:pPr>
      <w:r>
        <w:rPr>
          <w:rFonts w:hint="eastAsia" w:ascii="黑体" w:hAnsi="黑体" w:eastAsia="黑体"/>
          <w:lang w:val="en-US" w:eastAsia="zh-CN"/>
        </w:rPr>
        <w:t>七、</w:t>
      </w:r>
      <w:r>
        <w:rPr>
          <w:rFonts w:hint="eastAsia" w:ascii="黑体" w:hAnsi="黑体" w:eastAsia="黑体"/>
        </w:rPr>
        <w:t>其他需要说明的问题</w:t>
      </w:r>
    </w:p>
    <w:p>
      <w:pPr>
        <w:spacing w:line="600" w:lineRule="exact"/>
        <w:ind w:firstLine="600" w:firstLineChars="200"/>
        <w:outlineLvl w:val="0"/>
        <w:rPr>
          <w:rFonts w:hint="eastAsia" w:ascii="仿宋_GB2312"/>
          <w:lang w:val="en-US" w:eastAsia="zh-CN"/>
        </w:rPr>
      </w:pPr>
      <w:r>
        <w:rPr>
          <w:rFonts w:hint="eastAsia" w:ascii="仿宋_GB2312"/>
          <w:lang w:val="en-US" w:eastAsia="zh-CN"/>
        </w:rPr>
        <w:t>目前并未发现存在其他问题。</w:t>
      </w:r>
    </w:p>
    <w:p>
      <w:pPr>
        <w:spacing w:line="600" w:lineRule="exact"/>
        <w:ind w:firstLine="600" w:firstLineChars="200"/>
        <w:jc w:val="both"/>
        <w:outlineLvl w:val="0"/>
        <w:rPr>
          <w:rFonts w:hint="eastAsia" w:ascii="仿宋_GB2312"/>
          <w:lang w:val="en-US" w:eastAsia="zh-CN"/>
        </w:rPr>
      </w:pPr>
    </w:p>
    <w:p>
      <w:pPr>
        <w:spacing w:line="600" w:lineRule="exact"/>
        <w:ind w:firstLine="600" w:firstLineChars="200"/>
        <w:jc w:val="both"/>
        <w:outlineLvl w:val="0"/>
        <w:rPr>
          <w:rFonts w:hint="eastAsia" w:ascii="仿宋_GB2312"/>
          <w:lang w:val="en-US" w:eastAsia="zh-CN"/>
        </w:rPr>
      </w:pPr>
    </w:p>
    <w:tbl>
      <w:tblPr>
        <w:tblStyle w:val="4"/>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58"/>
        <w:gridCol w:w="493"/>
        <w:gridCol w:w="101"/>
        <w:gridCol w:w="739"/>
        <w:gridCol w:w="467"/>
        <w:gridCol w:w="814"/>
        <w:gridCol w:w="805"/>
        <w:gridCol w:w="893"/>
        <w:gridCol w:w="903"/>
        <w:gridCol w:w="901"/>
        <w:gridCol w:w="442"/>
        <w:gridCol w:w="632"/>
        <w:gridCol w:w="899"/>
        <w:gridCol w:w="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398" w:hRule="atLeast"/>
        </w:trPr>
        <w:tc>
          <w:tcPr>
            <w:tcW w:w="8747" w:type="dxa"/>
            <w:gridSpan w:val="13"/>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Style w:val="16"/>
                <w:lang w:val="en-US" w:eastAsia="zh-CN" w:bidi="ar"/>
              </w:rPr>
              <w:t>项目支出绩效自评表</w:t>
            </w:r>
            <w:r>
              <w:rPr>
                <w:rStyle w:val="17"/>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208" w:hRule="atLeast"/>
        </w:trPr>
        <w:tc>
          <w:tcPr>
            <w:tcW w:w="8747" w:type="dxa"/>
            <w:gridSpan w:val="13"/>
            <w:tcBorders>
              <w:bottom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214" w:hRule="atLeast"/>
        </w:trPr>
        <w:tc>
          <w:tcPr>
            <w:tcW w:w="11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596"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国资收益返还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214" w:hRule="atLeast"/>
        </w:trPr>
        <w:tc>
          <w:tcPr>
            <w:tcW w:w="115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81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凤台县财政局</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8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凤台县国有资产监督管理委员会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04" w:hRule="atLeast"/>
        </w:trPr>
        <w:tc>
          <w:tcPr>
            <w:tcW w:w="115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3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04" w:hRule="atLeast"/>
        </w:trPr>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120</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04" w:hRule="atLeast"/>
        </w:trPr>
        <w:tc>
          <w:tcPr>
            <w:tcW w:w="1252" w:type="dxa"/>
            <w:gridSpan w:val="3"/>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8"/>
                <w:lang w:val="en-US" w:eastAsia="zh-CN" w:bidi="ar"/>
              </w:rPr>
              <w:t xml:space="preserve"> </w:t>
            </w:r>
            <w:r>
              <w:rPr>
                <w:rStyle w:val="19"/>
                <w:lang w:val="en-US" w:eastAsia="zh-CN" w:bidi="ar"/>
              </w:rPr>
              <w:t>其中：本年财政拨款</w:t>
            </w:r>
          </w:p>
        </w:tc>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04" w:hRule="atLeast"/>
        </w:trPr>
        <w:tc>
          <w:tcPr>
            <w:tcW w:w="125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上年结转资金</w:t>
            </w:r>
          </w:p>
        </w:tc>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04" w:hRule="atLeast"/>
        </w:trPr>
        <w:tc>
          <w:tcPr>
            <w:tcW w:w="1252"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9"/>
                <w:lang w:val="en-US" w:eastAsia="zh-CN" w:bidi="ar"/>
              </w:rPr>
              <w:t xml:space="preserve"> 其他资金</w:t>
            </w:r>
          </w:p>
        </w:tc>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214" w:hRule="atLeast"/>
        </w:trPr>
        <w:tc>
          <w:tcPr>
            <w:tcW w:w="65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w:t>
            </w:r>
          </w:p>
        </w:tc>
        <w:tc>
          <w:tcPr>
            <w:tcW w:w="431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377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783" w:hRule="atLeast"/>
        </w:trPr>
        <w:tc>
          <w:tcPr>
            <w:tcW w:w="658"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312"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国有资产收益返还、国资委日常经费、市场服务公司人员工资和办公经费等、国有资产的维护维修支出。保障广大职工利益，促进业务正常开展，对国有资产进行维修维护，去除安全隐患，保障国有资产保值增值。</w:t>
            </w:r>
          </w:p>
        </w:tc>
        <w:tc>
          <w:tcPr>
            <w:tcW w:w="3777"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全面完成资金拨付，保障工作顺利开展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26" w:hRule="atLeast"/>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4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389"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(50分)</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指标1：全年运行12个月</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12个月</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353"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指标1：严格执行相关法规、制度</w:t>
            </w:r>
          </w:p>
        </w:tc>
        <w:tc>
          <w:tcPr>
            <w:tcW w:w="893" w:type="dxa"/>
            <w:tcBorders>
              <w:top w:val="single" w:color="000000" w:sz="4" w:space="0"/>
              <w:left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508"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指标1：按照年度完成计划指标拨付</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2022年12月31日前完成</w:t>
            </w:r>
          </w:p>
        </w:tc>
        <w:tc>
          <w:tcPr>
            <w:tcW w:w="903"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2022年12月31日前完成</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26"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指标1：全年预计拨付120万元</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120万元</w:t>
            </w:r>
          </w:p>
        </w:tc>
        <w:tc>
          <w:tcPr>
            <w:tcW w:w="903"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120万元</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62"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(30分)</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指标1：保障工作顺利开展</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03"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71"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指标1：提高职工生活水平，促进和谐社会发展</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03"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62"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指标1：保障国有资产保值增值                                                                                                                                                                                                                                                                                                                                                                                                                                                                                                                                      </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03"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462"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响指标</w:t>
            </w:r>
          </w:p>
        </w:tc>
        <w:tc>
          <w:tcPr>
            <w:tcW w:w="20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指标1：为职工利益提供长期保障，保障国有资产保值增值</w:t>
            </w:r>
          </w:p>
        </w:tc>
        <w:tc>
          <w:tcPr>
            <w:tcW w:w="8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影响程度明显</w:t>
            </w:r>
          </w:p>
        </w:tc>
        <w:tc>
          <w:tcPr>
            <w:tcW w:w="903"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达成预期指标</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594" w:hRule="atLeast"/>
        </w:trPr>
        <w:tc>
          <w:tcPr>
            <w:tcW w:w="658"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49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840"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2086"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指标1：职工满意度</w:t>
            </w:r>
          </w:p>
        </w:tc>
        <w:tc>
          <w:tcPr>
            <w:tcW w:w="89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6" w:type="dxa"/>
          <w:trHeight w:val="214" w:hRule="atLeast"/>
        </w:trPr>
        <w:tc>
          <w:tcPr>
            <w:tcW w:w="40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89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i w:val="0"/>
                <w:color w:val="000000"/>
                <w:sz w:val="20"/>
                <w:szCs w:val="20"/>
                <w:u w:val="none"/>
              </w:rPr>
            </w:pPr>
          </w:p>
        </w:tc>
        <w:tc>
          <w:tcPr>
            <w:tcW w:w="903" w:type="dxa"/>
            <w:tcBorders>
              <w:top w:val="single" w:color="000000" w:sz="4" w:space="0"/>
              <w:left w:val="single" w:color="auto" w:sz="4" w:space="0"/>
              <w:bottom w:val="single" w:color="000000" w:sz="4" w:space="0"/>
              <w:right w:val="single" w:color="000000" w:sz="4" w:space="0"/>
            </w:tcBorders>
            <w:vAlign w:val="center"/>
          </w:tcPr>
          <w:p>
            <w:pPr>
              <w:jc w:val="both"/>
              <w:rPr>
                <w:rFonts w:hint="eastAsia" w:ascii="宋体" w:hAnsi="宋体" w:eastAsia="宋体" w:cs="宋体"/>
                <w:b/>
                <w:i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4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trPr>
        <w:tc>
          <w:tcPr>
            <w:tcW w:w="8923" w:type="dxa"/>
            <w:gridSpan w:val="14"/>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w:t>
            </w:r>
            <w:r>
              <w:rPr>
                <w:rStyle w:val="15"/>
                <w:lang w:val="en-US" w:eastAsia="zh-CN" w:bidi="ar"/>
              </w:rPr>
              <w:t>.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8" w:hRule="atLeast"/>
        </w:trPr>
        <w:tc>
          <w:tcPr>
            <w:tcW w:w="8923" w:type="dxa"/>
            <w:gridSpan w:val="14"/>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1" w:hRule="atLeast"/>
        </w:trPr>
        <w:tc>
          <w:tcPr>
            <w:tcW w:w="8923" w:type="dxa"/>
            <w:gridSpan w:val="14"/>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该指标分值；定量指标得分最高不得超过该指标分值上限。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4.评价得分说明：说明全年实际值与年度指标值偏离情况（未达、持平、超额）。</w:t>
            </w:r>
          </w:p>
        </w:tc>
      </w:tr>
    </w:tbl>
    <w:p>
      <w:pPr>
        <w:spacing w:line="600" w:lineRule="exact"/>
        <w:ind w:firstLine="600" w:firstLineChars="200"/>
        <w:jc w:val="both"/>
        <w:outlineLvl w:val="0"/>
        <w:rPr>
          <w:rFonts w:hint="eastAsia" w:ascii="仿宋_GB2312"/>
          <w:lang w:val="en-US" w:eastAsia="zh-CN"/>
        </w:rPr>
      </w:pPr>
    </w:p>
    <w:p>
      <w:pPr>
        <w:jc w:val="center"/>
        <w:rPr>
          <w:rFonts w:hint="eastAsia" w:ascii="宋体" w:hAnsi="宋体" w:eastAsia="宋体" w:cs="Arial"/>
          <w:b/>
          <w:bCs/>
          <w:sz w:val="36"/>
          <w:szCs w:val="36"/>
          <w:lang w:eastAsia="zh-CN"/>
        </w:rPr>
      </w:pPr>
      <w:r>
        <w:rPr>
          <w:rFonts w:hint="eastAsia" w:ascii="宋体" w:hAnsi="宋体" w:eastAsia="宋体" w:cs="Arial"/>
          <w:b/>
          <w:bCs/>
          <w:sz w:val="36"/>
          <w:szCs w:val="36"/>
        </w:rPr>
        <w:t>项目支出</w:t>
      </w:r>
      <w:r>
        <w:rPr>
          <w:rFonts w:hint="eastAsia" w:ascii="宋体" w:hAnsi="宋体" w:eastAsia="宋体" w:cs="Arial"/>
          <w:b/>
          <w:bCs/>
          <w:sz w:val="36"/>
          <w:szCs w:val="36"/>
          <w:lang w:eastAsia="zh-CN"/>
        </w:rPr>
        <w:t>（</w:t>
      </w:r>
      <w:r>
        <w:rPr>
          <w:rFonts w:hint="eastAsia" w:ascii="宋体" w:hAnsi="宋体" w:eastAsia="宋体" w:cs="Arial"/>
          <w:b/>
          <w:bCs/>
          <w:sz w:val="36"/>
          <w:szCs w:val="36"/>
        </w:rPr>
        <w:t>国资委收益返还</w:t>
      </w:r>
      <w:r>
        <w:rPr>
          <w:rFonts w:hint="eastAsia" w:ascii="宋体" w:hAnsi="宋体" w:eastAsia="宋体" w:cs="Arial"/>
          <w:b/>
          <w:bCs/>
          <w:sz w:val="36"/>
          <w:szCs w:val="36"/>
          <w:lang w:eastAsia="zh-CN"/>
        </w:rPr>
        <w:t>）</w:t>
      </w:r>
    </w:p>
    <w:p>
      <w:pPr>
        <w:jc w:val="center"/>
        <w:rPr>
          <w:rFonts w:hint="eastAsia" w:ascii="黑体" w:hAnsi="黑体" w:eastAsia="黑体"/>
        </w:rPr>
      </w:pPr>
      <w:r>
        <w:rPr>
          <w:rFonts w:ascii="宋体" w:hAnsi="宋体" w:eastAsia="宋体" w:cs="Arial"/>
          <w:b/>
          <w:bCs/>
          <w:sz w:val="36"/>
          <w:szCs w:val="36"/>
        </w:rPr>
        <w:t>绩效</w:t>
      </w:r>
      <w:r>
        <w:rPr>
          <w:rFonts w:hint="eastAsia" w:ascii="宋体" w:hAnsi="宋体" w:eastAsia="宋体" w:cs="Arial"/>
          <w:b/>
          <w:bCs/>
          <w:sz w:val="36"/>
          <w:szCs w:val="36"/>
        </w:rPr>
        <w:t>评价报告</w:t>
      </w:r>
    </w:p>
    <w:p>
      <w:pPr>
        <w:spacing w:line="600" w:lineRule="exact"/>
        <w:ind w:firstLine="600" w:firstLineChars="200"/>
        <w:rPr>
          <w:rFonts w:ascii="黑体" w:hAnsi="黑体" w:eastAsia="黑体"/>
        </w:rPr>
      </w:pPr>
      <w:r>
        <w:rPr>
          <w:rFonts w:hint="eastAsia" w:ascii="黑体" w:hAnsi="黑体" w:eastAsia="黑体"/>
        </w:rPr>
        <w:t>一、基本情况</w:t>
      </w:r>
    </w:p>
    <w:p>
      <w:pPr>
        <w:spacing w:line="600" w:lineRule="exact"/>
        <w:ind w:firstLine="600" w:firstLineChars="200"/>
        <w:outlineLvl w:val="0"/>
        <w:rPr>
          <w:rFonts w:hint="eastAsia" w:ascii="仿宋_GB2312"/>
        </w:rPr>
      </w:pPr>
      <w:r>
        <w:rPr>
          <w:rFonts w:hint="eastAsia" w:ascii="仿宋_GB2312"/>
        </w:rPr>
        <w:t>（一）项目概况。</w:t>
      </w:r>
    </w:p>
    <w:p>
      <w:pPr>
        <w:spacing w:line="600" w:lineRule="exact"/>
        <w:ind w:firstLine="600" w:firstLineChars="200"/>
        <w:outlineLvl w:val="0"/>
        <w:rPr>
          <w:rFonts w:hint="eastAsia" w:ascii="仿宋_GB2312"/>
          <w:lang w:val="en-US" w:eastAsia="zh-CN"/>
        </w:rPr>
      </w:pPr>
      <w:r>
        <w:rPr>
          <w:rFonts w:hint="eastAsia" w:ascii="仿宋_GB2312"/>
          <w:lang w:val="en-US" w:eastAsia="zh-CN"/>
        </w:rPr>
        <w:t xml:space="preserve">根据凤台县人民政府2017年第18次县长办公会议纪要精神，国有资产经营收益缴税外的剩余部分全额缴入县财政非税专户。凤台县国有资产监督管理委员会日常经费、市场服务公司人员工资和办公室经费等，国有资产的维护维修所需支出纳入县财政预算管理，从以上缴入的非税收入中列支。通过资金拨付保障广大职工利益，促进业务正常开展，对国有资产进行维修维护，去除安全隐患，保障国有资产保值增值。 </w:t>
      </w:r>
    </w:p>
    <w:p>
      <w:pPr>
        <w:spacing w:line="600" w:lineRule="exact"/>
        <w:ind w:firstLine="600" w:firstLineChars="200"/>
        <w:outlineLvl w:val="0"/>
        <w:rPr>
          <w:rFonts w:hint="eastAsia" w:ascii="仿宋_GB2312"/>
          <w:lang w:val="en-US" w:eastAsia="zh-CN"/>
        </w:rPr>
      </w:pPr>
      <w:r>
        <w:rPr>
          <w:rFonts w:hint="eastAsia" w:ascii="仿宋_GB2312"/>
          <w:lang w:val="en-US" w:eastAsia="zh-CN"/>
        </w:rPr>
        <w:t>2022年度，凤台县国有资产监督管理委员会全年共计支付国资收益返还120万元，</w:t>
      </w:r>
      <w:r>
        <w:rPr>
          <w:rFonts w:hint="eastAsia" w:ascii="仿宋" w:hAnsi="仿宋" w:eastAsia="仿宋" w:cs="仿宋"/>
          <w:sz w:val="32"/>
          <w:szCs w:val="32"/>
          <w:lang w:val="en-US" w:eastAsia="zh-CN"/>
        </w:rPr>
        <w:t>充分发挥资金的使用效益，</w:t>
      </w:r>
      <w:r>
        <w:rPr>
          <w:rFonts w:hint="eastAsia" w:ascii="仿宋" w:hAnsi="仿宋" w:eastAsia="仿宋" w:cs="仿宋"/>
          <w:sz w:val="32"/>
          <w:szCs w:val="32"/>
        </w:rPr>
        <w:t>常态化机制成功实施。</w:t>
      </w:r>
      <w:r>
        <w:rPr>
          <w:rFonts w:hint="eastAsia" w:ascii="仿宋" w:hAnsi="仿宋" w:eastAsia="仿宋" w:cs="仿宋"/>
          <w:color w:val="000000"/>
          <w:sz w:val="32"/>
          <w:szCs w:val="32"/>
        </w:rPr>
        <w:t>该资金严格遵守</w:t>
      </w:r>
      <w:r>
        <w:rPr>
          <w:rFonts w:hint="eastAsia" w:ascii="仿宋" w:hAnsi="仿宋" w:eastAsia="仿宋" w:cs="仿宋"/>
          <w:color w:val="000000"/>
          <w:sz w:val="32"/>
          <w:szCs w:val="32"/>
          <w:lang w:eastAsia="zh-CN"/>
        </w:rPr>
        <w:t>项目资金管理规定，</w:t>
      </w:r>
      <w:r>
        <w:rPr>
          <w:rFonts w:hint="eastAsia" w:ascii="仿宋" w:hAnsi="仿宋" w:eastAsia="仿宋" w:cs="仿宋"/>
          <w:color w:val="000000"/>
          <w:sz w:val="32"/>
          <w:szCs w:val="32"/>
        </w:rPr>
        <w:t>坚持专款专用，将资金用于</w:t>
      </w:r>
      <w:r>
        <w:rPr>
          <w:rFonts w:hint="eastAsia" w:ascii="仿宋_GB2312"/>
          <w:lang w:val="en-US" w:eastAsia="zh-CN"/>
        </w:rPr>
        <w:t>国资委日常经费、市场服务公司人员工资和办公室经费等，国有资产进行维修维护等</w:t>
      </w:r>
      <w:r>
        <w:rPr>
          <w:rFonts w:hint="eastAsia" w:ascii="仿宋" w:hAnsi="仿宋" w:eastAsia="仿宋" w:cs="仿宋"/>
          <w:color w:val="000000"/>
          <w:sz w:val="32"/>
          <w:szCs w:val="32"/>
        </w:rPr>
        <w:t>方面</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w:t>
      </w:r>
    </w:p>
    <w:p>
      <w:pPr>
        <w:numPr>
          <w:ilvl w:val="0"/>
          <w:numId w:val="1"/>
        </w:numPr>
        <w:spacing w:line="600" w:lineRule="exact"/>
        <w:ind w:firstLine="600" w:firstLineChars="200"/>
        <w:rPr>
          <w:rFonts w:hint="eastAsia" w:ascii="仿宋_GB2312"/>
        </w:rPr>
      </w:pPr>
      <w:r>
        <w:rPr>
          <w:rFonts w:hint="eastAsia" w:ascii="仿宋_GB2312"/>
        </w:rPr>
        <w:t>项目绩效目标。</w:t>
      </w:r>
    </w:p>
    <w:p>
      <w:pPr>
        <w:numPr>
          <w:ilvl w:val="0"/>
          <w:numId w:val="0"/>
        </w:numPr>
        <w:spacing w:line="600" w:lineRule="exact"/>
        <w:rPr>
          <w:rFonts w:ascii="仿宋_GB2312"/>
        </w:rPr>
      </w:pPr>
      <w:r>
        <w:rPr>
          <w:rFonts w:hint="eastAsia" w:ascii="仿宋_GB2312"/>
          <w:lang w:val="en-US" w:eastAsia="zh-CN"/>
        </w:rPr>
        <w:t xml:space="preserve">     </w:t>
      </w:r>
      <w:r>
        <w:rPr>
          <w:rFonts w:hint="eastAsia" w:ascii="仿宋_GB2312"/>
        </w:rPr>
        <w:t>用于国有资产收益返还、国资委日常经费、市场服务公司人员工资和办公经费等、国有资产的维护维修支出。保障广大职工利益，促进业务正常开展，对国有资产进行维修维护，去除安全隐患，保障国有资产保值增值</w:t>
      </w:r>
      <w:r>
        <w:rPr>
          <w:rFonts w:hint="eastAsia" w:ascii="仿宋_GB2312"/>
          <w:lang w:val="en-US" w:eastAsia="zh-CN"/>
        </w:rPr>
        <w:t>。</w:t>
      </w:r>
    </w:p>
    <w:p>
      <w:pPr>
        <w:spacing w:line="600" w:lineRule="exact"/>
        <w:ind w:firstLine="600" w:firstLineChars="200"/>
        <w:rPr>
          <w:rFonts w:ascii="黑体" w:hAnsi="黑体" w:eastAsia="黑体"/>
        </w:rPr>
      </w:pPr>
      <w:r>
        <w:rPr>
          <w:rFonts w:hint="eastAsia" w:ascii="黑体" w:hAnsi="黑体" w:eastAsia="黑体"/>
        </w:rPr>
        <w:t>二、绩效评价工作开展情况</w:t>
      </w:r>
    </w:p>
    <w:p>
      <w:pPr>
        <w:spacing w:line="600" w:lineRule="exact"/>
        <w:ind w:firstLine="600" w:firstLineChars="200"/>
        <w:rPr>
          <w:rFonts w:hint="eastAsia" w:ascii="仿宋_GB2312"/>
        </w:rPr>
      </w:pPr>
      <w:r>
        <w:rPr>
          <w:rFonts w:hint="eastAsia" w:ascii="仿宋_GB2312"/>
        </w:rPr>
        <w:t>（一）绩效评价目的、对象和范围。</w:t>
      </w:r>
    </w:p>
    <w:p>
      <w:pPr>
        <w:spacing w:line="600" w:lineRule="exact"/>
        <w:ind w:firstLine="600" w:firstLineChars="200"/>
        <w:rPr>
          <w:rFonts w:hint="eastAsia" w:ascii="仿宋_GB2312"/>
          <w:lang w:val="en-US" w:eastAsia="zh-CN"/>
        </w:rPr>
      </w:pPr>
      <w:r>
        <w:rPr>
          <w:rFonts w:hint="eastAsia" w:ascii="仿宋_GB2312"/>
          <w:lang w:val="en-US" w:eastAsia="zh-CN"/>
        </w:rPr>
        <w:t>1、绩效评价目的：为了深入贯彻落实《中共中央国务院关于全面实施预算绩效管理的意见》和预算法及其实施条例的有关要求，</w:t>
      </w:r>
      <w:r>
        <w:rPr>
          <w:rFonts w:hint="eastAsia" w:ascii="仿宋_GB2312" w:hAnsi="仿宋_GB2312" w:eastAsia="仿宋_GB2312" w:cs="仿宋_GB2312"/>
          <w:sz w:val="32"/>
          <w:szCs w:val="32"/>
          <w:lang w:eastAsia="zh-CN"/>
        </w:rPr>
        <w:t>加强预算绩效管理，强化支出责任，建立科学、合理的财政支出绩效评价管理体系，提高财政资金使用效益</w:t>
      </w:r>
      <w:r>
        <w:rPr>
          <w:rFonts w:hint="eastAsia" w:ascii="仿宋_GB2312"/>
          <w:lang w:val="en-US" w:eastAsia="zh-CN"/>
        </w:rPr>
        <w:t>。</w:t>
      </w:r>
    </w:p>
    <w:p>
      <w:pPr>
        <w:spacing w:line="600" w:lineRule="exact"/>
        <w:ind w:firstLine="600" w:firstLineChars="200"/>
        <w:rPr>
          <w:rFonts w:hint="eastAsia" w:ascii="仿宋_GB2312"/>
          <w:lang w:val="en-US" w:eastAsia="zh-CN"/>
        </w:rPr>
      </w:pPr>
      <w:r>
        <w:rPr>
          <w:rFonts w:hint="eastAsia" w:ascii="仿宋_GB2312"/>
          <w:lang w:val="en-US" w:eastAsia="zh-CN"/>
        </w:rPr>
        <w:t>2、绩效评价对象：2022年度国资收益返还。</w:t>
      </w:r>
    </w:p>
    <w:p>
      <w:pPr>
        <w:spacing w:line="600" w:lineRule="exact"/>
        <w:ind w:firstLine="600" w:firstLineChars="200"/>
        <w:rPr>
          <w:rFonts w:hint="eastAsia" w:ascii="仿宋_GB2312"/>
          <w:lang w:val="en-US" w:eastAsia="zh-CN"/>
        </w:rPr>
      </w:pPr>
      <w:r>
        <w:rPr>
          <w:rFonts w:hint="eastAsia" w:ascii="仿宋_GB2312"/>
          <w:lang w:val="en-US" w:eastAsia="zh-CN"/>
        </w:rPr>
        <w:t>3、绩效评价范围：2022年度通过县级一般公共预算安排给各单位的项目资金。</w:t>
      </w:r>
    </w:p>
    <w:p>
      <w:pPr>
        <w:spacing w:line="600" w:lineRule="exact"/>
        <w:ind w:firstLine="600" w:firstLineChars="200"/>
        <w:rPr>
          <w:rFonts w:hint="eastAsia" w:ascii="仿宋_GB2312"/>
        </w:rPr>
      </w:pPr>
      <w:r>
        <w:rPr>
          <w:rFonts w:hint="eastAsia" w:ascii="仿宋_GB2312"/>
        </w:rPr>
        <w:t>（二）绩效评价原则、评价指标体系（附表说明）、评价方法、评价标准等。</w:t>
      </w:r>
    </w:p>
    <w:p>
      <w:pPr>
        <w:spacing w:line="600" w:lineRule="exact"/>
        <w:ind w:firstLine="600" w:firstLineChars="200"/>
        <w:rPr>
          <w:rFonts w:hint="eastAsia" w:ascii="仿宋_GB2312"/>
          <w:lang w:val="en-US" w:eastAsia="zh-CN"/>
        </w:rPr>
      </w:pPr>
      <w:r>
        <w:rPr>
          <w:rFonts w:hint="eastAsia" w:ascii="仿宋_GB2312"/>
          <w:lang w:val="en-US" w:eastAsia="zh-CN"/>
        </w:rPr>
        <w:t>1、</w:t>
      </w:r>
      <w:r>
        <w:rPr>
          <w:rFonts w:hint="eastAsia" w:ascii="仿宋_GB2312"/>
        </w:rPr>
        <w:t>绩效评价原则</w:t>
      </w:r>
      <w:r>
        <w:rPr>
          <w:rFonts w:hint="eastAsia" w:ascii="仿宋_GB2312"/>
          <w:lang w:eastAsia="zh-CN"/>
        </w:rPr>
        <w:t>：</w:t>
      </w:r>
      <w:r>
        <w:rPr>
          <w:rFonts w:hint="eastAsia" w:ascii="仿宋_GB2312"/>
          <w:lang w:val="en-US" w:eastAsia="zh-CN"/>
        </w:rPr>
        <w:t>根据不同类型的项目特点，实行分类评价，健全差异化绩效评价指标体系，绩效评价结果作为项目调整，后续支出的重要依据。在资源配置上体现绩效导向，切实提高项目经费的使用效益。</w:t>
      </w:r>
    </w:p>
    <w:p>
      <w:pPr>
        <w:spacing w:line="600" w:lineRule="exact"/>
        <w:ind w:firstLine="600" w:firstLineChars="200"/>
        <w:rPr>
          <w:rFonts w:hint="eastAsia" w:ascii="仿宋_GB2312"/>
          <w:lang w:val="en-US" w:eastAsia="zh-CN"/>
        </w:rPr>
      </w:pPr>
      <w:r>
        <w:rPr>
          <w:rFonts w:hint="eastAsia" w:ascii="仿宋_GB2312"/>
          <w:lang w:val="en-US" w:eastAsia="zh-CN"/>
        </w:rPr>
        <w:t>2、评价方法：通过自评方式。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lang w:val="en-US" w:eastAsia="zh-CN"/>
        </w:rPr>
      </w:pPr>
      <w:r>
        <w:rPr>
          <w:rFonts w:hint="eastAsia" w:ascii="仿宋_GB2312"/>
          <w:lang w:val="en-US" w:eastAsia="zh-CN"/>
        </w:rPr>
        <w:t>3、评价标准：</w:t>
      </w:r>
      <w:r>
        <w:rPr>
          <w:rFonts w:hint="eastAsia" w:ascii="仿宋_GB2312" w:hAnsi="仿宋_GB2312" w:eastAsia="仿宋_GB2312" w:cs="仿宋_GB2312"/>
          <w:sz w:val="32"/>
          <w:szCs w:val="32"/>
          <w:lang w:eastAsia="zh-CN"/>
        </w:rPr>
        <w:t>绩效评价标准通常包括:计划标准，计划标准是指以预先制定的目标、计划、预算、定额等数据作为评价的标准。行业标准，行业标准是指参照国家公布的行业指标数据制定的评标准。历史标准，历史标准是指参照同类指标的历史数据制定的评价标准。</w:t>
      </w:r>
    </w:p>
    <w:p>
      <w:pPr>
        <w:numPr>
          <w:ilvl w:val="0"/>
          <w:numId w:val="1"/>
        </w:numPr>
        <w:spacing w:line="600" w:lineRule="exact"/>
        <w:ind w:firstLine="600" w:firstLineChars="200"/>
        <w:rPr>
          <w:rFonts w:hint="eastAsia" w:ascii="仿宋_GB2312"/>
        </w:rPr>
      </w:pPr>
      <w:r>
        <w:rPr>
          <w:rFonts w:hint="eastAsia" w:ascii="仿宋_GB2312"/>
        </w:rPr>
        <w:t>绩效评价工作过程。</w:t>
      </w:r>
    </w:p>
    <w:p>
      <w:pPr>
        <w:spacing w:line="600" w:lineRule="exact"/>
        <w:ind w:firstLine="600" w:firstLineChars="200"/>
        <w:rPr>
          <w:rFonts w:hint="eastAsia" w:ascii="仿宋_GB2312"/>
          <w:lang w:val="en-US" w:eastAsia="zh-CN"/>
        </w:rPr>
      </w:pPr>
      <w:r>
        <w:rPr>
          <w:rFonts w:hint="eastAsia" w:ascii="仿宋_GB2312"/>
          <w:lang w:val="en-US" w:eastAsia="zh-CN"/>
        </w:rPr>
        <w:t xml:space="preserve">1、制定绩效计划。 </w:t>
      </w:r>
    </w:p>
    <w:p>
      <w:pPr>
        <w:spacing w:line="600" w:lineRule="exact"/>
        <w:ind w:firstLine="600" w:firstLineChars="200"/>
        <w:rPr>
          <w:rFonts w:hint="eastAsia" w:ascii="仿宋_GB2312"/>
          <w:lang w:val="en-US" w:eastAsia="zh-CN"/>
        </w:rPr>
      </w:pPr>
      <w:r>
        <w:rPr>
          <w:rFonts w:hint="eastAsia" w:ascii="仿宋_GB2312"/>
          <w:lang w:val="en-US" w:eastAsia="zh-CN"/>
        </w:rPr>
        <w:t>2、持续沟通。</w:t>
      </w:r>
    </w:p>
    <w:p>
      <w:pPr>
        <w:numPr>
          <w:ilvl w:val="0"/>
          <w:numId w:val="0"/>
        </w:numPr>
        <w:spacing w:line="600" w:lineRule="exact"/>
        <w:rPr>
          <w:rFonts w:hint="eastAsia" w:ascii="仿宋_GB2312" w:eastAsia="仿宋_GB2312"/>
          <w:lang w:val="en-US" w:eastAsia="zh-CN"/>
        </w:rPr>
      </w:pPr>
      <w:r>
        <w:rPr>
          <w:rFonts w:hint="eastAsia" w:ascii="仿宋_GB2312"/>
          <w:lang w:val="en-US" w:eastAsia="zh-CN"/>
        </w:rPr>
        <w:t xml:space="preserve">    3、实施绩效评价。</w:t>
      </w:r>
    </w:p>
    <w:p>
      <w:pPr>
        <w:numPr>
          <w:ilvl w:val="0"/>
          <w:numId w:val="0"/>
        </w:numPr>
        <w:spacing w:line="600" w:lineRule="exact"/>
        <w:ind w:firstLine="600" w:firstLineChars="200"/>
        <w:rPr>
          <w:rFonts w:hint="eastAsia" w:ascii="仿宋_GB2312"/>
        </w:rPr>
      </w:pPr>
      <w:r>
        <w:rPr>
          <w:rFonts w:hint="eastAsia" w:ascii="黑体" w:hAnsi="黑体" w:eastAsia="黑体"/>
          <w:lang w:val="en-US" w:eastAsia="zh-CN"/>
        </w:rPr>
        <w:t>三、</w:t>
      </w:r>
      <w:r>
        <w:rPr>
          <w:rFonts w:hint="eastAsia" w:ascii="黑体" w:hAnsi="黑体" w:eastAsia="黑体"/>
        </w:rPr>
        <w:t>综合评价情况及评价结论</w:t>
      </w:r>
      <w:r>
        <w:rPr>
          <w:rFonts w:hint="eastAsia" w:ascii="仿宋_GB2312"/>
        </w:rPr>
        <w:t>（附相关评分表）</w:t>
      </w:r>
    </w:p>
    <w:p>
      <w:pPr>
        <w:spacing w:line="600" w:lineRule="exact"/>
        <w:ind w:firstLine="600" w:firstLineChars="200"/>
        <w:outlineLvl w:val="0"/>
        <w:rPr>
          <w:rFonts w:hint="eastAsia" w:ascii="仿宋_GB2312"/>
        </w:rPr>
      </w:pPr>
      <w:r>
        <w:rPr>
          <w:rFonts w:hint="eastAsia" w:ascii="仿宋_GB2312"/>
          <w:lang w:val="en-US" w:eastAsia="zh-CN"/>
        </w:rPr>
        <w:t>根据专项绩效评定指标对各项目量化评价，国资收益返还项目绩效评指标得分100分。</w:t>
      </w:r>
    </w:p>
    <w:p>
      <w:pPr>
        <w:spacing w:line="600" w:lineRule="exact"/>
        <w:ind w:firstLine="600" w:firstLineChars="200"/>
        <w:rPr>
          <w:rFonts w:ascii="黑体" w:hAnsi="黑体" w:eastAsia="黑体"/>
        </w:rPr>
      </w:pPr>
      <w:r>
        <w:rPr>
          <w:rFonts w:hint="eastAsia" w:ascii="黑体" w:hAnsi="黑体" w:eastAsia="黑体"/>
        </w:rPr>
        <w:t>四、绩效评价指标分析</w:t>
      </w:r>
    </w:p>
    <w:p>
      <w:pPr>
        <w:spacing w:line="600" w:lineRule="exact"/>
        <w:ind w:firstLine="600" w:firstLineChars="200"/>
        <w:outlineLvl w:val="0"/>
        <w:rPr>
          <w:rFonts w:hint="eastAsia" w:ascii="仿宋_GB2312"/>
        </w:rPr>
      </w:pPr>
      <w:r>
        <w:rPr>
          <w:rFonts w:hint="eastAsia" w:ascii="仿宋_GB2312"/>
        </w:rPr>
        <w:t>（一）项目决策情况。</w:t>
      </w:r>
    </w:p>
    <w:p>
      <w:pPr>
        <w:spacing w:line="600" w:lineRule="exact"/>
        <w:ind w:firstLine="600" w:firstLineChars="200"/>
        <w:outlineLvl w:val="0"/>
        <w:rPr>
          <w:rFonts w:ascii="仿宋_GB2312"/>
        </w:rPr>
      </w:pPr>
      <w:r>
        <w:rPr>
          <w:rFonts w:hint="eastAsia" w:ascii="仿宋_GB2312"/>
          <w:lang w:val="en-US" w:eastAsia="zh-CN"/>
        </w:rPr>
        <w:t>凤台县国有资产监督管理委员会</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eastAsia="zh-CN"/>
        </w:rPr>
        <w:t>项目决策在</w:t>
      </w:r>
      <w:r>
        <w:rPr>
          <w:rFonts w:hint="eastAsia" w:ascii="仿宋_GB2312" w:hAnsi="仿宋_GB2312" w:eastAsia="仿宋_GB2312" w:cs="仿宋_GB2312"/>
          <w:i w:val="0"/>
          <w:iCs w:val="0"/>
          <w:caps w:val="0"/>
          <w:color w:val="333333"/>
          <w:spacing w:val="0"/>
          <w:sz w:val="32"/>
          <w:szCs w:val="32"/>
          <w:shd w:val="clear" w:fill="FFFFFF"/>
        </w:rPr>
        <w:t>科学的理论和方法指导下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进行细致深入调查和论证，作出科学决策</w:t>
      </w:r>
      <w:r>
        <w:rPr>
          <w:rFonts w:hint="eastAsia" w:ascii="仿宋_GB2312" w:hAnsi="仿宋_GB2312" w:eastAsia="仿宋_GB2312" w:cs="仿宋_GB2312"/>
          <w:i w:val="0"/>
          <w:iCs w:val="0"/>
          <w:caps w:val="0"/>
          <w:color w:val="333333"/>
          <w:spacing w:val="0"/>
          <w:sz w:val="32"/>
          <w:szCs w:val="32"/>
          <w:shd w:val="clear" w:fill="FFFFFF"/>
          <w:lang w:eastAsia="zh-CN"/>
        </w:rPr>
        <w:t>。</w:t>
      </w:r>
    </w:p>
    <w:p>
      <w:pPr>
        <w:numPr>
          <w:ilvl w:val="0"/>
          <w:numId w:val="2"/>
        </w:numPr>
        <w:spacing w:line="600" w:lineRule="exact"/>
        <w:ind w:firstLine="600" w:firstLineChars="200"/>
        <w:outlineLvl w:val="0"/>
        <w:rPr>
          <w:rFonts w:hint="eastAsia" w:ascii="仿宋_GB2312"/>
        </w:rPr>
      </w:pPr>
      <w:r>
        <w:rPr>
          <w:rFonts w:hint="eastAsia" w:ascii="仿宋_GB2312"/>
        </w:rPr>
        <w:t>项目过程情况。</w:t>
      </w:r>
    </w:p>
    <w:p>
      <w:pPr>
        <w:spacing w:line="600" w:lineRule="exact"/>
        <w:ind w:firstLine="600" w:firstLineChars="200"/>
        <w:outlineLvl w:val="0"/>
        <w:rPr>
          <w:rFonts w:hint="eastAsia" w:ascii="仿宋_GB2312"/>
        </w:rPr>
      </w:pPr>
      <w:r>
        <w:rPr>
          <w:rFonts w:hint="eastAsia" w:ascii="仿宋_GB2312"/>
          <w:lang w:eastAsia="zh-CN"/>
        </w:rPr>
        <w:t>按照实际发生情况拨付</w:t>
      </w:r>
      <w:r>
        <w:rPr>
          <w:rFonts w:hint="eastAsia" w:ascii="仿宋_GB2312"/>
          <w:lang w:val="en-US" w:eastAsia="zh-CN"/>
        </w:rPr>
        <w:t>国资收益返还</w:t>
      </w:r>
      <w:r>
        <w:rPr>
          <w:rFonts w:hint="eastAsia" w:ascii="仿宋_GB2312"/>
          <w:lang w:eastAsia="zh-CN"/>
        </w:rPr>
        <w:t>经费，</w:t>
      </w:r>
      <w:r>
        <w:rPr>
          <w:rFonts w:hint="eastAsia" w:ascii="仿宋_GB2312"/>
          <w:lang w:val="en-US" w:eastAsia="zh-CN"/>
        </w:rPr>
        <w:t>充分发挥资金的使用效益，</w:t>
      </w:r>
      <w:r>
        <w:rPr>
          <w:rFonts w:hint="eastAsia" w:ascii="仿宋_GB2312"/>
        </w:rPr>
        <w:t>常态化机制成功实施。该资金严格遵守</w:t>
      </w:r>
      <w:r>
        <w:rPr>
          <w:rFonts w:hint="eastAsia" w:ascii="仿宋_GB2312"/>
          <w:lang w:eastAsia="zh-CN"/>
        </w:rPr>
        <w:t>项目资金管理规定，</w:t>
      </w:r>
      <w:r>
        <w:rPr>
          <w:rFonts w:hint="eastAsia" w:ascii="仿宋_GB2312"/>
        </w:rPr>
        <w:t>坚持专款专用，将资金用于</w:t>
      </w:r>
      <w:r>
        <w:rPr>
          <w:rFonts w:hint="eastAsia" w:ascii="仿宋_GB2312"/>
          <w:lang w:val="en-US" w:eastAsia="zh-CN"/>
        </w:rPr>
        <w:t>国资委日常经费、市场服务公司人员工资和办公经费等、国有资产的维护维修</w:t>
      </w:r>
      <w:r>
        <w:rPr>
          <w:rFonts w:hint="eastAsia" w:ascii="仿宋_GB2312"/>
        </w:rPr>
        <w:t>等方面</w:t>
      </w:r>
      <w:r>
        <w:rPr>
          <w:rFonts w:hint="eastAsia" w:ascii="仿宋_GB2312"/>
          <w:lang w:eastAsia="zh-CN"/>
        </w:rPr>
        <w:t>支出</w:t>
      </w:r>
      <w:r>
        <w:rPr>
          <w:rFonts w:hint="eastAsia" w:ascii="仿宋_GB2312"/>
        </w:rPr>
        <w:t>。</w:t>
      </w:r>
    </w:p>
    <w:p>
      <w:pPr>
        <w:numPr>
          <w:ilvl w:val="0"/>
          <w:numId w:val="2"/>
        </w:numPr>
        <w:spacing w:line="600" w:lineRule="exact"/>
        <w:ind w:firstLine="600" w:firstLineChars="200"/>
        <w:outlineLvl w:val="0"/>
        <w:rPr>
          <w:rFonts w:hint="eastAsia" w:ascii="仿宋_GB2312"/>
        </w:rPr>
      </w:pPr>
      <w:r>
        <w:rPr>
          <w:rFonts w:hint="eastAsia" w:ascii="仿宋_GB2312"/>
        </w:rPr>
        <w:t>项目产出情况。</w:t>
      </w:r>
    </w:p>
    <w:p>
      <w:pPr>
        <w:spacing w:line="600" w:lineRule="exact"/>
        <w:ind w:firstLine="600" w:firstLineChars="200"/>
        <w:outlineLvl w:val="0"/>
        <w:rPr>
          <w:rFonts w:hint="eastAsia" w:ascii="仿宋_GB2312"/>
          <w:lang w:val="en-US" w:eastAsia="zh-CN"/>
        </w:rPr>
      </w:pPr>
      <w:r>
        <w:rPr>
          <w:rFonts w:hint="eastAsia" w:ascii="仿宋_GB2312"/>
        </w:rPr>
        <w:t>1、</w:t>
      </w:r>
      <w:r>
        <w:rPr>
          <w:rFonts w:hint="eastAsia" w:ascii="仿宋_GB2312"/>
          <w:lang w:eastAsia="zh-CN"/>
        </w:rPr>
        <w:t>数量指标：全年执行</w:t>
      </w:r>
      <w:r>
        <w:rPr>
          <w:rFonts w:hint="eastAsia" w:ascii="仿宋_GB2312"/>
          <w:lang w:val="en-US" w:eastAsia="zh-CN"/>
        </w:rPr>
        <w:t>12个月，全年拨付120万元，全年实际完成100%，全年按照实际工作需要实施资金拨付工作，下一步将进一步督促资金使用范围和力度。</w:t>
      </w:r>
    </w:p>
    <w:p>
      <w:pPr>
        <w:spacing w:line="600" w:lineRule="exact"/>
        <w:ind w:firstLine="600" w:firstLineChars="200"/>
        <w:outlineLvl w:val="0"/>
        <w:rPr>
          <w:rFonts w:hint="eastAsia" w:ascii="仿宋_GB2312"/>
        </w:rPr>
      </w:pPr>
      <w:r>
        <w:rPr>
          <w:rFonts w:hint="eastAsia" w:ascii="仿宋_GB2312"/>
        </w:rPr>
        <w:t>2、</w:t>
      </w:r>
      <w:r>
        <w:rPr>
          <w:rFonts w:hint="eastAsia" w:ascii="仿宋_GB2312"/>
          <w:lang w:eastAsia="zh-CN"/>
        </w:rPr>
        <w:t>质量指标</w:t>
      </w:r>
      <w:r>
        <w:rPr>
          <w:rFonts w:hint="eastAsia" w:ascii="仿宋_GB2312"/>
        </w:rPr>
        <w:t>：</w:t>
      </w:r>
      <w:r>
        <w:rPr>
          <w:rFonts w:hint="eastAsia" w:ascii="仿宋_GB2312"/>
          <w:lang w:val="en-US" w:eastAsia="zh-CN"/>
        </w:rPr>
        <w:t>严格执行相关法规、制度，确保</w:t>
      </w:r>
      <w:r>
        <w:rPr>
          <w:rFonts w:hint="eastAsia" w:ascii="仿宋_GB2312"/>
          <w:lang w:eastAsia="zh-CN"/>
        </w:rPr>
        <w:t>工作</w:t>
      </w:r>
      <w:r>
        <w:rPr>
          <w:rFonts w:hint="eastAsia" w:ascii="仿宋_GB2312"/>
          <w:lang w:val="en-US" w:eastAsia="zh-CN"/>
        </w:rPr>
        <w:t>及时有效开展。</w:t>
      </w:r>
    </w:p>
    <w:p>
      <w:pPr>
        <w:spacing w:line="600" w:lineRule="exact"/>
        <w:ind w:firstLine="600" w:firstLineChars="200"/>
        <w:outlineLvl w:val="0"/>
        <w:rPr>
          <w:rFonts w:hint="default" w:ascii="仿宋_GB2312"/>
          <w:lang w:val="en-US" w:eastAsia="zh-CN"/>
        </w:rPr>
      </w:pPr>
      <w:r>
        <w:rPr>
          <w:rFonts w:hint="eastAsia" w:ascii="仿宋_GB2312"/>
        </w:rPr>
        <w:t>3、</w:t>
      </w:r>
      <w:r>
        <w:rPr>
          <w:rFonts w:hint="eastAsia" w:ascii="仿宋_GB2312"/>
          <w:lang w:eastAsia="zh-CN"/>
        </w:rPr>
        <w:t>时效指标：按年度计划于</w:t>
      </w:r>
      <w:r>
        <w:rPr>
          <w:rFonts w:hint="eastAsia" w:ascii="仿宋_GB2312"/>
          <w:lang w:val="en-US" w:eastAsia="zh-CN"/>
        </w:rPr>
        <w:t>2022年12月31日前完成。</w:t>
      </w:r>
    </w:p>
    <w:p>
      <w:pPr>
        <w:spacing w:line="600" w:lineRule="exact"/>
        <w:ind w:firstLine="600" w:firstLineChars="200"/>
        <w:outlineLvl w:val="0"/>
        <w:rPr>
          <w:rFonts w:hint="eastAsia" w:ascii="仿宋_GB2312"/>
        </w:rPr>
      </w:pPr>
      <w:r>
        <w:rPr>
          <w:rFonts w:hint="eastAsia" w:ascii="仿宋_GB2312"/>
        </w:rPr>
        <w:t>4、</w:t>
      </w:r>
      <w:r>
        <w:rPr>
          <w:rFonts w:hint="eastAsia" w:ascii="仿宋_GB2312"/>
          <w:lang w:eastAsia="zh-CN"/>
        </w:rPr>
        <w:t>成本指标：</w:t>
      </w:r>
      <w:r>
        <w:rPr>
          <w:rFonts w:hint="eastAsia" w:ascii="仿宋_GB2312"/>
          <w:lang w:val="en-US" w:eastAsia="zh-CN"/>
        </w:rPr>
        <w:t>120万元，2022年度已支付120万元，全年实际完成100%。</w:t>
      </w:r>
    </w:p>
    <w:p>
      <w:pPr>
        <w:spacing w:line="600" w:lineRule="exact"/>
        <w:ind w:firstLine="600" w:firstLineChars="200"/>
        <w:outlineLvl w:val="0"/>
        <w:rPr>
          <w:rFonts w:hint="eastAsia" w:ascii="仿宋_GB2312"/>
        </w:rPr>
      </w:pPr>
      <w:r>
        <w:rPr>
          <w:rFonts w:hint="eastAsia" w:ascii="仿宋_GB2312"/>
        </w:rPr>
        <w:t>（四）项目效益情况。</w:t>
      </w:r>
    </w:p>
    <w:p>
      <w:pPr>
        <w:spacing w:line="600" w:lineRule="exact"/>
        <w:ind w:firstLine="600" w:firstLineChars="200"/>
        <w:outlineLvl w:val="0"/>
        <w:rPr>
          <w:rFonts w:hint="eastAsia" w:ascii="仿宋_GB2312"/>
          <w:lang w:eastAsia="zh-CN"/>
        </w:rPr>
      </w:pPr>
      <w:r>
        <w:rPr>
          <w:rFonts w:hint="eastAsia" w:ascii="仿宋_GB2312"/>
          <w:lang w:val="en-US" w:eastAsia="zh-CN"/>
        </w:rPr>
        <w:t>1</w:t>
      </w:r>
      <w:r>
        <w:rPr>
          <w:rFonts w:hint="eastAsia" w:ascii="仿宋_GB2312"/>
        </w:rPr>
        <w:t>、</w:t>
      </w:r>
      <w:r>
        <w:rPr>
          <w:rFonts w:hint="eastAsia" w:ascii="仿宋_GB2312"/>
          <w:lang w:eastAsia="zh-CN"/>
        </w:rPr>
        <w:t>经济效益指标：通过</w:t>
      </w:r>
      <w:r>
        <w:rPr>
          <w:rFonts w:hint="eastAsia" w:ascii="仿宋_GB2312"/>
          <w:lang w:val="en-US" w:eastAsia="zh-CN"/>
        </w:rPr>
        <w:t>资金拨付，</w:t>
      </w:r>
      <w:r>
        <w:rPr>
          <w:rFonts w:hint="eastAsia" w:ascii="仿宋_GB2312"/>
          <w:lang w:eastAsia="zh-CN"/>
        </w:rPr>
        <w:t>保障工作顺利开展。</w:t>
      </w:r>
    </w:p>
    <w:p>
      <w:pPr>
        <w:spacing w:line="600" w:lineRule="exact"/>
        <w:ind w:firstLine="600" w:firstLineChars="200"/>
        <w:outlineLvl w:val="0"/>
        <w:rPr>
          <w:rFonts w:hint="eastAsia" w:ascii="仿宋_GB2312"/>
          <w:lang w:eastAsia="zh-CN"/>
        </w:rPr>
      </w:pPr>
      <w:r>
        <w:rPr>
          <w:rFonts w:hint="eastAsia" w:ascii="仿宋_GB2312"/>
          <w:lang w:val="en-US" w:eastAsia="zh-CN"/>
        </w:rPr>
        <w:t>2</w:t>
      </w:r>
      <w:r>
        <w:rPr>
          <w:rFonts w:hint="eastAsia" w:ascii="仿宋_GB2312"/>
          <w:lang w:eastAsia="zh-CN"/>
        </w:rPr>
        <w:t>、社会效益指标：提高职工生活水平，促进和谐社会发展</w:t>
      </w:r>
    </w:p>
    <w:p>
      <w:pPr>
        <w:spacing w:line="600" w:lineRule="exact"/>
        <w:ind w:firstLine="600" w:firstLineChars="200"/>
        <w:outlineLvl w:val="0"/>
        <w:rPr>
          <w:rFonts w:hint="eastAsia" w:ascii="仿宋_GB2312"/>
          <w:lang w:eastAsia="zh-CN"/>
        </w:rPr>
      </w:pPr>
      <w:r>
        <w:rPr>
          <w:rFonts w:hint="eastAsia" w:ascii="仿宋_GB2312"/>
          <w:lang w:val="en-US" w:eastAsia="zh-CN"/>
        </w:rPr>
        <w:t>3</w:t>
      </w:r>
      <w:r>
        <w:rPr>
          <w:rFonts w:hint="eastAsia" w:ascii="仿宋_GB2312"/>
        </w:rPr>
        <w:t>、</w:t>
      </w:r>
      <w:r>
        <w:rPr>
          <w:rFonts w:hint="eastAsia" w:ascii="仿宋_GB2312"/>
          <w:lang w:eastAsia="zh-CN"/>
        </w:rPr>
        <w:t xml:space="preserve">生态效益指标：保障国有资产保值增值 </w:t>
      </w:r>
      <w:r>
        <w:rPr>
          <w:rFonts w:hint="eastAsia" w:ascii="仿宋_GB2312"/>
          <w:lang w:val="en-US" w:eastAsia="zh-CN"/>
        </w:rPr>
        <w:t>。</w:t>
      </w:r>
    </w:p>
    <w:p>
      <w:pPr>
        <w:spacing w:line="600" w:lineRule="exact"/>
        <w:ind w:firstLine="600" w:firstLineChars="200"/>
        <w:outlineLvl w:val="0"/>
        <w:rPr>
          <w:rFonts w:hint="eastAsia" w:ascii="仿宋_GB2312"/>
        </w:rPr>
      </w:pPr>
      <w:r>
        <w:rPr>
          <w:rFonts w:hint="eastAsia" w:ascii="仿宋_GB2312"/>
          <w:lang w:val="en-US" w:eastAsia="zh-CN"/>
        </w:rPr>
        <w:t>4</w:t>
      </w:r>
      <w:r>
        <w:rPr>
          <w:rFonts w:hint="eastAsia" w:ascii="仿宋_GB2312"/>
        </w:rPr>
        <w:t>、</w:t>
      </w:r>
      <w:r>
        <w:rPr>
          <w:rFonts w:hint="eastAsia" w:ascii="仿宋_GB2312"/>
          <w:lang w:eastAsia="zh-CN"/>
        </w:rPr>
        <w:t>可持续影响指标：为职工利益提供长期保障，保障国有资产保值增值</w:t>
      </w:r>
      <w:r>
        <w:rPr>
          <w:rFonts w:hint="eastAsia" w:ascii="仿宋_GB2312"/>
          <w:lang w:val="en-US" w:eastAsia="zh-CN"/>
        </w:rPr>
        <w:t>。</w:t>
      </w:r>
    </w:p>
    <w:p>
      <w:pPr>
        <w:spacing w:line="600" w:lineRule="exact"/>
        <w:ind w:firstLine="600" w:firstLineChars="200"/>
        <w:rPr>
          <w:rFonts w:hint="eastAsia" w:ascii="黑体" w:hAnsi="黑体" w:eastAsia="黑体"/>
        </w:rPr>
      </w:pPr>
      <w:r>
        <w:rPr>
          <w:rFonts w:hint="eastAsia" w:ascii="黑体" w:hAnsi="黑体" w:eastAsia="黑体"/>
        </w:rPr>
        <w:t>五、主要经验及做法、存在的问题及原因分析</w:t>
      </w:r>
    </w:p>
    <w:p>
      <w:pPr>
        <w:spacing w:line="600" w:lineRule="exact"/>
        <w:ind w:firstLine="600" w:firstLineChars="200"/>
        <w:outlineLvl w:val="0"/>
        <w:rPr>
          <w:rFonts w:hint="eastAsia" w:ascii="仿宋_GB2312"/>
          <w:lang w:eastAsia="zh-CN"/>
        </w:rPr>
      </w:pPr>
      <w:r>
        <w:rPr>
          <w:rFonts w:hint="eastAsia" w:ascii="仿宋_GB2312"/>
          <w:lang w:val="en-US" w:eastAsia="zh-CN"/>
        </w:rPr>
        <w:t>1、</w:t>
      </w:r>
      <w:r>
        <w:rPr>
          <w:rFonts w:hint="eastAsia" w:ascii="仿宋_GB2312"/>
          <w:lang w:eastAsia="zh-CN"/>
        </w:rPr>
        <w:t>未提供建立健全的项目档案管理制度；</w:t>
      </w:r>
    </w:p>
    <w:p>
      <w:pPr>
        <w:spacing w:line="600" w:lineRule="exact"/>
        <w:ind w:firstLine="600" w:firstLineChars="200"/>
        <w:outlineLvl w:val="0"/>
        <w:rPr>
          <w:rFonts w:hint="eastAsia" w:ascii="仿宋_GB2312"/>
          <w:lang w:eastAsia="zh-CN"/>
        </w:rPr>
      </w:pPr>
      <w:r>
        <w:rPr>
          <w:rFonts w:hint="eastAsia" w:ascii="仿宋_GB2312"/>
          <w:lang w:val="en-US" w:eastAsia="zh-CN"/>
        </w:rPr>
        <w:t>2、</w:t>
      </w:r>
      <w:r>
        <w:rPr>
          <w:rFonts w:hint="eastAsia" w:ascii="仿宋_GB2312"/>
          <w:lang w:eastAsia="zh-CN"/>
        </w:rPr>
        <w:t>未提供各级政府或主管部门适时组织开展资金专项督察资料。</w:t>
      </w:r>
    </w:p>
    <w:p>
      <w:pPr>
        <w:numPr>
          <w:ilvl w:val="0"/>
          <w:numId w:val="0"/>
        </w:numPr>
        <w:spacing w:line="600" w:lineRule="exact"/>
        <w:ind w:firstLine="600" w:firstLineChars="200"/>
        <w:rPr>
          <w:rFonts w:hint="eastAsia" w:ascii="黑体" w:hAnsi="黑体" w:eastAsia="黑体"/>
        </w:rPr>
      </w:pPr>
      <w:r>
        <w:rPr>
          <w:rFonts w:hint="eastAsia" w:ascii="黑体" w:hAnsi="黑体" w:eastAsia="黑体"/>
          <w:lang w:val="en-US" w:eastAsia="zh-CN"/>
        </w:rPr>
        <w:t>六、</w:t>
      </w:r>
      <w:r>
        <w:rPr>
          <w:rFonts w:hint="eastAsia" w:ascii="黑体" w:hAnsi="黑体" w:eastAsia="黑体"/>
        </w:rPr>
        <w:t>有关建议</w:t>
      </w:r>
    </w:p>
    <w:p>
      <w:pPr>
        <w:spacing w:line="600" w:lineRule="exact"/>
        <w:ind w:firstLine="600" w:firstLineChars="200"/>
        <w:outlineLvl w:val="0"/>
        <w:rPr>
          <w:rFonts w:hint="eastAsia" w:ascii="黑体" w:hAnsi="黑体" w:eastAsia="黑体"/>
        </w:rPr>
      </w:pPr>
      <w:r>
        <w:rPr>
          <w:rFonts w:hint="eastAsia" w:ascii="仿宋_GB2312"/>
          <w:lang w:val="en-US" w:eastAsia="zh-CN"/>
        </w:rPr>
        <w:t>建议项目单位应加强预算申报管理、专项资金核算及监督管理，项目资金应设置专账核算；建议财政部门加强对专项资金使用情况的监督检查。建议规范和加强项目档案管理工作。</w:t>
      </w:r>
    </w:p>
    <w:p>
      <w:pPr>
        <w:numPr>
          <w:ilvl w:val="0"/>
          <w:numId w:val="0"/>
        </w:numPr>
        <w:spacing w:line="600" w:lineRule="exact"/>
        <w:ind w:firstLine="600" w:firstLineChars="200"/>
        <w:rPr>
          <w:rFonts w:hint="eastAsia" w:ascii="黑体" w:hAnsi="黑体" w:eastAsia="黑体"/>
        </w:rPr>
      </w:pPr>
      <w:r>
        <w:rPr>
          <w:rFonts w:hint="eastAsia" w:ascii="黑体" w:hAnsi="黑体" w:eastAsia="黑体"/>
          <w:lang w:val="en-US" w:eastAsia="zh-CN"/>
        </w:rPr>
        <w:t>七、</w:t>
      </w:r>
      <w:r>
        <w:rPr>
          <w:rFonts w:hint="eastAsia" w:ascii="黑体" w:hAnsi="黑体" w:eastAsia="黑体"/>
        </w:rPr>
        <w:t>其他需要说明的问题</w:t>
      </w:r>
    </w:p>
    <w:p>
      <w:pPr>
        <w:spacing w:line="600" w:lineRule="exact"/>
        <w:ind w:firstLine="600" w:firstLineChars="200"/>
        <w:jc w:val="both"/>
        <w:outlineLvl w:val="0"/>
        <w:rPr>
          <w:rFonts w:hint="eastAsia" w:ascii="仿宋_GB2312"/>
          <w:lang w:val="en-US" w:eastAsia="zh-CN"/>
        </w:rPr>
      </w:pPr>
      <w:r>
        <w:rPr>
          <w:rFonts w:hint="eastAsia" w:ascii="仿宋_GB2312"/>
          <w:lang w:val="en-US" w:eastAsia="zh-CN"/>
        </w:rPr>
        <w:t>目前并未发现存在其他问题。</w:t>
      </w:r>
    </w:p>
    <w:p>
      <w:pPr>
        <w:spacing w:line="600" w:lineRule="exact"/>
        <w:ind w:firstLine="600" w:firstLineChars="200"/>
        <w:jc w:val="both"/>
        <w:outlineLvl w:val="0"/>
        <w:rPr>
          <w:rFonts w:hint="eastAsia" w:ascii="仿宋_GB2312"/>
          <w:lang w:val="en-US" w:eastAsia="zh-CN"/>
        </w:rPr>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9686680">
    <w:nsid w:val="62ECCF18"/>
    <w:multiLevelType w:val="singleLevel"/>
    <w:tmpl w:val="62ECCF18"/>
    <w:lvl w:ilvl="0" w:tentative="1">
      <w:start w:val="2"/>
      <w:numFmt w:val="chineseCounting"/>
      <w:suff w:val="nothing"/>
      <w:lvlText w:val="（%1）"/>
      <w:lvlJc w:val="left"/>
    </w:lvl>
  </w:abstractNum>
  <w:abstractNum w:abstractNumId="1660185169">
    <w:nsid w:val="62F46A51"/>
    <w:multiLevelType w:val="singleLevel"/>
    <w:tmpl w:val="62F46A51"/>
    <w:lvl w:ilvl="0" w:tentative="1">
      <w:start w:val="2"/>
      <w:numFmt w:val="chineseCounting"/>
      <w:suff w:val="nothing"/>
      <w:lvlText w:val="（%1）"/>
      <w:lvlJc w:val="left"/>
    </w:lvl>
  </w:abstractNum>
  <w:abstractNum w:abstractNumId="1660186453">
    <w:nsid w:val="62F46F55"/>
    <w:multiLevelType w:val="singleLevel"/>
    <w:tmpl w:val="62F46F55"/>
    <w:lvl w:ilvl="0" w:tentative="1">
      <w:start w:val="6"/>
      <w:numFmt w:val="chineseCounting"/>
      <w:suff w:val="nothing"/>
      <w:lvlText w:val="%1、"/>
      <w:lvlJc w:val="left"/>
    </w:lvl>
  </w:abstractNum>
  <w:num w:numId="1">
    <w:abstractNumId w:val="1659686680"/>
  </w:num>
  <w:num w:numId="2">
    <w:abstractNumId w:val="1660185169"/>
  </w:num>
  <w:num w:numId="3">
    <w:abstractNumId w:val="16601864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c5ZjZiOTQzNDNiY2UyMzdhZDU4MDc0ZDc1NTMifQ=="/>
  </w:docVars>
  <w:rsids>
    <w:rsidRoot w:val="55AE45D4"/>
    <w:rsid w:val="05735CFB"/>
    <w:rsid w:val="061957B5"/>
    <w:rsid w:val="0C7357F9"/>
    <w:rsid w:val="1321363E"/>
    <w:rsid w:val="16D8481E"/>
    <w:rsid w:val="237E3EE8"/>
    <w:rsid w:val="35104C33"/>
    <w:rsid w:val="36877830"/>
    <w:rsid w:val="383867D6"/>
    <w:rsid w:val="3A537E7B"/>
    <w:rsid w:val="439A6106"/>
    <w:rsid w:val="43BB7551"/>
    <w:rsid w:val="4DFF1C01"/>
    <w:rsid w:val="55AE45D4"/>
    <w:rsid w:val="5BAE2489"/>
    <w:rsid w:val="7ACA0E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31"/>
    <w:basedOn w:val="3"/>
    <w:qFormat/>
    <w:uiPriority w:val="0"/>
    <w:rPr>
      <w:rFonts w:hint="eastAsia" w:ascii="宋体" w:hAnsi="宋体" w:eastAsia="宋体" w:cs="宋体"/>
      <w:b/>
      <w:color w:val="000000"/>
      <w:sz w:val="32"/>
      <w:szCs w:val="32"/>
      <w:u w:val="none"/>
    </w:rPr>
  </w:style>
  <w:style w:type="character" w:customStyle="1" w:styleId="7">
    <w:name w:val="font71"/>
    <w:basedOn w:val="3"/>
    <w:qFormat/>
    <w:uiPriority w:val="0"/>
    <w:rPr>
      <w:rFonts w:hint="eastAsia" w:ascii="宋体" w:hAnsi="宋体" w:eastAsia="宋体" w:cs="宋体"/>
      <w:color w:val="000000"/>
      <w:sz w:val="20"/>
      <w:szCs w:val="20"/>
      <w:u w:val="none"/>
    </w:rPr>
  </w:style>
  <w:style w:type="character" w:customStyle="1" w:styleId="8">
    <w:name w:val="font121"/>
    <w:basedOn w:val="3"/>
    <w:qFormat/>
    <w:uiPriority w:val="0"/>
    <w:rPr>
      <w:rFonts w:hint="eastAsia" w:ascii="宋体" w:hAnsi="宋体" w:eastAsia="宋体" w:cs="宋体"/>
      <w:color w:val="000000"/>
      <w:sz w:val="20"/>
      <w:szCs w:val="20"/>
      <w:u w:val="none"/>
    </w:rPr>
  </w:style>
  <w:style w:type="character" w:customStyle="1" w:styleId="9">
    <w:name w:val="font51"/>
    <w:basedOn w:val="3"/>
    <w:qFormat/>
    <w:uiPriority w:val="0"/>
    <w:rPr>
      <w:rFonts w:hint="eastAsia" w:ascii="宋体" w:hAnsi="宋体" w:eastAsia="宋体" w:cs="宋体"/>
      <w:color w:val="000000"/>
      <w:sz w:val="18"/>
      <w:szCs w:val="18"/>
      <w:u w:val="none"/>
    </w:rPr>
  </w:style>
  <w:style w:type="character" w:customStyle="1" w:styleId="10">
    <w:name w:val="font151"/>
    <w:basedOn w:val="3"/>
    <w:qFormat/>
    <w:uiPriority w:val="0"/>
    <w:rPr>
      <w:rFonts w:hint="eastAsia" w:ascii="宋体" w:hAnsi="宋体" w:eastAsia="宋体" w:cs="宋体"/>
      <w:color w:val="000000"/>
      <w:sz w:val="18"/>
      <w:szCs w:val="18"/>
      <w:u w:val="none"/>
    </w:rPr>
  </w:style>
  <w:style w:type="character" w:customStyle="1" w:styleId="11">
    <w:name w:val="font141"/>
    <w:basedOn w:val="3"/>
    <w:qFormat/>
    <w:uiPriority w:val="0"/>
    <w:rPr>
      <w:rFonts w:hint="eastAsia" w:ascii="宋体" w:hAnsi="宋体" w:eastAsia="宋体" w:cs="宋体"/>
      <w:color w:val="000000"/>
      <w:sz w:val="18"/>
      <w:szCs w:val="18"/>
      <w:u w:val="none"/>
    </w:rPr>
  </w:style>
  <w:style w:type="character" w:customStyle="1" w:styleId="12">
    <w:name w:val="font111"/>
    <w:basedOn w:val="3"/>
    <w:qFormat/>
    <w:uiPriority w:val="0"/>
    <w:rPr>
      <w:rFonts w:hint="eastAsia" w:ascii="宋体" w:hAnsi="宋体" w:eastAsia="宋体" w:cs="宋体"/>
      <w:color w:val="000000"/>
      <w:sz w:val="12"/>
      <w:szCs w:val="12"/>
      <w:u w:val="none"/>
    </w:rPr>
  </w:style>
  <w:style w:type="character" w:customStyle="1" w:styleId="13">
    <w:name w:val="font101"/>
    <w:basedOn w:val="3"/>
    <w:qFormat/>
    <w:uiPriority w:val="0"/>
    <w:rPr>
      <w:rFonts w:hint="eastAsia" w:ascii="宋体" w:hAnsi="宋体" w:eastAsia="宋体" w:cs="宋体"/>
      <w:b/>
      <w:color w:val="000000"/>
      <w:sz w:val="32"/>
      <w:szCs w:val="32"/>
      <w:u w:val="none"/>
    </w:rPr>
  </w:style>
  <w:style w:type="character" w:customStyle="1" w:styleId="14">
    <w:name w:val="font91"/>
    <w:basedOn w:val="3"/>
    <w:qFormat/>
    <w:uiPriority w:val="0"/>
    <w:rPr>
      <w:rFonts w:hint="eastAsia" w:ascii="宋体" w:hAnsi="宋体" w:eastAsia="宋体" w:cs="宋体"/>
      <w:color w:val="000000"/>
      <w:sz w:val="20"/>
      <w:szCs w:val="20"/>
      <w:u w:val="none"/>
    </w:rPr>
  </w:style>
  <w:style w:type="character" w:customStyle="1" w:styleId="15">
    <w:name w:val="font21"/>
    <w:basedOn w:val="3"/>
    <w:qFormat/>
    <w:uiPriority w:val="0"/>
    <w:rPr>
      <w:rFonts w:hint="eastAsia" w:ascii="宋体" w:hAnsi="宋体" w:eastAsia="宋体" w:cs="宋体"/>
      <w:color w:val="000000"/>
      <w:sz w:val="18"/>
      <w:szCs w:val="18"/>
      <w:u w:val="none"/>
    </w:rPr>
  </w:style>
  <w:style w:type="character" w:customStyle="1" w:styleId="16">
    <w:name w:val="font11"/>
    <w:basedOn w:val="3"/>
    <w:qFormat/>
    <w:uiPriority w:val="0"/>
    <w:rPr>
      <w:rFonts w:hint="eastAsia" w:ascii="宋体" w:hAnsi="宋体" w:eastAsia="宋体" w:cs="宋体"/>
      <w:b/>
      <w:color w:val="000000"/>
      <w:sz w:val="32"/>
      <w:szCs w:val="32"/>
      <w:u w:val="none"/>
    </w:rPr>
  </w:style>
  <w:style w:type="character" w:customStyle="1" w:styleId="17">
    <w:name w:val="font01"/>
    <w:basedOn w:val="3"/>
    <w:qFormat/>
    <w:uiPriority w:val="0"/>
    <w:rPr>
      <w:rFonts w:hint="eastAsia" w:ascii="宋体" w:hAnsi="宋体" w:eastAsia="宋体" w:cs="宋体"/>
      <w:color w:val="000000"/>
      <w:sz w:val="32"/>
      <w:szCs w:val="32"/>
      <w:u w:val="none"/>
    </w:rPr>
  </w:style>
  <w:style w:type="character" w:customStyle="1" w:styleId="18">
    <w:name w:val="font31"/>
    <w:basedOn w:val="3"/>
    <w:qFormat/>
    <w:uiPriority w:val="0"/>
    <w:rPr>
      <w:rFonts w:hint="eastAsia" w:ascii="宋体" w:hAnsi="宋体" w:eastAsia="宋体" w:cs="宋体"/>
      <w:color w:val="000000"/>
      <w:sz w:val="20"/>
      <w:szCs w:val="20"/>
      <w:u w:val="none"/>
    </w:rPr>
  </w:style>
  <w:style w:type="character" w:customStyle="1" w:styleId="19">
    <w:name w:val="font6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8271</Words>
  <Characters>8877</Characters>
  <Lines>0</Lines>
  <Paragraphs>0</Paragraphs>
  <ScaleCrop>false</ScaleCrop>
  <LinksUpToDate>false</LinksUpToDate>
  <CharactersWithSpaces>10616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2021-12-24T08:18:00Z</dcterms:created>
  <dc:creator>胡继猛</dc:creator>
  <cp:lastModifiedBy>Administrator</cp:lastModifiedBy>
  <dcterms:modified xsi:type="dcterms:W3CDTF">2024-12-23T05:09:35Z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B6EC8E2E9E144F5A9FF6FB1DB7935E68_13</vt:lpwstr>
  </property>
</Properties>
</file>