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凤台县20</w:t>
      </w:r>
      <w:r>
        <w:rPr>
          <w:rFonts w:hint="eastAsia" w:eastAsia="方正小标宋简体"/>
          <w:sz w:val="44"/>
          <w:szCs w:val="44"/>
          <w:lang w:val="en-US" w:eastAsia="zh-CN"/>
        </w:rPr>
        <w:t>25</w:t>
      </w:r>
      <w:r>
        <w:rPr>
          <w:rFonts w:eastAsia="方正小标宋简体"/>
          <w:sz w:val="44"/>
          <w:szCs w:val="44"/>
        </w:rPr>
        <w:t>年住房用地供应计划</w:t>
      </w:r>
    </w:p>
    <w:bookmarkEnd w:id="0"/>
    <w:p>
      <w:pPr>
        <w:spacing w:line="50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贯彻落实节约集约用地政策和中央关于房地产市场调控的各项政策，围绕我县城市住房保障目标，加强房地产用地供应和监管，切实落实房地产土地管理的各项规定，增强以保障性住房为重点的住房建设用地有效供应，提高土地供应和开发利用效率，促进我县房地产市场平稳健康发展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二、供地原则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（一）加强房地产用地调控，调整住房供应结构，增加居住用地有效供应，确保保障性安居工程用地供应。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（二）推进住房用地供应计划实施，确定年度计划中拟供应的地块，合理安排供地时序，积极盘活存量土地，优化用地结构，完善服务功能，节约集约用地。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（三）严格规范商品房用地出让行为，完善土地招拍挂制度。严格制定土地出让的规划和建设条件，严格土地竞买人资格审查，加强出让合同管理。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（四）加强房地产用地监管，严格实施住房用地开发利用申报制度。加强土地开发利用动态监测，强化保障性住房用地供后监管，加强房地产用地开发利用诚信管理。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三、住房供地指标</w:t>
      </w:r>
    </w:p>
    <w:p>
      <w:pPr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（一）供应总量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年度住房用地计划供应总量为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13.53公顷（203亩）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（二）结构分析</w:t>
      </w:r>
    </w:p>
    <w:p>
      <w:pPr>
        <w:spacing w:line="560" w:lineRule="exact"/>
        <w:ind w:firstLine="640" w:firstLineChars="200"/>
      </w:pPr>
      <w:r>
        <w:rPr>
          <w:rFonts w:ascii="仿宋" w:hAnsi="仿宋" w:eastAsia="仿宋"/>
          <w:sz w:val="32"/>
          <w:szCs w:val="32"/>
        </w:rPr>
        <w:t>商品住房用地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13.53公顷（203亩）</w:t>
      </w:r>
      <w:r>
        <w:rPr>
          <w:rFonts w:ascii="仿宋" w:hAnsi="仿宋" w:eastAsia="仿宋"/>
          <w:sz w:val="32"/>
          <w:szCs w:val="32"/>
        </w:rPr>
        <w:t>，占住房用地总量的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4EE6D4-65A5-4020-A8FD-33201DAA4E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B8F21D-27C2-4DD5-AC9A-998BECBC06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5E265E-19BF-40FC-814B-20B73F2488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6A1825-189B-4C6F-B9A2-799F082DAE5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03ED69B5-D643-4473-A374-53EE434832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mU2NzAzODI4MTZjMmU5NjAwMzk1YjRiMWU0ZjQifQ=="/>
  </w:docVars>
  <w:rsids>
    <w:rsidRoot w:val="00000000"/>
    <w:rsid w:val="57B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2025-02-20T02:41:55Z</dcterms:created>
  <dc:creator>PC</dc:creator>
  <cp:lastModifiedBy>mujm</cp:lastModifiedBy>
  <dcterms:modified xsi:type="dcterms:W3CDTF">2025-02-20T02:53:50Z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D5EE3267945044F89C9AB0E541A98427_12</vt:lpwstr>
  </property>
</Properties>
</file>