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6AB87">
      <w:pPr>
        <w:jc w:val="center"/>
        <w:rPr>
          <w:rFonts w:ascii="Times New Roman" w:hAnsi="Times New Roman" w:eastAsia="方正小标宋简体" w:cs="Times New Roman"/>
          <w:sz w:val="44"/>
          <w:szCs w:val="44"/>
          <w14:ligatures w14:val="none"/>
        </w:rPr>
      </w:pPr>
      <w:r>
        <w:rPr>
          <w:rFonts w:ascii="宋体" w:hAnsi="宋体" w:eastAsia="宋体" w:cs="宋体"/>
          <w:b/>
          <w:bCs/>
          <w:kern w:val="36"/>
          <w:sz w:val="48"/>
          <w:szCs w:val="48"/>
          <w14:ligatures w14:val="none"/>
        </w:rPr>
        <w:t>《凤台县</w:t>
      </w:r>
      <w:r>
        <w:rPr>
          <w:rFonts w:hint="eastAsia" w:ascii="宋体" w:hAnsi="宋体" w:eastAsia="宋体" w:cs="宋体"/>
          <w:b/>
          <w:bCs/>
          <w:kern w:val="36"/>
          <w:sz w:val="48"/>
          <w:szCs w:val="48"/>
          <w14:ligatures w14:val="none"/>
        </w:rPr>
        <w:t>国土空间生态修复专项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36"/>
          <w:sz w:val="48"/>
          <w:szCs w:val="48"/>
          <w14:ligatures w14:val="none"/>
        </w:rPr>
        <w:t>规划（2</w:t>
      </w:r>
      <w:r>
        <w:rPr>
          <w:rFonts w:ascii="宋体" w:hAnsi="宋体" w:eastAsia="宋体" w:cs="宋体"/>
          <w:b/>
          <w:bCs/>
          <w:kern w:val="36"/>
          <w:sz w:val="48"/>
          <w:szCs w:val="48"/>
          <w14:ligatures w14:val="none"/>
        </w:rPr>
        <w:t>022</w:t>
      </w:r>
      <w:r>
        <w:rPr>
          <w:rFonts w:hint="eastAsia" w:ascii="宋体" w:hAnsi="宋体" w:eastAsia="宋体" w:cs="宋体"/>
          <w:b/>
          <w:bCs/>
          <w:kern w:val="36"/>
          <w:sz w:val="48"/>
          <w:szCs w:val="48"/>
          <w:lang w:eastAsia="zh-CN"/>
          <w14:ligatures w14:val="none"/>
        </w:rPr>
        <w:t>—</w:t>
      </w:r>
      <w:r>
        <w:rPr>
          <w:rFonts w:ascii="宋体" w:hAnsi="宋体" w:eastAsia="宋体" w:cs="宋体"/>
          <w:b/>
          <w:bCs/>
          <w:kern w:val="36"/>
          <w:sz w:val="48"/>
          <w:szCs w:val="48"/>
          <w14:ligatures w14:val="none"/>
        </w:rPr>
        <w:t>2035</w:t>
      </w:r>
      <w:r>
        <w:rPr>
          <w:rFonts w:hint="eastAsia" w:ascii="宋体" w:hAnsi="宋体" w:eastAsia="宋体" w:cs="宋体"/>
          <w:b/>
          <w:bCs/>
          <w:kern w:val="36"/>
          <w:sz w:val="48"/>
          <w:szCs w:val="48"/>
          <w14:ligatures w14:val="none"/>
        </w:rPr>
        <w:t>年）》</w:t>
      </w: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（</w:t>
      </w:r>
      <w:r>
        <w:rPr>
          <w:rFonts w:hint="eastAsia" w:ascii="Times New Roman" w:hAnsi="Times New Roman" w:eastAsia="方正小标宋简体" w:cs="Times New Roman"/>
          <w:sz w:val="44"/>
          <w:szCs w:val="44"/>
          <w14:ligatures w14:val="none"/>
        </w:rPr>
        <w:t>送审稿</w:t>
      </w: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）</w:t>
      </w:r>
      <w:r>
        <w:rPr>
          <w:rFonts w:hint="eastAsia" w:ascii="Times New Roman" w:hAnsi="Times New Roman" w:eastAsia="方正小标宋简体" w:cs="Times New Roman"/>
          <w:sz w:val="44"/>
          <w:szCs w:val="44"/>
          <w14:ligatures w14:val="none"/>
        </w:rPr>
        <w:t>起草说明</w:t>
      </w:r>
    </w:p>
    <w:p w14:paraId="252F0102">
      <w:pPr>
        <w:spacing w:line="360" w:lineRule="auto"/>
        <w:ind w:firstLine="640" w:firstLineChars="200"/>
        <w:rPr>
          <w:rFonts w:ascii="Times New Roman" w:hAnsi="Times New Roman" w:eastAsia="黑体" w:cs="黑体"/>
          <w:sz w:val="32"/>
          <w:szCs w:val="32"/>
          <w14:ligatures w14:val="none"/>
        </w:rPr>
      </w:pPr>
      <w:r>
        <w:rPr>
          <w:rFonts w:hint="eastAsia" w:ascii="Times New Roman" w:hAnsi="Times New Roman" w:eastAsia="黑体" w:cs="黑体"/>
          <w:sz w:val="32"/>
          <w:szCs w:val="32"/>
          <w14:ligatures w14:val="none"/>
        </w:rPr>
        <w:t>一、起草背景</w:t>
      </w:r>
    </w:p>
    <w:p w14:paraId="5E0957DC"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  <w14:ligatures w14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14:ligatures w14:val="none"/>
        </w:rPr>
        <w:t>为贯彻习近平生态文明思想，树牢生态优先绿色发展理念，依法履行统一行使所有国土空间生态保护修复职责，落实党中央、国务院、安徽省、淮南市关于生态文明建设的决策部署，根据《安徽省自然资源厅关于开展市、县级国土空间生态修复规划编制工作的通知》（皖自然资修函〔</w:t>
      </w:r>
      <w:r>
        <w:rPr>
          <w:rFonts w:ascii="仿宋_GB2312" w:hAnsi="Times New Roman" w:eastAsia="仿宋_GB2312" w:cs="Times New Roman"/>
          <w:sz w:val="32"/>
          <w:szCs w:val="32"/>
          <w14:ligatures w14:val="none"/>
        </w:rPr>
        <w:t>2022</w:t>
      </w:r>
      <w:r>
        <w:rPr>
          <w:rFonts w:hint="eastAsia" w:ascii="仿宋_GB2312" w:hAnsi="Times New Roman" w:eastAsia="仿宋_GB2312" w:cs="Times New Roman"/>
          <w:sz w:val="32"/>
          <w:szCs w:val="32"/>
          <w14:ligatures w14:val="none"/>
        </w:rPr>
        <w:t>〕29号）文件精神，凤台县自然资源和规划局组织编制了《凤台县国土空间生态修复专项规划（</w:t>
      </w:r>
      <w:r>
        <w:rPr>
          <w:rFonts w:ascii="仿宋_GB2312" w:hAnsi="Times New Roman" w:eastAsia="仿宋_GB2312" w:cs="Times New Roman"/>
          <w:sz w:val="32"/>
          <w:szCs w:val="32"/>
          <w14:ligatures w14:val="none"/>
        </w:rPr>
        <w:t>2022—2035</w:t>
      </w:r>
      <w:r>
        <w:rPr>
          <w:rFonts w:hint="eastAsia" w:ascii="仿宋_GB2312" w:hAnsi="Times New Roman" w:eastAsia="仿宋_GB2312" w:cs="Times New Roman"/>
          <w:sz w:val="32"/>
          <w:szCs w:val="32"/>
          <w14:ligatures w14:val="none"/>
        </w:rPr>
        <w:t>年）》。</w:t>
      </w:r>
    </w:p>
    <w:p w14:paraId="040D4790">
      <w:pPr>
        <w:spacing w:line="360" w:lineRule="auto"/>
        <w:ind w:firstLine="640" w:firstLineChars="200"/>
        <w:rPr>
          <w:rFonts w:ascii="Times New Roman" w:hAnsi="Times New Roman" w:eastAsia="黑体" w:cs="黑体"/>
          <w:sz w:val="32"/>
          <w:szCs w:val="32"/>
          <w14:ligatures w14:val="none"/>
        </w:rPr>
      </w:pPr>
      <w:r>
        <w:rPr>
          <w:rFonts w:hint="eastAsia" w:ascii="Times New Roman" w:hAnsi="Times New Roman" w:eastAsia="黑体" w:cs="黑体"/>
          <w:sz w:val="32"/>
          <w:szCs w:val="32"/>
          <w14:ligatures w14:val="none"/>
        </w:rPr>
        <w:t>二、起草过程</w:t>
      </w:r>
    </w:p>
    <w:p w14:paraId="5006ADAF"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  <w14:ligatures w14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14:ligatures w14:val="none"/>
        </w:rPr>
        <w:t>启动规划编制：凤台县自然资源和规划局于2022年10月全面启动规划编制，项目组开展调研收资。</w:t>
      </w:r>
    </w:p>
    <w:p w14:paraId="2B4203CB"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  <w14:ligatures w14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14:ligatures w14:val="none"/>
        </w:rPr>
        <w:t>中期方案阶段：项目组于2023年9月向凤台县自然资源和规划局汇报中期方案，并征求相关股室意见。</w:t>
      </w:r>
    </w:p>
    <w:p w14:paraId="1E9847D5">
      <w:pPr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  <w14:ligatures w14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14:ligatures w14:val="none"/>
        </w:rPr>
        <w:t>征求意见阶段：凤台县自然资源和规划局于2024年3月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  <w14:ligatures w14:val="none"/>
        </w:rPr>
        <w:t>—</w:t>
      </w:r>
      <w:r>
        <w:rPr>
          <w:rFonts w:ascii="仿宋_GB2312" w:hAnsi="Times New Roman" w:eastAsia="仿宋_GB2312" w:cs="Times New Roman"/>
          <w:sz w:val="32"/>
          <w:szCs w:val="32"/>
          <w14:ligatures w14:val="none"/>
        </w:rPr>
        <w:t>8</w:t>
      </w:r>
      <w:r>
        <w:rPr>
          <w:rFonts w:hint="eastAsia" w:ascii="仿宋_GB2312" w:hAnsi="Times New Roman" w:eastAsia="仿宋_GB2312" w:cs="Times New Roman"/>
          <w:sz w:val="32"/>
          <w:szCs w:val="32"/>
          <w14:ligatures w14:val="none"/>
        </w:rPr>
        <w:t>月组织两轮县直及相关部门、乡镇、煤矿等相关企业意见征求工作。</w:t>
      </w:r>
    </w:p>
    <w:p w14:paraId="02625CA9">
      <w:pPr>
        <w:spacing w:line="360" w:lineRule="auto"/>
        <w:ind w:firstLine="640" w:firstLineChars="200"/>
        <w:rPr>
          <w:rFonts w:ascii="Times New Roman" w:hAnsi="Times New Roman" w:eastAsia="黑体" w:cs="黑体"/>
          <w:sz w:val="32"/>
          <w:szCs w:val="32"/>
          <w14:ligatures w14:val="none"/>
        </w:rPr>
      </w:pPr>
      <w:r>
        <w:rPr>
          <w:rFonts w:hint="eastAsia" w:ascii="Times New Roman" w:hAnsi="Times New Roman" w:eastAsia="黑体" w:cs="黑体"/>
          <w:sz w:val="32"/>
          <w:szCs w:val="32"/>
          <w14:ligatures w14:val="none"/>
        </w:rPr>
        <w:t>三、主要内容</w:t>
      </w:r>
    </w:p>
    <w:p w14:paraId="1C63C53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sq-AL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（一）明确规划总体目标。深入贯彻落实习近平生态文明思想，坚持山水林田湖草沙一体化保护和系统治理，统筹全县各要素资源，通过优化生态格局、空间品质提升、水系治理修复、山体保护利用、矿山修复、采煤沉陷区综合治理、城乡人居环境整治等实施为抓手，牢固生态安全屏障，持续优化空间结构、不断提升土地节约集约利用水平，构建凤台县高品质国土生态格局，初步建成人与自然和谐共生的美丽凤台。</w:t>
      </w:r>
    </w:p>
    <w:p w14:paraId="3A92042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sq-AL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（二）构建生态保护修复格局。根据《</w:t>
      </w:r>
      <w:r>
        <w:rPr>
          <w:rFonts w:hint="eastAsia" w:ascii="仿宋_GB2312" w:hAnsi="仿宋_GB2312" w:eastAsia="仿宋_GB2312" w:cs="仿宋_GB2312"/>
          <w:sz w:val="32"/>
          <w:szCs w:val="32"/>
          <w:lang w:val="sq-AL" w:eastAsia="zh-CN"/>
        </w:rPr>
        <w:t>凤台县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国民经济和社会发展第十四个五年规划和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203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5年远景目标纲要》、《凤台县（含毛集实验区）国土空间总体规划（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2021—2035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年）》、《安徽省国土空间生态修复规划（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2021—203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5年）》，《淮南市国土空间生态修复规划（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2022—2035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年）》，坚持源头治理、系统治理、综合治理原则，立足全县自然地理格局，以淮河、江淮运河、永幸河、茨淮新河、架河为县域重要生态廊道，以八公山为县域重要生态屏障，以凤凰湖、凤临湖、花家湖等为重要生态节点，构建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一屏五廊、六区多点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的国土空间生态保护修复格局。</w:t>
      </w:r>
    </w:p>
    <w:p w14:paraId="0EB6545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sq-AL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（三）科学划定生态修复分区。基于区域的生态功能重要性、主体功能定位、自然保护地、生态保护红线以及重要生态问题分布格局，统筹考虑生态系统的完整性、地理单元的连续性以及生态功能区划、流域单元分区等，落实细化凤台县国土空间总体规划生态格局，根据分区主导问题和生态恢复能力，将全县国土空间划分为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个修复分区。分别为北部土地综合整治区、中部采煤沉陷治理区、近郊都市田园修复区、城区环境品质提升区、南部山体生态涵养区、江淮运河沿线水系保育区。</w:t>
      </w:r>
    </w:p>
    <w:p w14:paraId="03CD5C7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sq-AL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（四）明确生态修复重点区域。围绕构建凤台县生态安全格局目标，根据县域生态本底及存在问题，统筹发改、自然资源和规划、生态环境、水利、农业农村等相关部门的各项生态修复任务，确定全县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个生态修复重点区域。分别为采煤沉陷区综合治理重点区域、全域土地综合整治重点区域、山体保育修复重点区域、水环境和水生态修复重点区域、湿地生态修复重点区域、城区品质提升重点区域。</w:t>
      </w:r>
    </w:p>
    <w:p w14:paraId="78617ED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sq-AL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（五）统筹生态修复重点工程。以重点区域为指引，落实《淮南市国土空间生态修复规划（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2－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2035</w:t>
      </w:r>
      <w:r>
        <w:rPr>
          <w:rFonts w:hint="eastAsia" w:ascii="仿宋_GB2312" w:hAnsi="仿宋_GB2312" w:eastAsia="仿宋_GB2312" w:cs="仿宋_GB2312"/>
          <w:sz w:val="32"/>
          <w:szCs w:val="32"/>
          <w:lang w:val="sq-AL"/>
        </w:rPr>
        <w:t>年）》确定的生态修复重点工程，基于凤台县自然地理生态格局，经与相关部门多轮会商，谋划布局全县重点项目。确定了全县39项生态修复重点工程</w:t>
      </w:r>
      <w:r>
        <w:rPr>
          <w:rFonts w:ascii="仿宋_GB2312" w:hAnsi="仿宋_GB2312" w:eastAsia="仿宋_GB2312" w:cs="仿宋_GB2312"/>
          <w:sz w:val="32"/>
          <w:szCs w:val="32"/>
          <w:lang w:val="sq-AL"/>
        </w:rPr>
        <w:t>。</w:t>
      </w:r>
    </w:p>
    <w:p w14:paraId="3FF71071">
      <w:pPr>
        <w:rPr>
          <w:rFonts w:ascii="Calibri" w:hAnsi="Calibri" w:eastAsia="宋体" w:cs="Times New Roman"/>
          <w14:ligatures w14:val="none"/>
        </w:rPr>
      </w:pPr>
    </w:p>
    <w:p w14:paraId="73D78C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45"/>
    <w:rsid w:val="00676B45"/>
    <w:rsid w:val="00B051FD"/>
    <w:rsid w:val="00F27769"/>
    <w:rsid w:val="5912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1288</Words>
  <Characters>1347</Characters>
  <Lines>9</Lines>
  <Paragraphs>2</Paragraphs>
  <TotalTime>274</TotalTime>
  <ScaleCrop>false</ScaleCrop>
  <LinksUpToDate>false</LinksUpToDate>
  <CharactersWithSpaces>1347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2025-07-11T03:07:00Z</dcterms:created>
  <dc:creator>ftxxzx1234@hotmail.com</dc:creator>
  <cp:lastModifiedBy>库库</cp:lastModifiedBy>
  <dcterms:modified xsi:type="dcterms:W3CDTF">2025-07-11T09:09:54Z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eyJoZGlkIjoiOWY2ZTNmNDdmZWViZDNlZmNkMjkxODYxMDAzZTJhMWMiLCJ1c2VySWQiOiIyMjQ4MTUyODUifQ==</vt:lpwstr>
  </property>
  <property fmtid="{D5CDD505-2E9C-101B-9397-08002B2CF9AE}" pid="3" name="KSOProductBuildVer">
    <vt:lpwstr>2052-12.1.0.20305</vt:lpwstr>
  </property>
  <property fmtid="{D5CDD505-2E9C-101B-9397-08002B2CF9AE}" pid="4" name="ICV">
    <vt:lpwstr>9A97FD8BC23443E4B7F1C94AADF625DC_13</vt:lpwstr>
  </property>
</Properties>
</file>