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199BA">
      <w:pPr>
        <w:pStyle w:val="2"/>
        <w:keepNext w:val="0"/>
        <w:keepLines w:val="0"/>
        <w:widowControl/>
        <w:suppressLineNumbers w:val="0"/>
        <w:spacing w:before="0" w:beforeAutospacing="0" w:after="0" w:afterAutospacing="0"/>
        <w:ind w:right="0"/>
        <w:jc w:val="center"/>
        <w:rPr>
          <w:rFonts w:hint="eastAsia" w:ascii="方正小标宋简体" w:hAnsi="方正小标宋简体" w:eastAsia="方正小标宋简体" w:cs="方正小标宋简体"/>
          <w:color w:val="auto"/>
          <w:sz w:val="32"/>
          <w:szCs w:val="32"/>
          <w:lang w:val="en-US" w:eastAsia="zh-CN"/>
        </w:rPr>
      </w:pPr>
      <w:bookmarkStart w:id="0" w:name="_GoBack"/>
      <w:r>
        <w:rPr>
          <w:rFonts w:hint="eastAsia" w:ascii="方正小标宋简体" w:hAnsi="方正小标宋简体" w:eastAsia="方正小标宋简体" w:cs="方正小标宋简体"/>
          <w:color w:val="auto"/>
          <w:sz w:val="32"/>
          <w:szCs w:val="32"/>
          <w:lang w:val="en-US" w:eastAsia="zh-CN"/>
        </w:rPr>
        <w:t>凤台县2025年商品有机肥推广应用项目实施拟供肥主体情况一览表</w:t>
      </w:r>
    </w:p>
    <w:bookmarkEnd w:id="0"/>
    <w:tbl>
      <w:tblPr>
        <w:tblStyle w:val="4"/>
        <w:tblW w:w="15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490"/>
        <w:gridCol w:w="1232"/>
        <w:gridCol w:w="1665"/>
        <w:gridCol w:w="1220"/>
        <w:gridCol w:w="1302"/>
        <w:gridCol w:w="1665"/>
        <w:gridCol w:w="1764"/>
        <w:gridCol w:w="4368"/>
      </w:tblGrid>
      <w:tr w14:paraId="2DF9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49" w:type="dxa"/>
            <w:vMerge w:val="restart"/>
            <w:vAlign w:val="center"/>
          </w:tcPr>
          <w:p w14:paraId="2D8D2D50">
            <w:pPr>
              <w:pStyle w:val="2"/>
              <w:keepNext w:val="0"/>
              <w:keepLines w:val="0"/>
              <w:widowControl/>
              <w:suppressLineNumbers w:val="0"/>
              <w:spacing w:before="0" w:beforeAutospacing="0" w:after="0" w:afterAutospacing="0"/>
              <w:ind w:right="0"/>
              <w:jc w:val="center"/>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1490" w:type="dxa"/>
            <w:vMerge w:val="restart"/>
            <w:vAlign w:val="center"/>
          </w:tcPr>
          <w:p w14:paraId="4D41F566">
            <w:pPr>
              <w:pStyle w:val="2"/>
              <w:keepNext w:val="0"/>
              <w:keepLines w:val="0"/>
              <w:widowControl/>
              <w:suppressLineNumbers w:val="0"/>
              <w:spacing w:before="0" w:beforeAutospacing="0" w:after="0" w:afterAutospacing="0"/>
              <w:ind w:right="0"/>
              <w:jc w:val="center"/>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拟供肥主体名称</w:t>
            </w:r>
          </w:p>
        </w:tc>
        <w:tc>
          <w:tcPr>
            <w:tcW w:w="1232" w:type="dxa"/>
            <w:vMerge w:val="restart"/>
            <w:vAlign w:val="center"/>
          </w:tcPr>
          <w:p w14:paraId="6942A79D">
            <w:pPr>
              <w:pStyle w:val="2"/>
              <w:keepNext w:val="0"/>
              <w:keepLines w:val="0"/>
              <w:widowControl/>
              <w:suppressLineNumbers w:val="0"/>
              <w:spacing w:before="0" w:beforeAutospacing="0" w:after="0" w:afterAutospacing="0"/>
              <w:ind w:right="0"/>
              <w:jc w:val="center"/>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企业厂址</w:t>
            </w:r>
          </w:p>
        </w:tc>
        <w:tc>
          <w:tcPr>
            <w:tcW w:w="1665" w:type="dxa"/>
            <w:vMerge w:val="restart"/>
            <w:vAlign w:val="center"/>
          </w:tcPr>
          <w:p w14:paraId="6BAC0883">
            <w:pPr>
              <w:pStyle w:val="2"/>
              <w:keepNext w:val="0"/>
              <w:keepLines w:val="0"/>
              <w:widowControl/>
              <w:suppressLineNumbers w:val="0"/>
              <w:spacing w:before="0" w:beforeAutospacing="0" w:after="0" w:afterAutospacing="0"/>
              <w:ind w:right="0"/>
              <w:jc w:val="center"/>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负责人及电话</w:t>
            </w:r>
          </w:p>
        </w:tc>
        <w:tc>
          <w:tcPr>
            <w:tcW w:w="1220" w:type="dxa"/>
            <w:vMerge w:val="restart"/>
            <w:vAlign w:val="center"/>
          </w:tcPr>
          <w:p w14:paraId="617E84C8">
            <w:pPr>
              <w:pStyle w:val="2"/>
              <w:keepNext w:val="0"/>
              <w:keepLines w:val="0"/>
              <w:widowControl/>
              <w:suppressLineNumbers w:val="0"/>
              <w:spacing w:before="0" w:beforeAutospacing="0" w:after="0" w:afterAutospacing="0"/>
              <w:ind w:right="0"/>
              <w:jc w:val="center"/>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承担的任务量</w:t>
            </w:r>
          </w:p>
        </w:tc>
        <w:tc>
          <w:tcPr>
            <w:tcW w:w="1302" w:type="dxa"/>
            <w:vMerge w:val="restart"/>
            <w:vAlign w:val="center"/>
          </w:tcPr>
          <w:p w14:paraId="5C2A886D">
            <w:pPr>
              <w:pStyle w:val="2"/>
              <w:keepNext w:val="0"/>
              <w:keepLines w:val="0"/>
              <w:widowControl/>
              <w:suppressLineNumbers w:val="0"/>
              <w:spacing w:before="0" w:beforeAutospacing="0" w:after="0" w:afterAutospacing="0"/>
              <w:ind w:right="0"/>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完成期限</w:t>
            </w:r>
          </w:p>
        </w:tc>
        <w:tc>
          <w:tcPr>
            <w:tcW w:w="3429" w:type="dxa"/>
            <w:gridSpan w:val="2"/>
            <w:vAlign w:val="center"/>
          </w:tcPr>
          <w:p w14:paraId="2D26D2AC">
            <w:pPr>
              <w:pStyle w:val="2"/>
              <w:keepNext w:val="0"/>
              <w:keepLines w:val="0"/>
              <w:widowControl/>
              <w:suppressLineNumbers w:val="0"/>
              <w:spacing w:before="0" w:beforeAutospacing="0" w:after="0" w:afterAutospacing="0"/>
              <w:ind w:right="0"/>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有机肥最高零售限价</w:t>
            </w:r>
          </w:p>
        </w:tc>
        <w:tc>
          <w:tcPr>
            <w:tcW w:w="4368" w:type="dxa"/>
            <w:vMerge w:val="restart"/>
            <w:vAlign w:val="center"/>
          </w:tcPr>
          <w:p w14:paraId="55E4FFF8">
            <w:pPr>
              <w:pStyle w:val="2"/>
              <w:keepNext w:val="0"/>
              <w:keepLines w:val="0"/>
              <w:widowControl/>
              <w:suppressLineNumbers w:val="0"/>
              <w:spacing w:before="0" w:beforeAutospacing="0" w:after="0" w:afterAutospacing="0"/>
              <w:ind w:right="0"/>
              <w:jc w:val="center"/>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备注</w:t>
            </w:r>
          </w:p>
        </w:tc>
      </w:tr>
      <w:tr w14:paraId="568C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49" w:type="dxa"/>
            <w:vMerge w:val="continue"/>
          </w:tcPr>
          <w:p w14:paraId="3CE4C5FF">
            <w:pPr>
              <w:pStyle w:val="2"/>
              <w:keepNext w:val="0"/>
              <w:keepLines w:val="0"/>
              <w:widowControl/>
              <w:suppressLineNumbers w:val="0"/>
              <w:spacing w:before="0" w:beforeAutospacing="0" w:after="0" w:afterAutospacing="0"/>
              <w:ind w:right="0"/>
              <w:jc w:val="center"/>
              <w:rPr>
                <w:rFonts w:hint="default" w:ascii="仿宋_GB2312" w:hAnsi="仿宋_GB2312" w:eastAsia="仿宋_GB2312" w:cs="仿宋_GB2312"/>
                <w:color w:val="auto"/>
                <w:sz w:val="24"/>
                <w:szCs w:val="24"/>
                <w:vertAlign w:val="baseline"/>
                <w:lang w:val="en-US" w:eastAsia="zh-CN"/>
              </w:rPr>
            </w:pPr>
          </w:p>
        </w:tc>
        <w:tc>
          <w:tcPr>
            <w:tcW w:w="1490" w:type="dxa"/>
            <w:vMerge w:val="continue"/>
          </w:tcPr>
          <w:p w14:paraId="480E4BB6">
            <w:pPr>
              <w:pStyle w:val="2"/>
              <w:keepNext w:val="0"/>
              <w:keepLines w:val="0"/>
              <w:widowControl/>
              <w:suppressLineNumbers w:val="0"/>
              <w:spacing w:before="0" w:beforeAutospacing="0" w:after="0" w:afterAutospacing="0"/>
              <w:ind w:right="0"/>
              <w:jc w:val="center"/>
              <w:rPr>
                <w:rFonts w:hint="eastAsia" w:ascii="仿宋_GB2312" w:hAnsi="仿宋_GB2312" w:eastAsia="仿宋_GB2312" w:cs="仿宋_GB2312"/>
                <w:color w:val="auto"/>
                <w:sz w:val="24"/>
                <w:szCs w:val="24"/>
                <w:vertAlign w:val="baseline"/>
                <w:lang w:val="en-US" w:eastAsia="zh-CN"/>
              </w:rPr>
            </w:pPr>
          </w:p>
        </w:tc>
        <w:tc>
          <w:tcPr>
            <w:tcW w:w="1232" w:type="dxa"/>
            <w:vMerge w:val="continue"/>
          </w:tcPr>
          <w:p w14:paraId="05FBE395">
            <w:pPr>
              <w:pStyle w:val="2"/>
              <w:keepNext w:val="0"/>
              <w:keepLines w:val="0"/>
              <w:widowControl/>
              <w:suppressLineNumbers w:val="0"/>
              <w:spacing w:before="0" w:beforeAutospacing="0" w:after="0" w:afterAutospacing="0"/>
              <w:ind w:right="0"/>
              <w:jc w:val="center"/>
              <w:rPr>
                <w:rFonts w:hint="eastAsia" w:ascii="仿宋_GB2312" w:hAnsi="仿宋_GB2312" w:eastAsia="仿宋_GB2312" w:cs="仿宋_GB2312"/>
                <w:color w:val="auto"/>
                <w:sz w:val="24"/>
                <w:szCs w:val="24"/>
                <w:vertAlign w:val="baseline"/>
                <w:lang w:val="en-US" w:eastAsia="zh-CN"/>
              </w:rPr>
            </w:pPr>
          </w:p>
        </w:tc>
        <w:tc>
          <w:tcPr>
            <w:tcW w:w="1665" w:type="dxa"/>
            <w:vMerge w:val="continue"/>
          </w:tcPr>
          <w:p w14:paraId="198CB213">
            <w:pPr>
              <w:pStyle w:val="2"/>
              <w:keepNext w:val="0"/>
              <w:keepLines w:val="0"/>
              <w:widowControl/>
              <w:suppressLineNumbers w:val="0"/>
              <w:spacing w:before="0" w:beforeAutospacing="0" w:after="0" w:afterAutospacing="0"/>
              <w:ind w:right="0"/>
              <w:jc w:val="center"/>
              <w:rPr>
                <w:rFonts w:hint="default" w:ascii="仿宋_GB2312" w:hAnsi="仿宋_GB2312" w:eastAsia="仿宋_GB2312" w:cs="仿宋_GB2312"/>
                <w:color w:val="auto"/>
                <w:sz w:val="24"/>
                <w:szCs w:val="24"/>
                <w:vertAlign w:val="baseline"/>
                <w:lang w:val="en-US" w:eastAsia="zh-CN"/>
              </w:rPr>
            </w:pPr>
          </w:p>
        </w:tc>
        <w:tc>
          <w:tcPr>
            <w:tcW w:w="1220" w:type="dxa"/>
            <w:vMerge w:val="continue"/>
          </w:tcPr>
          <w:p w14:paraId="3281B885">
            <w:pPr>
              <w:pStyle w:val="2"/>
              <w:keepNext w:val="0"/>
              <w:keepLines w:val="0"/>
              <w:widowControl/>
              <w:suppressLineNumbers w:val="0"/>
              <w:spacing w:before="0" w:beforeAutospacing="0" w:after="0" w:afterAutospacing="0"/>
              <w:ind w:right="0"/>
              <w:jc w:val="center"/>
              <w:rPr>
                <w:rFonts w:hint="eastAsia" w:ascii="仿宋_GB2312" w:hAnsi="仿宋_GB2312" w:eastAsia="仿宋_GB2312" w:cs="仿宋_GB2312"/>
                <w:color w:val="auto"/>
                <w:sz w:val="24"/>
                <w:szCs w:val="24"/>
                <w:vertAlign w:val="baseline"/>
                <w:lang w:val="en-US" w:eastAsia="zh-CN"/>
              </w:rPr>
            </w:pPr>
          </w:p>
        </w:tc>
        <w:tc>
          <w:tcPr>
            <w:tcW w:w="1302" w:type="dxa"/>
            <w:vMerge w:val="continue"/>
          </w:tcPr>
          <w:p w14:paraId="7DEED217">
            <w:pPr>
              <w:pStyle w:val="2"/>
              <w:keepNext w:val="0"/>
              <w:keepLines w:val="0"/>
              <w:widowControl/>
              <w:suppressLineNumbers w:val="0"/>
              <w:spacing w:before="0" w:beforeAutospacing="0" w:after="0" w:afterAutospacing="0"/>
              <w:ind w:right="0"/>
              <w:jc w:val="center"/>
              <w:rPr>
                <w:rFonts w:hint="eastAsia" w:ascii="仿宋_GB2312" w:hAnsi="仿宋_GB2312" w:eastAsia="仿宋_GB2312" w:cs="仿宋_GB2312"/>
                <w:color w:val="auto"/>
                <w:sz w:val="24"/>
                <w:szCs w:val="24"/>
                <w:vertAlign w:val="baseline"/>
                <w:lang w:val="en-US" w:eastAsia="zh-CN"/>
              </w:rPr>
            </w:pPr>
          </w:p>
        </w:tc>
        <w:tc>
          <w:tcPr>
            <w:tcW w:w="1665" w:type="dxa"/>
            <w:vAlign w:val="center"/>
          </w:tcPr>
          <w:p w14:paraId="3BDA4B43">
            <w:pPr>
              <w:pStyle w:val="2"/>
              <w:keepNext w:val="0"/>
              <w:keepLines w:val="0"/>
              <w:widowControl/>
              <w:suppressLineNumbers w:val="0"/>
              <w:spacing w:before="0" w:beforeAutospacing="0" w:after="0" w:afterAutospacing="0"/>
              <w:ind w:right="0"/>
              <w:jc w:val="center"/>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颗粒料</w:t>
            </w:r>
          </w:p>
        </w:tc>
        <w:tc>
          <w:tcPr>
            <w:tcW w:w="1764" w:type="dxa"/>
            <w:vAlign w:val="center"/>
          </w:tcPr>
          <w:p w14:paraId="7F247A6D">
            <w:pPr>
              <w:pStyle w:val="2"/>
              <w:keepNext w:val="0"/>
              <w:keepLines w:val="0"/>
              <w:widowControl/>
              <w:suppressLineNumbers w:val="0"/>
              <w:spacing w:before="0" w:beforeAutospacing="0" w:after="0" w:afterAutospacing="0"/>
              <w:ind w:right="0"/>
              <w:jc w:val="center"/>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粉状料</w:t>
            </w:r>
          </w:p>
        </w:tc>
        <w:tc>
          <w:tcPr>
            <w:tcW w:w="4368" w:type="dxa"/>
            <w:vMerge w:val="continue"/>
          </w:tcPr>
          <w:p w14:paraId="323EB6F7">
            <w:pPr>
              <w:pStyle w:val="2"/>
              <w:keepNext w:val="0"/>
              <w:keepLines w:val="0"/>
              <w:widowControl/>
              <w:suppressLineNumbers w:val="0"/>
              <w:spacing w:before="0" w:beforeAutospacing="0" w:after="0" w:afterAutospacing="0"/>
              <w:ind w:right="0"/>
              <w:jc w:val="center"/>
              <w:rPr>
                <w:rFonts w:hint="eastAsia" w:ascii="仿宋_GB2312" w:hAnsi="仿宋_GB2312" w:eastAsia="仿宋_GB2312" w:cs="仿宋_GB2312"/>
                <w:color w:val="auto"/>
                <w:sz w:val="24"/>
                <w:szCs w:val="24"/>
                <w:vertAlign w:val="baseline"/>
                <w:lang w:val="en-US" w:eastAsia="zh-CN"/>
              </w:rPr>
            </w:pPr>
          </w:p>
        </w:tc>
      </w:tr>
      <w:tr w14:paraId="02DA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4" w:hRule="atLeast"/>
          <w:jc w:val="center"/>
        </w:trPr>
        <w:tc>
          <w:tcPr>
            <w:tcW w:w="549" w:type="dxa"/>
            <w:vAlign w:val="center"/>
          </w:tcPr>
          <w:p w14:paraId="73EAC4ED">
            <w:pPr>
              <w:pStyle w:val="2"/>
              <w:keepNext w:val="0"/>
              <w:keepLines w:val="0"/>
              <w:widowControl/>
              <w:suppressLineNumbers w:val="0"/>
              <w:spacing w:before="0" w:beforeAutospacing="0" w:after="0" w:afterAutospacing="0"/>
              <w:ind w:right="0"/>
              <w:jc w:val="left"/>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490" w:type="dxa"/>
            <w:vAlign w:val="center"/>
          </w:tcPr>
          <w:p w14:paraId="5A9F022C">
            <w:pPr>
              <w:pStyle w:val="2"/>
              <w:keepNext w:val="0"/>
              <w:keepLines w:val="0"/>
              <w:widowControl/>
              <w:suppressLineNumbers w:val="0"/>
              <w:spacing w:before="0" w:beforeAutospacing="0" w:after="0" w:afterAutospacing="0"/>
              <w:ind w:right="0"/>
              <w:jc w:val="left"/>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val="en-US" w:eastAsia="zh-CN"/>
              </w:rPr>
              <w:t>淮南智农有机肥有限公司</w:t>
            </w:r>
          </w:p>
        </w:tc>
        <w:tc>
          <w:tcPr>
            <w:tcW w:w="1232" w:type="dxa"/>
            <w:vAlign w:val="center"/>
          </w:tcPr>
          <w:p w14:paraId="41556F84">
            <w:pPr>
              <w:pStyle w:val="2"/>
              <w:keepNext w:val="0"/>
              <w:keepLines w:val="0"/>
              <w:widowControl/>
              <w:suppressLineNumbers w:val="0"/>
              <w:spacing w:before="0" w:beforeAutospacing="0" w:after="0" w:afterAutospacing="0"/>
              <w:ind w:right="0"/>
              <w:jc w:val="left"/>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val="en-US" w:eastAsia="zh-CN"/>
              </w:rPr>
              <w:t>凤台县新集镇工业园集聚区内</w:t>
            </w:r>
          </w:p>
        </w:tc>
        <w:tc>
          <w:tcPr>
            <w:tcW w:w="1665" w:type="dxa"/>
            <w:vAlign w:val="center"/>
          </w:tcPr>
          <w:p w14:paraId="602841A7">
            <w:pPr>
              <w:pStyle w:val="2"/>
              <w:keepNext w:val="0"/>
              <w:keepLines w:val="0"/>
              <w:widowControl/>
              <w:suppressLineNumbers w:val="0"/>
              <w:spacing w:before="0" w:beforeAutospacing="0" w:after="0" w:afterAutospacing="0"/>
              <w:ind w:right="0"/>
              <w:jc w:val="left"/>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高凤芹13955492292</w:t>
            </w:r>
          </w:p>
        </w:tc>
        <w:tc>
          <w:tcPr>
            <w:tcW w:w="1220" w:type="dxa"/>
            <w:vAlign w:val="center"/>
          </w:tcPr>
          <w:p w14:paraId="0A22B2DC">
            <w:pPr>
              <w:pStyle w:val="2"/>
              <w:keepNext w:val="0"/>
              <w:keepLines w:val="0"/>
              <w:widowControl/>
              <w:suppressLineNumbers w:val="0"/>
              <w:spacing w:before="0" w:beforeAutospacing="0" w:after="0" w:afterAutospacing="0"/>
              <w:ind w:right="0"/>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2500吨</w:t>
            </w:r>
          </w:p>
        </w:tc>
        <w:tc>
          <w:tcPr>
            <w:tcW w:w="1302" w:type="dxa"/>
            <w:vMerge w:val="restart"/>
            <w:vAlign w:val="center"/>
          </w:tcPr>
          <w:p w14:paraId="4753EA4F">
            <w:pPr>
              <w:pStyle w:val="2"/>
              <w:keepNext w:val="0"/>
              <w:keepLines w:val="0"/>
              <w:widowControl/>
              <w:suppressLineNumbers w:val="0"/>
              <w:spacing w:before="0" w:beforeAutospacing="0" w:after="0" w:afterAutospacing="0"/>
              <w:ind w:right="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vertAlign w:val="baseline"/>
                <w:lang w:val="en-US" w:eastAsia="zh-CN"/>
              </w:rPr>
              <w:t>12月底前</w:t>
            </w:r>
          </w:p>
        </w:tc>
        <w:tc>
          <w:tcPr>
            <w:tcW w:w="1665" w:type="dxa"/>
            <w:vMerge w:val="restart"/>
            <w:vAlign w:val="center"/>
          </w:tcPr>
          <w:p w14:paraId="5123AE34">
            <w:pPr>
              <w:pStyle w:val="2"/>
              <w:keepNext w:val="0"/>
              <w:keepLines w:val="0"/>
              <w:widowControl/>
              <w:suppressLineNumbers w:val="0"/>
              <w:spacing w:before="0" w:beforeAutospacing="0" w:after="0" w:afterAutospacing="0"/>
              <w:ind w:right="0"/>
              <w:jc w:val="left"/>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val="en-US" w:eastAsia="zh-CN"/>
              </w:rPr>
              <w:t>525元/吨</w:t>
            </w:r>
          </w:p>
        </w:tc>
        <w:tc>
          <w:tcPr>
            <w:tcW w:w="1764" w:type="dxa"/>
            <w:vMerge w:val="restart"/>
            <w:vAlign w:val="center"/>
          </w:tcPr>
          <w:p w14:paraId="188E7A93">
            <w:pPr>
              <w:pStyle w:val="2"/>
              <w:keepNext w:val="0"/>
              <w:keepLines w:val="0"/>
              <w:widowControl/>
              <w:suppressLineNumbers w:val="0"/>
              <w:spacing w:before="0" w:beforeAutospacing="0" w:after="0" w:afterAutospacing="0"/>
              <w:ind w:right="0"/>
              <w:jc w:val="left"/>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val="en-US" w:eastAsia="zh-CN"/>
              </w:rPr>
              <w:t>410元/吨</w:t>
            </w:r>
          </w:p>
        </w:tc>
        <w:tc>
          <w:tcPr>
            <w:tcW w:w="4368" w:type="dxa"/>
            <w:vMerge w:val="restart"/>
            <w:vAlign w:val="center"/>
          </w:tcPr>
          <w:p w14:paraId="7426F8F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jc w:val="lef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说明：按照《凤台县2025年商品有机肥推广应用项目实施方案》（凤农字〔2025〕83号）：1、供肥主体企业须以低于最高零售限价200元/吨的价格销售给施肥主体，施肥主体在购肥时只需支付市场零售价扣除财政补贴后的部分（即粉状料210元/吨、颗粒料325元/吨）。供肥主体企业须承诺享受财政补贴的商品有机肥产品实行最高零售限价，以不超过我县最高零售限价的市场零售价扣除补贴后价格供肥。2、所出售的商品有机肥质量达到NY/T525－2021要求。</w:t>
            </w:r>
          </w:p>
        </w:tc>
      </w:tr>
      <w:tr w14:paraId="144D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jc w:val="center"/>
        </w:trPr>
        <w:tc>
          <w:tcPr>
            <w:tcW w:w="549" w:type="dxa"/>
            <w:vAlign w:val="center"/>
          </w:tcPr>
          <w:p w14:paraId="15837A00">
            <w:pPr>
              <w:pStyle w:val="2"/>
              <w:keepNext w:val="0"/>
              <w:keepLines w:val="0"/>
              <w:widowControl/>
              <w:suppressLineNumbers w:val="0"/>
              <w:spacing w:before="0" w:beforeAutospacing="0" w:after="0" w:afterAutospacing="0"/>
              <w:ind w:right="0"/>
              <w:jc w:val="left"/>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1490" w:type="dxa"/>
            <w:vAlign w:val="center"/>
          </w:tcPr>
          <w:p w14:paraId="49B6F852">
            <w:pPr>
              <w:pStyle w:val="2"/>
              <w:keepNext w:val="0"/>
              <w:keepLines w:val="0"/>
              <w:widowControl/>
              <w:suppressLineNumbers w:val="0"/>
              <w:spacing w:before="0" w:beforeAutospacing="0" w:after="0" w:afterAutospacing="0"/>
              <w:ind w:right="0"/>
              <w:jc w:val="left"/>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val="en-US" w:eastAsia="zh-CN"/>
              </w:rPr>
              <w:t>淮南泰优田生物科技发展有限公司</w:t>
            </w:r>
          </w:p>
        </w:tc>
        <w:tc>
          <w:tcPr>
            <w:tcW w:w="1232" w:type="dxa"/>
            <w:vAlign w:val="center"/>
          </w:tcPr>
          <w:p w14:paraId="76790A40">
            <w:pPr>
              <w:pStyle w:val="2"/>
              <w:keepNext w:val="0"/>
              <w:keepLines w:val="0"/>
              <w:widowControl/>
              <w:suppressLineNumbers w:val="0"/>
              <w:spacing w:before="0" w:beforeAutospacing="0" w:after="0" w:afterAutospacing="0"/>
              <w:ind w:right="0"/>
              <w:jc w:val="left"/>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val="en-US" w:eastAsia="zh-CN"/>
              </w:rPr>
              <w:t>关店乡前老村</w:t>
            </w:r>
          </w:p>
        </w:tc>
        <w:tc>
          <w:tcPr>
            <w:tcW w:w="1665" w:type="dxa"/>
            <w:vAlign w:val="center"/>
          </w:tcPr>
          <w:p w14:paraId="41A822AA">
            <w:pPr>
              <w:pStyle w:val="2"/>
              <w:keepNext w:val="0"/>
              <w:keepLines w:val="0"/>
              <w:widowControl/>
              <w:suppressLineNumbers w:val="0"/>
              <w:spacing w:before="0" w:beforeAutospacing="0" w:after="0" w:afterAutospacing="0"/>
              <w:ind w:right="0"/>
              <w:jc w:val="left"/>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孙友军13329101788</w:t>
            </w:r>
          </w:p>
        </w:tc>
        <w:tc>
          <w:tcPr>
            <w:tcW w:w="1220" w:type="dxa"/>
            <w:vAlign w:val="center"/>
          </w:tcPr>
          <w:p w14:paraId="49758D15">
            <w:pPr>
              <w:pStyle w:val="2"/>
              <w:keepNext w:val="0"/>
              <w:keepLines w:val="0"/>
              <w:widowControl/>
              <w:suppressLineNumbers w:val="0"/>
              <w:spacing w:before="0" w:beforeAutospacing="0" w:after="0" w:afterAutospacing="0"/>
              <w:ind w:right="0"/>
              <w:jc w:val="left"/>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2500吨</w:t>
            </w:r>
          </w:p>
        </w:tc>
        <w:tc>
          <w:tcPr>
            <w:tcW w:w="1302" w:type="dxa"/>
            <w:vMerge w:val="continue"/>
          </w:tcPr>
          <w:p w14:paraId="050D76CE">
            <w:pPr>
              <w:pStyle w:val="2"/>
              <w:keepNext w:val="0"/>
              <w:keepLines w:val="0"/>
              <w:widowControl/>
              <w:suppressLineNumbers w:val="0"/>
              <w:spacing w:before="0" w:beforeAutospacing="0" w:after="0" w:afterAutospacing="0"/>
              <w:ind w:right="0"/>
              <w:jc w:val="both"/>
              <w:rPr>
                <w:rFonts w:hint="default" w:ascii="仿宋_GB2312" w:hAnsi="仿宋_GB2312" w:eastAsia="仿宋_GB2312" w:cs="仿宋_GB2312"/>
                <w:color w:val="auto"/>
                <w:sz w:val="24"/>
                <w:szCs w:val="24"/>
                <w:vertAlign w:val="baseline"/>
                <w:lang w:val="en-US" w:eastAsia="zh-CN"/>
              </w:rPr>
            </w:pPr>
          </w:p>
        </w:tc>
        <w:tc>
          <w:tcPr>
            <w:tcW w:w="1665" w:type="dxa"/>
            <w:vMerge w:val="continue"/>
          </w:tcPr>
          <w:p w14:paraId="088FA329">
            <w:pPr>
              <w:pStyle w:val="2"/>
              <w:keepNext w:val="0"/>
              <w:keepLines w:val="0"/>
              <w:widowControl/>
              <w:suppressLineNumbers w:val="0"/>
              <w:spacing w:before="0" w:beforeAutospacing="0" w:after="0" w:afterAutospacing="0"/>
              <w:ind w:right="0"/>
              <w:jc w:val="both"/>
              <w:rPr>
                <w:rFonts w:hint="default" w:ascii="仿宋_GB2312" w:hAnsi="仿宋_GB2312" w:eastAsia="仿宋_GB2312" w:cs="仿宋_GB2312"/>
                <w:color w:val="auto"/>
                <w:sz w:val="24"/>
                <w:szCs w:val="24"/>
                <w:vertAlign w:val="baseline"/>
                <w:lang w:val="en-US" w:eastAsia="zh-CN"/>
              </w:rPr>
            </w:pPr>
          </w:p>
        </w:tc>
        <w:tc>
          <w:tcPr>
            <w:tcW w:w="1764" w:type="dxa"/>
            <w:vMerge w:val="continue"/>
          </w:tcPr>
          <w:p w14:paraId="62E10DE0">
            <w:pPr>
              <w:pStyle w:val="2"/>
              <w:keepNext w:val="0"/>
              <w:keepLines w:val="0"/>
              <w:widowControl/>
              <w:suppressLineNumbers w:val="0"/>
              <w:spacing w:before="0" w:beforeAutospacing="0" w:after="0" w:afterAutospacing="0"/>
              <w:ind w:right="0"/>
              <w:jc w:val="both"/>
              <w:rPr>
                <w:rFonts w:hint="default" w:ascii="仿宋_GB2312" w:hAnsi="仿宋_GB2312" w:eastAsia="仿宋_GB2312" w:cs="仿宋_GB2312"/>
                <w:color w:val="auto"/>
                <w:sz w:val="24"/>
                <w:szCs w:val="24"/>
                <w:vertAlign w:val="baseline"/>
                <w:lang w:val="en-US" w:eastAsia="zh-CN"/>
              </w:rPr>
            </w:pPr>
          </w:p>
        </w:tc>
        <w:tc>
          <w:tcPr>
            <w:tcW w:w="4368" w:type="dxa"/>
            <w:vMerge w:val="continue"/>
          </w:tcPr>
          <w:p w14:paraId="653FB67F">
            <w:pPr>
              <w:pStyle w:val="2"/>
              <w:keepNext w:val="0"/>
              <w:keepLines w:val="0"/>
              <w:widowControl/>
              <w:suppressLineNumbers w:val="0"/>
              <w:spacing w:before="0" w:beforeAutospacing="0" w:after="0" w:afterAutospacing="0"/>
              <w:ind w:right="0"/>
              <w:jc w:val="both"/>
              <w:rPr>
                <w:rFonts w:hint="default" w:ascii="仿宋_GB2312" w:hAnsi="仿宋_GB2312" w:eastAsia="仿宋_GB2312" w:cs="仿宋_GB2312"/>
                <w:color w:val="auto"/>
                <w:sz w:val="24"/>
                <w:szCs w:val="24"/>
                <w:vertAlign w:val="baseline"/>
                <w:lang w:val="en-US" w:eastAsia="zh-CN"/>
              </w:rPr>
            </w:pPr>
          </w:p>
        </w:tc>
      </w:tr>
    </w:tbl>
    <w:p w14:paraId="7A693163">
      <w:pPr>
        <w:pStyle w:val="2"/>
        <w:keepNext w:val="0"/>
        <w:keepLines w:val="0"/>
        <w:widowControl/>
        <w:suppressLineNumbers w:val="0"/>
        <w:spacing w:before="0" w:beforeAutospacing="0" w:after="0" w:afterAutospacing="0"/>
        <w:ind w:right="0"/>
        <w:jc w:val="both"/>
        <w:rPr>
          <w:rFonts w:hint="eastAsia" w:ascii="仿宋_GB2312" w:hAnsi="仿宋_GB2312" w:eastAsia="仿宋_GB2312" w:cs="仿宋_GB2312"/>
          <w:color w:val="auto"/>
          <w:sz w:val="32"/>
          <w:szCs w:val="32"/>
          <w:lang w:val="en-US" w:eastAsia="zh-CN"/>
        </w:rPr>
      </w:pPr>
    </w:p>
    <w:p w14:paraId="21DCFAE2">
      <w:pPr>
        <w:pStyle w:val="2"/>
        <w:keepNext w:val="0"/>
        <w:keepLines w:val="0"/>
        <w:widowControl/>
        <w:suppressLineNumbers w:val="0"/>
        <w:spacing w:before="0" w:beforeAutospacing="0" w:after="0" w:afterAutospacing="0"/>
        <w:ind w:left="0" w:right="0" w:firstLine="640"/>
        <w:jc w:val="both"/>
        <w:rPr>
          <w:rFonts w:hint="eastAsia" w:ascii="仿宋_GB2312" w:hAnsi="仿宋_GB2312" w:eastAsia="仿宋_GB2312" w:cs="仿宋_GB2312"/>
          <w:color w:val="auto"/>
          <w:sz w:val="32"/>
          <w:szCs w:val="32"/>
          <w:lang w:val="en-US" w:eastAsia="zh-CN"/>
        </w:rPr>
      </w:pPr>
    </w:p>
    <w:p w14:paraId="20990D1B">
      <w:pPr>
        <w:pStyle w:val="2"/>
        <w:keepNext w:val="0"/>
        <w:keepLines w:val="0"/>
        <w:widowControl/>
        <w:suppressLineNumbers w:val="0"/>
        <w:spacing w:before="0" w:beforeAutospacing="0" w:after="0" w:afterAutospacing="0"/>
        <w:ind w:left="0" w:right="0" w:firstLine="640"/>
        <w:jc w:val="both"/>
        <w:rPr>
          <w:rFonts w:hint="eastAsia" w:ascii="仿宋_GB2312" w:hAnsi="仿宋_GB2312" w:eastAsia="仿宋_GB2312" w:cs="仿宋_GB2312"/>
          <w:color w:val="auto"/>
          <w:sz w:val="32"/>
          <w:szCs w:val="32"/>
          <w:lang w:val="en-US" w:eastAsia="zh-CN"/>
        </w:rPr>
      </w:pPr>
    </w:p>
    <w:p w14:paraId="5E517BDF">
      <w:pPr>
        <w:pStyle w:val="2"/>
        <w:keepNext w:val="0"/>
        <w:keepLines w:val="0"/>
        <w:widowControl/>
        <w:suppressLineNumbers w:val="0"/>
        <w:spacing w:before="0" w:beforeAutospacing="0" w:after="0" w:afterAutospacing="0"/>
        <w:ind w:left="0" w:right="0" w:firstLine="640"/>
        <w:jc w:val="both"/>
        <w:rPr>
          <w:rFonts w:hint="eastAsia" w:ascii="仿宋_GB2312" w:hAnsi="仿宋_GB2312" w:eastAsia="仿宋_GB2312" w:cs="仿宋_GB2312"/>
          <w:color w:val="auto"/>
          <w:sz w:val="32"/>
          <w:szCs w:val="32"/>
          <w:lang w:val="en-US" w:eastAsia="zh-CN"/>
        </w:rPr>
      </w:pPr>
    </w:p>
    <w:p w14:paraId="065AF1D0">
      <w:pPr>
        <w:pStyle w:val="2"/>
        <w:keepNext w:val="0"/>
        <w:keepLines w:val="0"/>
        <w:widowControl/>
        <w:suppressLineNumbers w:val="0"/>
        <w:spacing w:before="0" w:beforeAutospacing="0" w:after="0" w:afterAutospacing="0"/>
        <w:ind w:left="0" w:right="0" w:firstLine="640"/>
        <w:jc w:val="both"/>
        <w:rPr>
          <w:rFonts w:hint="eastAsia" w:ascii="仿宋_GB2312" w:hAnsi="仿宋_GB2312" w:eastAsia="仿宋_GB2312" w:cs="仿宋_GB2312"/>
          <w:color w:val="auto"/>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253915BA">
      <w:pPr>
        <w:pStyle w:val="2"/>
        <w:keepNext w:val="0"/>
        <w:keepLines w:val="0"/>
        <w:widowControl/>
        <w:suppressLineNumbers w:val="0"/>
        <w:spacing w:before="0" w:beforeAutospacing="0" w:after="0" w:afterAutospacing="0"/>
        <w:ind w:right="0"/>
        <w:jc w:val="both"/>
        <w:rPr>
          <w:rFonts w:hint="default" w:ascii="仿宋_GB2312" w:hAnsi="仿宋_GB2312" w:eastAsia="仿宋_GB2312" w:cs="仿宋_GB2312"/>
          <w:color w:val="auto"/>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F088A"/>
    <w:rsid w:val="06816196"/>
    <w:rsid w:val="1FDF1459"/>
    <w:rsid w:val="278F491C"/>
    <w:rsid w:val="2D0363AE"/>
    <w:rsid w:val="46971401"/>
    <w:rsid w:val="4A95021B"/>
    <w:rsid w:val="4B00052E"/>
    <w:rsid w:val="5CEB57F6"/>
    <w:rsid w:val="60D22FB0"/>
    <w:rsid w:val="6C3F088A"/>
    <w:rsid w:val="7CB02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549</Words>
  <Characters>621</Characters>
  <Lines>0</Lines>
  <Paragraphs>0</Paragraphs>
  <TotalTime>0</TotalTime>
  <ScaleCrop>false</ScaleCrop>
  <LinksUpToDate>false</LinksUpToDate>
  <CharactersWithSpaces>634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2025-09-24T07:49:00Z</dcterms:created>
  <dc:creator>张奇</dc:creator>
  <cp:lastModifiedBy>张奇</cp:lastModifiedBy>
  <dcterms:modified xsi:type="dcterms:W3CDTF">2025-09-26T10:40:28Z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B4828D5E113F4AA1ACF5C2CEDB257B5F_13</vt:lpwstr>
  </property>
  <property fmtid="{D5CDD505-2E9C-101B-9397-08002B2CF9AE}" pid="4" name="KSOTemplateDocerSaveRecord">
    <vt:lpwstr>eyJoZGlkIjoiYjRlMzdiMTRjOWU2OTE5NGZjZWRjMTQzNmUwNDlmMmMiLCJ1c2VySWQiOiIxNTU4MTQwOTE5In0=</vt:lpwstr>
  </property>
</Properties>
</file>