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798D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922655</wp:posOffset>
                </wp:positionH>
                <wp:positionV relativeFrom="page">
                  <wp:posOffset>849630</wp:posOffset>
                </wp:positionV>
                <wp:extent cx="5715000" cy="990600"/>
                <wp:effectExtent l="0" t="0" r="0" b="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BD7E048">
                            <w:pPr>
                              <w:jc w:val="center"/>
                              <w:rPr>
                                <w:rFonts w:hint="eastAsia" w:ascii="方正小标宋简体" w:eastAsia="方正小标宋简体"/>
                                <w:color w:val="FF0000"/>
                                <w:spacing w:val="24"/>
                                <w:w w:val="90"/>
                                <w:sz w:val="90"/>
                                <w:szCs w:val="9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小标宋简体" w:eastAsia="方正小标宋简体"/>
                                <w:color w:val="FF0000"/>
                                <w:spacing w:val="24"/>
                                <w:w w:val="90"/>
                                <w:sz w:val="90"/>
                                <w:szCs w:val="90"/>
                              </w:rPr>
                              <w:t>凤</w:t>
                            </w:r>
                            <w:r>
                              <w:rPr>
                                <w:rFonts w:hint="eastAsia" w:ascii="方正小标宋简体" w:eastAsia="方正小标宋简体"/>
                                <w:color w:val="FF0000"/>
                                <w:spacing w:val="24"/>
                                <w:w w:val="90"/>
                                <w:sz w:val="90"/>
                                <w:szCs w:val="90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方正小标宋简体" w:eastAsia="方正小标宋简体"/>
                                <w:color w:val="FF0000"/>
                                <w:spacing w:val="24"/>
                                <w:w w:val="90"/>
                                <w:sz w:val="90"/>
                                <w:szCs w:val="90"/>
                              </w:rPr>
                              <w:t>台</w:t>
                            </w:r>
                            <w:r>
                              <w:rPr>
                                <w:rFonts w:hint="eastAsia" w:ascii="方正小标宋简体" w:eastAsia="方正小标宋简体"/>
                                <w:color w:val="FF0000"/>
                                <w:spacing w:val="24"/>
                                <w:w w:val="90"/>
                                <w:sz w:val="90"/>
                                <w:szCs w:val="90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方正小标宋简体" w:eastAsia="方正小标宋简体"/>
                                <w:color w:val="FF0000"/>
                                <w:spacing w:val="24"/>
                                <w:w w:val="90"/>
                                <w:sz w:val="90"/>
                                <w:szCs w:val="90"/>
                              </w:rPr>
                              <w:t>县</w:t>
                            </w:r>
                            <w:r>
                              <w:rPr>
                                <w:rFonts w:hint="eastAsia" w:ascii="方正小标宋简体" w:eastAsia="方正小标宋简体"/>
                                <w:color w:val="FF0000"/>
                                <w:spacing w:val="24"/>
                                <w:w w:val="90"/>
                                <w:sz w:val="90"/>
                                <w:szCs w:val="90"/>
                                <w:lang w:val="en-US" w:eastAsia="zh-CN"/>
                              </w:rPr>
                              <w:t xml:space="preserve"> 财 政 局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72.65pt;margin-top:66.9pt;height:78pt;width:450pt;mso-position-horizontal-relative:page;mso-position-vertical-relative:page;z-index:251659264;mso-width-relative:page;mso-height-relative:page;" filled="f" stroked="f" coordsize="21600,21600" o:gfxdata="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">
                <v:path/>
                <v:fill on="f" focussize="0,0"/>
                <v:stroke on="f"/>
                <v:imagedata o:title=""/>
                <o:lock v:ext="edit"/>
                <v:textbox>
                  <w:txbxContent>
                    <w:p w14:paraId="7BD7E048">
                      <w:pPr>
                        <w:jc w:val="center"/>
                        <w:rPr>
                          <w:rFonts w:hint="eastAsia" w:ascii="方正小标宋简体" w:eastAsia="方正小标宋简体"/>
                          <w:color w:val="FF0000"/>
                          <w:spacing w:val="24"/>
                          <w:w w:val="90"/>
                          <w:sz w:val="90"/>
                          <w:szCs w:val="90"/>
                          <w:lang w:val="en-US" w:eastAsia="zh-CN"/>
                        </w:rPr>
                      </w:pPr>
                      <w:r>
                        <w:rPr>
                          <w:rFonts w:hint="eastAsia" w:ascii="方正小标宋简体" w:eastAsia="方正小标宋简体"/>
                          <w:color w:val="FF0000"/>
                          <w:spacing w:val="24"/>
                          <w:w w:val="90"/>
                          <w:sz w:val="90"/>
                          <w:szCs w:val="90"/>
                        </w:rPr>
                        <w:t>凤</w:t>
                      </w:r>
                      <w:r>
                        <w:rPr>
                          <w:rFonts w:hint="eastAsia" w:ascii="方正小标宋简体" w:eastAsia="方正小标宋简体"/>
                          <w:color w:val="FF0000"/>
                          <w:spacing w:val="24"/>
                          <w:w w:val="90"/>
                          <w:sz w:val="90"/>
                          <w:szCs w:val="90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方正小标宋简体" w:eastAsia="方正小标宋简体"/>
                          <w:color w:val="FF0000"/>
                          <w:spacing w:val="24"/>
                          <w:w w:val="90"/>
                          <w:sz w:val="90"/>
                          <w:szCs w:val="90"/>
                        </w:rPr>
                        <w:t>台</w:t>
                      </w:r>
                      <w:r>
                        <w:rPr>
                          <w:rFonts w:hint="eastAsia" w:ascii="方正小标宋简体" w:eastAsia="方正小标宋简体"/>
                          <w:color w:val="FF0000"/>
                          <w:spacing w:val="24"/>
                          <w:w w:val="90"/>
                          <w:sz w:val="90"/>
                          <w:szCs w:val="90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方正小标宋简体" w:eastAsia="方正小标宋简体"/>
                          <w:color w:val="FF0000"/>
                          <w:spacing w:val="24"/>
                          <w:w w:val="90"/>
                          <w:sz w:val="90"/>
                          <w:szCs w:val="90"/>
                        </w:rPr>
                        <w:t>县</w:t>
                      </w:r>
                      <w:r>
                        <w:rPr>
                          <w:rFonts w:hint="eastAsia" w:ascii="方正小标宋简体" w:eastAsia="方正小标宋简体"/>
                          <w:color w:val="FF0000"/>
                          <w:spacing w:val="24"/>
                          <w:w w:val="90"/>
                          <w:sz w:val="90"/>
                          <w:szCs w:val="90"/>
                          <w:lang w:val="en-US" w:eastAsia="zh-CN"/>
                        </w:rPr>
                        <w:t xml:space="preserve"> 财 政 局</w:t>
                      </w:r>
                    </w:p>
                  </w:txbxContent>
                </v:textbox>
              </v:rect>
            </w:pict>
          </mc:Fallback>
        </mc:AlternateContent>
      </w:r>
    </w:p>
    <w:p w14:paraId="714A624B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745490</wp:posOffset>
                </wp:positionH>
                <wp:positionV relativeFrom="page">
                  <wp:posOffset>1782445</wp:posOffset>
                </wp:positionV>
                <wp:extent cx="6120130" cy="0"/>
                <wp:effectExtent l="0" t="19050" r="13970" b="1905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8.7pt;margin-top:140.35pt;height:0pt;width:481.9pt;mso-position-horizontal-relative:page;mso-position-vertical-relative:page;z-index:251660288;mso-width-relative:page;mso-height-relative:page;" filled="f" stroked="t" coordsize="21600,21600" o:gfxdata="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suW3U9oAAAAMAQAADwAAAAAAAAABACAAAAAiAAAAZHJzL2Rvd25yZXYueG1s&#10;UEsBAhQAFAAAAAgAh07iQL/PJWf2AQAA5QMAAA4AAAAAAAAAAQAgAAAAKQEAAGRycy9lMm9Eb2Mu&#10;eG1sUEsFBgAAAAAGAAYAWQEAAJEFAAAAAA==&#10;">
                <v:path arrowok="t"/>
                <v:fill on="f" focussize="0,0"/>
                <v:stroke weight="3pt" color="#FF0000"/>
                <v:imagedata o:title=""/>
                <o:lock v:ext="edit"/>
              </v:line>
            </w:pict>
          </mc:Fallback>
        </mc:AlternateContent>
      </w:r>
      <w:r>
        <w:rPr>
          <w:rFonts w:hint="default" w:ascii="Times New Roman" w:hAnsi="Times New Roman" w:eastAsia="仿宋_GB2312" w:cs="Times New Roman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743585</wp:posOffset>
                </wp:positionH>
                <wp:positionV relativeFrom="page">
                  <wp:posOffset>1836420</wp:posOffset>
                </wp:positionV>
                <wp:extent cx="6120130" cy="0"/>
                <wp:effectExtent l="0" t="6350" r="0" b="635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8.55pt;margin-top:144.6pt;height:0pt;width:481.9pt;mso-position-horizontal-relative:page;mso-position-vertical-relative:page;z-index:251661312;mso-width-relative:page;mso-height-relative:page;" filled="f" stroked="t" coordsize="21600,21600" o:gfxdata="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IKApXNgAAAAMAQAADwAAAAAAAAABACAAAAAiAAAAZHJzL2Rvd25yZXYueG1sUEsB&#10;AhQAFAAAAAgAh07iQN5p7fD1AQAA5QMAAA4AAAAAAAAAAQAgAAAAJwEAAGRycy9lMm9Eb2MueG1s&#10;UEsFBgAAAAAGAAYAWQEAAI4FAAAAAA==&#10;">
                <v:path arrowok="t"/>
                <v:fill on="f" focussize="0,0"/>
                <v:stroke weight="1pt" color="#FF0000"/>
                <v:imagedata o:title=""/>
                <o:lock v:ext="edit"/>
              </v:line>
            </w:pict>
          </mc:Fallback>
        </mc:AlternateContent>
      </w:r>
    </w:p>
    <w:p w14:paraId="4D1A5FDD">
      <w:pPr>
        <w:spacing w:line="560" w:lineRule="exact"/>
        <w:jc w:val="center"/>
        <w:rPr>
          <w:rFonts w:ascii="宋体" w:hAnsi="宋体" w:eastAsia="宋体" w:cs="宋体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凤台县财政局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关于做好202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县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级预算绩效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运行监控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工作的通知</w:t>
      </w:r>
    </w:p>
    <w:p w14:paraId="3378AB0C">
      <w:pPr>
        <w:spacing w:line="560" w:lineRule="exact"/>
        <w:rPr>
          <w:rFonts w:ascii="宋体" w:hAnsi="宋体" w:eastAsia="宋体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 w14:paraId="133D6455">
      <w:pPr>
        <w:spacing w:line="560" w:lineRule="exact"/>
        <w:rPr>
          <w:rFonts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开发区、各乡镇人民政府，县</w:t>
      </w:r>
      <w:r>
        <w:rPr>
          <w:rFonts w:hint="eastAsia"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直各部门:</w:t>
      </w:r>
    </w:p>
    <w:p w14:paraId="72367675">
      <w:pPr>
        <w:spacing w:line="560" w:lineRule="exact"/>
        <w:ind w:firstLine="645"/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根</w:t>
      </w:r>
      <w:r>
        <w:rPr>
          <w:rFonts w:hint="eastAsia" w:ascii="仿宋_GB2312" w:hAnsi="宋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据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《安徽省</w:t>
      </w:r>
      <w:r>
        <w:rPr>
          <w:rFonts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省级部门预算绩效运行监控管理暂行办法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》（皖</w:t>
      </w:r>
      <w:r>
        <w:rPr>
          <w:rFonts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财绩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〔20</w:t>
      </w:r>
      <w:r>
        <w:rPr>
          <w:rFonts w:ascii="仿宋_GB2312" w:hAnsi="仿宋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19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〕</w:t>
      </w:r>
      <w:r>
        <w:rPr>
          <w:rFonts w:ascii="仿宋_GB2312" w:hAnsi="仿宋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1624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号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和《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关于印发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&lt;凤台县县级预算绩效管理暂行办法&gt;的通知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》（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财预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〔20</w:t>
      </w:r>
      <w:r>
        <w:rPr>
          <w:rFonts w:ascii="仿宋_GB2312" w:hAnsi="仿宋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〕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57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号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）等</w:t>
      </w:r>
      <w:r>
        <w:rPr>
          <w:rFonts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有关规定，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结合财政科学管理试点“加强预算绩效管理”工作，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现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将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县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级预算绩效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运行监控</w:t>
      </w:r>
      <w:bookmarkStart w:id="0" w:name="_GoBack"/>
      <w:bookmarkEnd w:id="0"/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工作通知如下：</w:t>
      </w:r>
    </w:p>
    <w:p w14:paraId="0CE23F8A">
      <w:pPr>
        <w:spacing w:line="560" w:lineRule="exact"/>
        <w:ind w:firstLine="645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一、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监控对象</w:t>
      </w:r>
    </w:p>
    <w:p w14:paraId="3923AE95">
      <w:pPr>
        <w:numPr>
          <w:ilvl w:val="0"/>
          <w:numId w:val="0"/>
        </w:numPr>
        <w:spacing w:line="560" w:lineRule="exact"/>
        <w:ind w:firstLine="640"/>
        <w:rPr>
          <w:rFonts w:hint="eastAsia" w:ascii="仿宋_GB2312" w:hAnsi="黑体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主要包括</w:t>
      </w:r>
      <w:r>
        <w:rPr>
          <w:rFonts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部门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整体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支出和</w:t>
      </w:r>
      <w:r>
        <w:rPr>
          <w:rFonts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所有项目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支出。</w:t>
      </w:r>
    </w:p>
    <w:p w14:paraId="6924621F">
      <w:pPr>
        <w:spacing w:line="560" w:lineRule="exact"/>
        <w:ind w:firstLine="645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二、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监控内容</w:t>
      </w:r>
    </w:p>
    <w:p w14:paraId="18537E09">
      <w:pPr>
        <w:numPr>
          <w:ilvl w:val="0"/>
          <w:numId w:val="0"/>
        </w:numPr>
        <w:spacing w:line="560" w:lineRule="exact"/>
        <w:ind w:firstLine="640"/>
        <w:rPr>
          <w:rFonts w:hint="eastAsia" w:ascii="仿宋_GB2312" w:hAnsi="黑体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各部门应对所有监控对象1-8月的绩效目标实现程度及预算资金执行进度实施绩效运行监控。主要包括预计产出的完成进度及趋势、预计效果的实现进度及趋势、服务对象满意度及趋势，以及预算资金拨付情况、预算执行单位实际支出情况和预计结转结余情况等。</w:t>
      </w:r>
    </w:p>
    <w:p w14:paraId="2D56D93D">
      <w:pPr>
        <w:numPr>
          <w:ilvl w:val="0"/>
          <w:numId w:val="0"/>
        </w:numPr>
        <w:spacing w:line="560" w:lineRule="exact"/>
        <w:ind w:firstLine="640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三、监控方式</w:t>
      </w:r>
    </w:p>
    <w:p w14:paraId="1FA984BD">
      <w:pPr>
        <w:numPr>
          <w:ilvl w:val="0"/>
          <w:numId w:val="0"/>
        </w:numPr>
        <w:spacing w:line="560" w:lineRule="exact"/>
        <w:ind w:firstLine="640"/>
        <w:rPr>
          <w:rFonts w:hint="eastAsia" w:ascii="仿宋_GB2312" w:hAnsi="黑体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2025年绩效运行监控采取线上方式进行。线上监控任务将于9月1日通过预算管理一体化系统下达，任务下达后，各部门可以在系统中填报《项目支出绩效目标执行监控表》、《部门整体支出绩效监控表》，并上传《部门绩效监控报告》等材料（具体填报方式见附件1）。</w:t>
      </w:r>
    </w:p>
    <w:p w14:paraId="4480448E">
      <w:pPr>
        <w:spacing w:line="560" w:lineRule="exact"/>
        <w:ind w:firstLine="645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四、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相关要求</w:t>
      </w:r>
    </w:p>
    <w:p w14:paraId="14A578D8">
      <w:pPr>
        <w:numPr>
          <w:ilvl w:val="0"/>
          <w:numId w:val="0"/>
        </w:numPr>
        <w:spacing w:line="560" w:lineRule="exact"/>
        <w:rPr>
          <w:rFonts w:hint="eastAsia" w:ascii="仿宋_GB2312" w:hAnsi="黑体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（一）按时完成监控任务。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2025年绩效运行监控任务将于9月底结束，请各部门于9月30日前完成线上监控任务。</w:t>
      </w:r>
    </w:p>
    <w:p w14:paraId="1A3A1044">
      <w:pPr>
        <w:numPr>
          <w:ilvl w:val="0"/>
          <w:numId w:val="0"/>
        </w:numPr>
        <w:spacing w:line="560" w:lineRule="exact"/>
        <w:rPr>
          <w:rFonts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（二）加强监控结果应用。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各</w:t>
      </w:r>
      <w:r>
        <w:rPr>
          <w:rFonts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部门要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坚持问题导向，</w:t>
      </w:r>
      <w:r>
        <w:rPr>
          <w:rFonts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加强监控结果应用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将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监控</w:t>
      </w:r>
      <w:r>
        <w:rPr>
          <w:rFonts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数据和情况作为单位自评、部门评价的</w:t>
      </w:r>
      <w:r>
        <w:rPr>
          <w:rFonts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基础资料。对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系统中出现红灯或黄灯预警的，</w:t>
      </w:r>
      <w:r>
        <w:rPr>
          <w:rFonts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要及时分析原因、提出改进举措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严格落实整改。</w:t>
      </w:r>
    </w:p>
    <w:p w14:paraId="58763723">
      <w:pPr>
        <w:numPr>
          <w:ilvl w:val="0"/>
          <w:numId w:val="0"/>
        </w:numPr>
        <w:spacing w:line="560" w:lineRule="exact"/>
        <w:rPr>
          <w:rFonts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45B431AD">
      <w:pPr>
        <w:spacing w:line="560" w:lineRule="exact"/>
        <w:ind w:firstLine="645"/>
        <w:rPr>
          <w:rFonts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0308C312">
      <w:pPr>
        <w:spacing w:line="560" w:lineRule="exact"/>
        <w:ind w:firstLine="645"/>
        <w:rPr>
          <w:rFonts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1.预算管理一体化系统绩效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运行监控操作说明</w:t>
      </w:r>
    </w:p>
    <w:p w14:paraId="0042F2F9">
      <w:pPr>
        <w:spacing w:line="560" w:lineRule="exact"/>
        <w:ind w:firstLine="645"/>
        <w:rPr>
          <w:rFonts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2.预算绩效运行监控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填报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指南</w:t>
      </w:r>
    </w:p>
    <w:p w14:paraId="3D70A421">
      <w:pPr>
        <w:spacing w:line="560" w:lineRule="exact"/>
        <w:ind w:firstLine="645"/>
        <w:rPr>
          <w:rFonts w:hint="eastAsia" w:ascii="仿宋_GB2312" w:hAnsi="黑体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3.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绩效监控结果整改报告书</w:t>
      </w:r>
    </w:p>
    <w:p w14:paraId="50D66A92">
      <w:pPr>
        <w:spacing w:line="560" w:lineRule="exact"/>
        <w:ind w:firstLine="645"/>
        <w:rPr>
          <w:rFonts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09A7915C">
      <w:pPr>
        <w:spacing w:line="560" w:lineRule="exact"/>
        <w:ind w:firstLine="645"/>
        <w:rPr>
          <w:rFonts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0CB2A250">
      <w:pPr>
        <w:spacing w:line="560" w:lineRule="exact"/>
        <w:ind w:firstLine="645"/>
        <w:rPr>
          <w:rFonts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2260BF8A">
      <w:pPr>
        <w:spacing w:line="560" w:lineRule="exact"/>
        <w:ind w:firstLine="5600" w:firstLineChars="1750"/>
        <w:rPr>
          <w:rFonts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0786C83C">
      <w:pPr>
        <w:spacing w:line="560" w:lineRule="exact"/>
        <w:ind w:firstLine="5600" w:firstLineChars="1750"/>
        <w:rPr>
          <w:rFonts w:hint="eastAsia" w:ascii="仿宋_GB2312" w:hAnsi="黑体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凤台县财政局</w:t>
      </w:r>
    </w:p>
    <w:p w14:paraId="60D1AAAB">
      <w:pPr>
        <w:spacing w:line="560" w:lineRule="exact"/>
        <w:rPr>
          <w:rFonts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</w:t>
      </w:r>
      <w:r>
        <w:rPr>
          <w:rFonts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26</w:t>
      </w:r>
      <w:r>
        <w:rPr>
          <w:rFonts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</w:p>
    <w:sectPr>
      <w:footerReference r:id="rId3" w:type="default"/>
      <w:pgSz w:w="11906" w:h="16838"/>
      <w:pgMar w:top="2155" w:right="1531" w:bottom="1418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62398126"/>
    </w:sdtPr>
    <w:sdtEndPr>
      <w:rPr>
        <w:rFonts w:hint="eastAsia" w:ascii="仿宋_GB2312" w:eastAsia="仿宋_GB2312"/>
        <w:sz w:val="24"/>
        <w:szCs w:val="24"/>
      </w:rPr>
    </w:sdtEndPr>
    <w:sdtContent>
      <w:p w14:paraId="16EF9482">
        <w:pPr>
          <w:pStyle w:val="6"/>
          <w:jc w:val="right"/>
          <w:rPr>
            <w:rFonts w:ascii="仿宋_GB2312" w:eastAsia="仿宋_GB2312"/>
            <w:sz w:val="24"/>
            <w:szCs w:val="24"/>
          </w:rPr>
        </w:pPr>
        <w:r>
          <w:rPr>
            <w:rFonts w:hint="eastAsia" w:ascii="仿宋_GB2312" w:eastAsia="仿宋_GB2312"/>
            <w:sz w:val="24"/>
            <w:szCs w:val="24"/>
          </w:rPr>
          <w:fldChar w:fldCharType="begin"/>
        </w:r>
        <w:r>
          <w:rPr>
            <w:rFonts w:hint="eastAsia" w:ascii="仿宋_GB2312" w:eastAsia="仿宋_GB2312"/>
            <w:sz w:val="24"/>
            <w:szCs w:val="24"/>
          </w:rPr>
          <w:instrText xml:space="preserve">PAGE   \* MERGEFORMAT</w:instrText>
        </w:r>
        <w:r>
          <w:rPr>
            <w:rFonts w:hint="eastAsia" w:ascii="仿宋_GB2312" w:eastAsia="仿宋_GB2312"/>
            <w:sz w:val="24"/>
            <w:szCs w:val="24"/>
          </w:rPr>
          <w:fldChar w:fldCharType="separate"/>
        </w:r>
        <w:r>
          <w:rPr>
            <w:rFonts w:ascii="仿宋_GB2312" w:eastAsia="仿宋_GB2312"/>
            <w:sz w:val="24"/>
            <w:szCs w:val="24"/>
            <w:lang w:val="zh-CN"/>
          </w:rPr>
          <w:t>-</w:t>
        </w:r>
        <w:r>
          <w:rPr>
            <w:rFonts w:ascii="仿宋_GB2312" w:eastAsia="仿宋_GB2312"/>
            <w:sz w:val="24"/>
            <w:szCs w:val="24"/>
          </w:rPr>
          <w:t xml:space="preserve"> 6 -</w:t>
        </w:r>
        <w:r>
          <w:rPr>
            <w:rFonts w:hint="eastAsia" w:ascii="仿宋_GB2312" w:eastAsia="仿宋_GB2312"/>
            <w:sz w:val="24"/>
            <w:szCs w:val="24"/>
          </w:rPr>
          <w:fldChar w:fldCharType="end"/>
        </w:r>
      </w:p>
    </w:sdtContent>
  </w:sdt>
  <w:p w14:paraId="4DD755FC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F7C"/>
    <w:rsid w:val="00001F9C"/>
    <w:rsid w:val="0000776F"/>
    <w:rsid w:val="00022BD4"/>
    <w:rsid w:val="00057B93"/>
    <w:rsid w:val="00077BD6"/>
    <w:rsid w:val="000A15B3"/>
    <w:rsid w:val="000A3BD6"/>
    <w:rsid w:val="000B7293"/>
    <w:rsid w:val="00133211"/>
    <w:rsid w:val="00151152"/>
    <w:rsid w:val="0016530D"/>
    <w:rsid w:val="0018023A"/>
    <w:rsid w:val="00184588"/>
    <w:rsid w:val="00194AA8"/>
    <w:rsid w:val="0022580B"/>
    <w:rsid w:val="00257F30"/>
    <w:rsid w:val="002626B9"/>
    <w:rsid w:val="00281667"/>
    <w:rsid w:val="00282CCA"/>
    <w:rsid w:val="002A1348"/>
    <w:rsid w:val="002B7F09"/>
    <w:rsid w:val="00373D95"/>
    <w:rsid w:val="003A623E"/>
    <w:rsid w:val="003E560B"/>
    <w:rsid w:val="0042487B"/>
    <w:rsid w:val="004574FB"/>
    <w:rsid w:val="004769E3"/>
    <w:rsid w:val="004842F7"/>
    <w:rsid w:val="004B3A64"/>
    <w:rsid w:val="0051419A"/>
    <w:rsid w:val="00522429"/>
    <w:rsid w:val="00573F77"/>
    <w:rsid w:val="005803C8"/>
    <w:rsid w:val="005969FE"/>
    <w:rsid w:val="005C20EE"/>
    <w:rsid w:val="005E0D83"/>
    <w:rsid w:val="005F15DA"/>
    <w:rsid w:val="00642D50"/>
    <w:rsid w:val="00666CFB"/>
    <w:rsid w:val="006C600A"/>
    <w:rsid w:val="006D2C9F"/>
    <w:rsid w:val="006E320E"/>
    <w:rsid w:val="006F76FC"/>
    <w:rsid w:val="00725511"/>
    <w:rsid w:val="00736613"/>
    <w:rsid w:val="00753DA5"/>
    <w:rsid w:val="00764BEE"/>
    <w:rsid w:val="007668CC"/>
    <w:rsid w:val="0079473D"/>
    <w:rsid w:val="007B6B6B"/>
    <w:rsid w:val="007C3437"/>
    <w:rsid w:val="007C433D"/>
    <w:rsid w:val="007D41C8"/>
    <w:rsid w:val="007E334A"/>
    <w:rsid w:val="007E3850"/>
    <w:rsid w:val="007F78A1"/>
    <w:rsid w:val="0081029D"/>
    <w:rsid w:val="00827520"/>
    <w:rsid w:val="00842E51"/>
    <w:rsid w:val="00845748"/>
    <w:rsid w:val="00857978"/>
    <w:rsid w:val="00914B7D"/>
    <w:rsid w:val="00915301"/>
    <w:rsid w:val="00961CDD"/>
    <w:rsid w:val="00973316"/>
    <w:rsid w:val="009A1FE2"/>
    <w:rsid w:val="009A6DF0"/>
    <w:rsid w:val="00A100AD"/>
    <w:rsid w:val="00A2559F"/>
    <w:rsid w:val="00A30919"/>
    <w:rsid w:val="00A32009"/>
    <w:rsid w:val="00A321D0"/>
    <w:rsid w:val="00A55FF0"/>
    <w:rsid w:val="00A73728"/>
    <w:rsid w:val="00A83764"/>
    <w:rsid w:val="00A83CDA"/>
    <w:rsid w:val="00AA2818"/>
    <w:rsid w:val="00AD2B25"/>
    <w:rsid w:val="00B235D2"/>
    <w:rsid w:val="00B40076"/>
    <w:rsid w:val="00B41D87"/>
    <w:rsid w:val="00B54204"/>
    <w:rsid w:val="00B81659"/>
    <w:rsid w:val="00B9423F"/>
    <w:rsid w:val="00BA3C3E"/>
    <w:rsid w:val="00BF4A5D"/>
    <w:rsid w:val="00C05482"/>
    <w:rsid w:val="00C76596"/>
    <w:rsid w:val="00C93012"/>
    <w:rsid w:val="00CF19A5"/>
    <w:rsid w:val="00CF35C3"/>
    <w:rsid w:val="00D117B6"/>
    <w:rsid w:val="00D37F80"/>
    <w:rsid w:val="00D525CF"/>
    <w:rsid w:val="00D64842"/>
    <w:rsid w:val="00DA4CB1"/>
    <w:rsid w:val="00DA5380"/>
    <w:rsid w:val="00DF0157"/>
    <w:rsid w:val="00E82D86"/>
    <w:rsid w:val="00E9191B"/>
    <w:rsid w:val="00EA279D"/>
    <w:rsid w:val="00EE1F7C"/>
    <w:rsid w:val="00F21757"/>
    <w:rsid w:val="00F27D16"/>
    <w:rsid w:val="00F314F7"/>
    <w:rsid w:val="00F56E43"/>
    <w:rsid w:val="00F74E3B"/>
    <w:rsid w:val="00FD3C19"/>
    <w:rsid w:val="00FE4170"/>
    <w:rsid w:val="00FF014A"/>
    <w:rsid w:val="00FF14EE"/>
    <w:rsid w:val="07F32F1E"/>
    <w:rsid w:val="0B092138"/>
    <w:rsid w:val="16F66DCF"/>
    <w:rsid w:val="1AC20BD2"/>
    <w:rsid w:val="22B21334"/>
    <w:rsid w:val="25F87B00"/>
    <w:rsid w:val="266C249F"/>
    <w:rsid w:val="27820C8B"/>
    <w:rsid w:val="278C69D6"/>
    <w:rsid w:val="2DA27449"/>
    <w:rsid w:val="304726EE"/>
    <w:rsid w:val="373A4DCF"/>
    <w:rsid w:val="421C4561"/>
    <w:rsid w:val="42433EEC"/>
    <w:rsid w:val="447246CA"/>
    <w:rsid w:val="458D12D1"/>
    <w:rsid w:val="488C144F"/>
    <w:rsid w:val="4C74581F"/>
    <w:rsid w:val="54303EF3"/>
    <w:rsid w:val="548C689B"/>
    <w:rsid w:val="55F2772C"/>
    <w:rsid w:val="5AD836AA"/>
    <w:rsid w:val="603C441A"/>
    <w:rsid w:val="60C17FE6"/>
    <w:rsid w:val="613D12B3"/>
    <w:rsid w:val="64DA4A9A"/>
    <w:rsid w:val="663E7D54"/>
    <w:rsid w:val="68C41162"/>
    <w:rsid w:val="6DA21B18"/>
    <w:rsid w:val="73BD6395"/>
    <w:rsid w:val="74037E71"/>
    <w:rsid w:val="74524A09"/>
    <w:rsid w:val="75046D65"/>
    <w:rsid w:val="75766ACD"/>
    <w:rsid w:val="7EB126AE"/>
    <w:rsid w:val="7EF07CBF"/>
    <w:rsid w:val="F7FFB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spacing w:after="0"/>
      <w:ind w:left="0" w:leftChars="0" w:firstLine="420" w:firstLineChars="200"/>
    </w:pPr>
    <w:rPr>
      <w:rFonts w:ascii="Calibri" w:hAnsi="Calibri"/>
      <w:snapToGrid w:val="0"/>
      <w:kern w:val="0"/>
    </w:rPr>
  </w:style>
  <w:style w:type="paragraph" w:styleId="3">
    <w:name w:val="Body Text Indent"/>
    <w:basedOn w:val="1"/>
    <w:next w:val="4"/>
    <w:unhideWhenUsed/>
    <w:qFormat/>
    <w:uiPriority w:val="99"/>
    <w:pPr>
      <w:spacing w:after="120"/>
      <w:ind w:left="420" w:leftChars="200"/>
    </w:pPr>
  </w:style>
  <w:style w:type="paragraph" w:styleId="4">
    <w:name w:val="Normal Indent"/>
    <w:basedOn w:val="1"/>
    <w:unhideWhenUsed/>
    <w:qFormat/>
    <w:uiPriority w:val="99"/>
    <w:pPr>
      <w:ind w:firstLine="420" w:firstLineChars="200"/>
    </w:pPr>
    <w:rPr>
      <w:rFonts w:eastAsia="仿宋"/>
      <w:sz w:val="32"/>
    </w:rPr>
  </w:style>
  <w:style w:type="paragraph" w:styleId="5">
    <w:name w:val="Balloon Text"/>
    <w:basedOn w:val="1"/>
    <w:link w:val="13"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0">
    <w:name w:val="列出段落1"/>
    <w:basedOn w:val="1"/>
    <w:qFormat/>
    <w:uiPriority w:val="34"/>
    <w:pPr>
      <w:ind w:firstLine="420" w:firstLineChars="200"/>
    </w:pPr>
  </w:style>
  <w:style w:type="character" w:customStyle="1" w:styleId="11">
    <w:name w:val="页眉 字符"/>
    <w:basedOn w:val="9"/>
    <w:link w:val="7"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6"/>
    <w:qFormat/>
    <w:uiPriority w:val="99"/>
    <w:rPr>
      <w:sz w:val="18"/>
      <w:szCs w:val="18"/>
    </w:rPr>
  </w:style>
  <w:style w:type="character" w:customStyle="1" w:styleId="13">
    <w:name w:val="批注框文本 字符"/>
    <w:basedOn w:val="9"/>
    <w:link w:val="5"/>
    <w:semiHidden/>
    <w:qFormat/>
    <w:uiPriority w:val="99"/>
    <w:rPr>
      <w:sz w:val="18"/>
      <w:szCs w:val="18"/>
    </w:rPr>
  </w:style>
  <w:style w:type="paragraph" w:customStyle="1" w:styleId="14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633</Words>
  <Characters>665</Characters>
  <Lines>25</Lines>
  <Paragraphs>7</Paragraphs>
  <TotalTime>0</TotalTime>
  <ScaleCrop>false</ScaleCrop>
  <LinksUpToDate>false</LinksUpToDate>
  <CharactersWithSpaces>719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2021-02-01T16:11:00Z</dcterms:created>
  <dc:creator>李成名</dc:creator>
  <cp:lastModifiedBy>Administrator</cp:lastModifiedBy>
  <cp:lastPrinted>2025-08-18T09:26:00Z</cp:lastPrinted>
  <dcterms:modified xsi:type="dcterms:W3CDTF">2025-09-03T00:33:51Z</dcterms:modified>
  <cp:revision>244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eyJoZGlkIjoiMDU5MmVkZmVmNmQ5ODhkYThhNzYxMTkyY2VhOWIwYjIifQ==</vt:lpwstr>
  </property>
  <property fmtid="{D5CDD505-2E9C-101B-9397-08002B2CF9AE}" pid="4" name="ICV">
    <vt:lpwstr>1E80C4D0608746CA8FC69202A36080D4_12</vt:lpwstr>
  </property>
</Properties>
</file>