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BC978E">
      <w:pPr>
        <w:rPr>
          <w:rFonts w:hint="eastAsia"/>
          <w:color w:val="000000"/>
          <w:sz w:val="36"/>
          <w:szCs w:val="36"/>
        </w:rPr>
      </w:pPr>
      <w:bookmarkStart w:id="0" w:name="_Hlk57883707"/>
    </w:p>
    <w:p w14:paraId="06C29099">
      <w:pPr>
        <w:rPr>
          <w:color w:val="000000"/>
          <w:sz w:val="36"/>
          <w:szCs w:val="36"/>
        </w:rPr>
      </w:pPr>
    </w:p>
    <w:p w14:paraId="65C7AFF1">
      <w:pPr>
        <w:rPr>
          <w:color w:val="000000"/>
          <w:sz w:val="36"/>
          <w:szCs w:val="36"/>
        </w:rPr>
      </w:pPr>
    </w:p>
    <w:bookmarkEnd w:id="0"/>
    <w:p w14:paraId="20C274A5">
      <w:pPr>
        <w:adjustRightInd w:val="0"/>
        <w:snapToGrid w:val="0"/>
        <w:jc w:val="center"/>
        <w:outlineLvl w:val="0"/>
        <w:rPr>
          <w:rFonts w:ascii="黑体" w:hAnsi="黑体" w:eastAsia="黑体"/>
          <w:bCs/>
          <w:color w:val="000000"/>
          <w:sz w:val="66"/>
          <w:szCs w:val="66"/>
        </w:rPr>
      </w:pPr>
      <w:r>
        <w:rPr>
          <w:rFonts w:ascii="黑体" w:hAnsi="黑体" w:eastAsia="黑体"/>
          <w:bCs/>
          <w:color w:val="000000"/>
          <w:sz w:val="66"/>
          <w:szCs w:val="66"/>
        </w:rPr>
        <w:t>建设项目环境影响报告表</w:t>
      </w:r>
    </w:p>
    <w:p w14:paraId="7AF79C9E">
      <w:pPr>
        <w:adjustRightInd w:val="0"/>
        <w:snapToGrid w:val="0"/>
        <w:spacing w:before="249" w:beforeLines="80"/>
        <w:jc w:val="center"/>
        <w:rPr>
          <w:bCs/>
          <w:color w:val="000000"/>
          <w:sz w:val="48"/>
          <w:szCs w:val="48"/>
        </w:rPr>
      </w:pPr>
      <w:r>
        <w:rPr>
          <w:rFonts w:hAnsi="宋体"/>
          <w:bCs/>
          <w:color w:val="000000"/>
          <w:sz w:val="48"/>
          <w:szCs w:val="48"/>
        </w:rPr>
        <w:t>（</w:t>
      </w:r>
      <w:r>
        <w:rPr>
          <w:rFonts w:hint="eastAsia" w:ascii="楷体" w:hAnsi="楷体" w:eastAsia="楷体"/>
          <w:bCs/>
          <w:color w:val="000000"/>
          <w:sz w:val="44"/>
          <w:szCs w:val="48"/>
        </w:rPr>
        <w:t>污染</w:t>
      </w:r>
      <w:r>
        <w:rPr>
          <w:rFonts w:ascii="楷体" w:hAnsi="楷体" w:eastAsia="楷体"/>
          <w:bCs/>
          <w:color w:val="000000"/>
          <w:sz w:val="44"/>
          <w:szCs w:val="48"/>
        </w:rPr>
        <w:t>影响类</w:t>
      </w:r>
      <w:r>
        <w:rPr>
          <w:rFonts w:hAnsi="宋体"/>
          <w:bCs/>
          <w:color w:val="000000"/>
          <w:sz w:val="48"/>
          <w:szCs w:val="48"/>
        </w:rPr>
        <w:t>）</w:t>
      </w:r>
    </w:p>
    <w:p w14:paraId="33027FB4">
      <w:pPr>
        <w:jc w:val="center"/>
        <w:rPr>
          <w:color w:val="000000"/>
          <w:sz w:val="52"/>
          <w:szCs w:val="52"/>
        </w:rPr>
      </w:pPr>
      <w:bookmarkStart w:id="1" w:name="_Hlk57883728"/>
    </w:p>
    <w:p w14:paraId="485889F4">
      <w:pPr>
        <w:ind w:firstLine="1040"/>
        <w:rPr>
          <w:rFonts w:hint="eastAsia"/>
          <w:color w:val="000000"/>
          <w:sz w:val="44"/>
          <w:szCs w:val="44"/>
        </w:rPr>
      </w:pPr>
    </w:p>
    <w:p w14:paraId="7F3121BD">
      <w:pPr>
        <w:ind w:firstLine="1040"/>
        <w:rPr>
          <w:rFonts w:hint="eastAsia"/>
          <w:color w:val="000000"/>
          <w:sz w:val="44"/>
          <w:szCs w:val="44"/>
        </w:rPr>
      </w:pPr>
    </w:p>
    <w:p w14:paraId="6E12E4E3">
      <w:pPr>
        <w:ind w:firstLine="1040"/>
        <w:rPr>
          <w:rFonts w:hint="eastAsia"/>
          <w:color w:val="000000"/>
          <w:sz w:val="44"/>
          <w:szCs w:val="44"/>
        </w:rPr>
      </w:pPr>
    </w:p>
    <w:p w14:paraId="7E8F0BD1">
      <w:pPr>
        <w:ind w:firstLine="1040"/>
        <w:rPr>
          <w:color w:val="000000"/>
          <w:sz w:val="44"/>
          <w:szCs w:val="44"/>
        </w:rPr>
      </w:pPr>
    </w:p>
    <w:p w14:paraId="72843ABA">
      <w:pPr>
        <w:ind w:firstLine="1040"/>
        <w:rPr>
          <w:color w:val="000000"/>
          <w:sz w:val="44"/>
          <w:szCs w:val="44"/>
        </w:rPr>
      </w:pPr>
    </w:p>
    <w:tbl>
      <w:tblPr>
        <w:tblStyle w:val="23"/>
        <w:tblW w:w="8448"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65"/>
        <w:gridCol w:w="5683"/>
      </w:tblGrid>
      <w:tr w14:paraId="06F2916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2765" w:type="dxa"/>
            <w:vMerge w:val="restart"/>
            <w:tcBorders>
              <w:top w:val="nil"/>
              <w:bottom w:val="single" w:color="auto" w:sz="4" w:space="0"/>
              <w:right w:val="nil"/>
            </w:tcBorders>
            <w:noWrap w:val="0"/>
            <w:vAlign w:val="top"/>
          </w:tcPr>
          <w:p w14:paraId="5B4AD089">
            <w:pPr>
              <w:keepNext w:val="0"/>
              <w:keepLines w:val="0"/>
              <w:widowControl/>
              <w:suppressLineNumbers w:val="0"/>
              <w:spacing w:before="93" w:beforeLines="30" w:beforeAutospacing="0" w:after="0" w:afterAutospacing="0" w:line="220" w:lineRule="atLeast"/>
              <w:ind w:left="0" w:right="0"/>
              <w:jc w:val="left"/>
              <w:rPr>
                <w:rFonts w:hint="default" w:ascii="黑体" w:hAnsi="黑体" w:eastAsia="黑体"/>
                <w:color w:val="000000"/>
                <w:kern w:val="2"/>
                <w:sz w:val="32"/>
              </w:rPr>
            </w:pPr>
            <w:r>
              <w:rPr>
                <w:rFonts w:hint="default" w:hAnsi="宋体"/>
                <w:color w:val="000000"/>
                <w:kern w:val="2"/>
                <w:sz w:val="32"/>
                <w:szCs w:val="36"/>
              </w:rPr>
              <w:t>项目名称</w:t>
            </w:r>
            <w:r>
              <w:rPr>
                <w:rFonts w:hint="eastAsia" w:hAnsi="宋体"/>
                <w:color w:val="000000"/>
                <w:kern w:val="2"/>
                <w:sz w:val="32"/>
                <w:szCs w:val="36"/>
              </w:rPr>
              <w:t>：</w:t>
            </w:r>
          </w:p>
        </w:tc>
        <w:tc>
          <w:tcPr>
            <w:tcW w:w="5683" w:type="dxa"/>
            <w:tcBorders>
              <w:left w:val="nil"/>
            </w:tcBorders>
            <w:noWrap w:val="0"/>
            <w:vAlign w:val="center"/>
          </w:tcPr>
          <w:p w14:paraId="236AF64B">
            <w:pPr>
              <w:keepNext w:val="0"/>
              <w:keepLines w:val="0"/>
              <w:widowControl/>
              <w:suppressLineNumbers w:val="0"/>
              <w:snapToGrid w:val="0"/>
              <w:spacing w:before="0" w:beforeAutospacing="0" w:after="0" w:afterAutospacing="0"/>
              <w:ind w:left="0" w:right="0"/>
              <w:jc w:val="center"/>
              <w:rPr>
                <w:rFonts w:hint="default" w:hAnsi="宋体"/>
                <w:color w:val="000000"/>
                <w:kern w:val="2"/>
                <w:sz w:val="32"/>
                <w:szCs w:val="36"/>
              </w:rPr>
            </w:pPr>
            <w:r>
              <w:rPr>
                <w:rFonts w:hint="eastAsia" w:hAnsi="宋体"/>
                <w:color w:val="000000"/>
                <w:kern w:val="2"/>
                <w:sz w:val="32"/>
                <w:szCs w:val="36"/>
              </w:rPr>
              <w:t>安徽坤泰车辆动力科技有限公司</w:t>
            </w:r>
          </w:p>
        </w:tc>
      </w:tr>
      <w:tr w14:paraId="2E9BE29E">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765" w:type="dxa"/>
            <w:vMerge w:val="continue"/>
            <w:tcBorders>
              <w:top w:val="single" w:color="auto" w:sz="4" w:space="0"/>
              <w:bottom w:val="nil"/>
              <w:right w:val="nil"/>
            </w:tcBorders>
            <w:noWrap w:val="0"/>
            <w:vAlign w:val="top"/>
          </w:tcPr>
          <w:p w14:paraId="1F1B661B">
            <w:pPr>
              <w:keepNext w:val="0"/>
              <w:keepLines w:val="0"/>
              <w:widowControl/>
              <w:suppressLineNumbers w:val="0"/>
              <w:spacing w:before="93" w:beforeLines="30" w:beforeAutospacing="0" w:after="0" w:afterAutospacing="0" w:line="220" w:lineRule="atLeast"/>
              <w:ind w:left="0" w:right="0"/>
              <w:jc w:val="left"/>
              <w:rPr>
                <w:rFonts w:hint="default" w:hAnsi="宋体"/>
                <w:color w:val="000000"/>
                <w:kern w:val="2"/>
                <w:sz w:val="32"/>
                <w:szCs w:val="36"/>
              </w:rPr>
            </w:pPr>
          </w:p>
        </w:tc>
        <w:tc>
          <w:tcPr>
            <w:tcW w:w="5683" w:type="dxa"/>
            <w:tcBorders>
              <w:left w:val="nil"/>
            </w:tcBorders>
            <w:noWrap w:val="0"/>
            <w:vAlign w:val="center"/>
          </w:tcPr>
          <w:p w14:paraId="1D6FF63B">
            <w:pPr>
              <w:keepNext w:val="0"/>
              <w:keepLines w:val="0"/>
              <w:widowControl/>
              <w:suppressLineNumbers w:val="0"/>
              <w:snapToGrid w:val="0"/>
              <w:spacing w:before="0" w:beforeAutospacing="0" w:after="0" w:afterAutospacing="0"/>
              <w:ind w:left="0" w:right="0"/>
              <w:jc w:val="center"/>
              <w:rPr>
                <w:rFonts w:hint="eastAsia" w:hAnsi="宋体"/>
                <w:color w:val="000000"/>
                <w:kern w:val="2"/>
                <w:sz w:val="32"/>
                <w:szCs w:val="36"/>
              </w:rPr>
            </w:pPr>
            <w:r>
              <w:rPr>
                <w:rFonts w:hint="eastAsia" w:hAnsi="宋体"/>
                <w:color w:val="000000"/>
                <w:kern w:val="2"/>
                <w:sz w:val="32"/>
                <w:szCs w:val="36"/>
              </w:rPr>
              <w:t>P1+P3构型混动变速箱升级改造项目</w:t>
            </w:r>
          </w:p>
        </w:tc>
      </w:tr>
      <w:tr w14:paraId="21EB2E5B">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Borders>
              <w:top w:val="nil"/>
              <w:bottom w:val="nil"/>
              <w:right w:val="nil"/>
            </w:tcBorders>
            <w:noWrap w:val="0"/>
            <w:vAlign w:val="top"/>
          </w:tcPr>
          <w:p w14:paraId="17D274E4">
            <w:pPr>
              <w:keepNext w:val="0"/>
              <w:keepLines w:val="0"/>
              <w:widowControl/>
              <w:suppressLineNumbers w:val="0"/>
              <w:spacing w:before="93" w:beforeLines="30" w:beforeAutospacing="0" w:after="0" w:afterAutospacing="0" w:line="220" w:lineRule="atLeast"/>
              <w:ind w:left="0" w:right="0"/>
              <w:jc w:val="left"/>
              <w:rPr>
                <w:rFonts w:hint="eastAsia" w:ascii="黑体" w:hAnsi="黑体" w:eastAsia="黑体"/>
                <w:color w:val="000000"/>
                <w:kern w:val="2"/>
                <w:sz w:val="32"/>
                <w:szCs w:val="32"/>
              </w:rPr>
            </w:pPr>
            <w:r>
              <w:rPr>
                <w:rFonts w:hint="default" w:hAnsi="宋体"/>
                <w:color w:val="000000"/>
                <w:kern w:val="2"/>
                <w:sz w:val="32"/>
                <w:szCs w:val="36"/>
              </w:rPr>
              <w:t>建设单位（盖章）</w:t>
            </w:r>
            <w:r>
              <w:rPr>
                <w:rFonts w:hint="eastAsia" w:hAnsi="宋体"/>
                <w:color w:val="000000"/>
                <w:kern w:val="2"/>
                <w:sz w:val="32"/>
                <w:szCs w:val="36"/>
              </w:rPr>
              <w:t>：</w:t>
            </w:r>
          </w:p>
        </w:tc>
        <w:tc>
          <w:tcPr>
            <w:tcW w:w="5683" w:type="dxa"/>
            <w:tcBorders>
              <w:left w:val="nil"/>
            </w:tcBorders>
            <w:noWrap w:val="0"/>
            <w:vAlign w:val="center"/>
          </w:tcPr>
          <w:p w14:paraId="0579FADF">
            <w:pPr>
              <w:keepNext w:val="0"/>
              <w:keepLines w:val="0"/>
              <w:widowControl/>
              <w:suppressLineNumbers w:val="0"/>
              <w:spacing w:before="93" w:beforeLines="30" w:beforeAutospacing="0" w:after="0" w:afterAutospacing="0" w:line="300" w:lineRule="atLeast"/>
              <w:ind w:left="0" w:right="0"/>
              <w:jc w:val="center"/>
              <w:rPr>
                <w:rFonts w:hint="eastAsia" w:ascii="黑体" w:hAnsi="黑体" w:eastAsia="黑体"/>
                <w:color w:val="000000"/>
                <w:kern w:val="2"/>
                <w:sz w:val="32"/>
              </w:rPr>
            </w:pPr>
            <w:r>
              <w:rPr>
                <w:rFonts w:hint="eastAsia" w:hAnsi="宋体"/>
                <w:color w:val="000000"/>
                <w:kern w:val="2"/>
                <w:sz w:val="32"/>
                <w:szCs w:val="36"/>
              </w:rPr>
              <w:t>安徽坤泰车辆动力科技有限公司</w:t>
            </w:r>
          </w:p>
        </w:tc>
      </w:tr>
      <w:tr w14:paraId="4E6603E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Borders>
              <w:top w:val="nil"/>
              <w:bottom w:val="nil"/>
              <w:right w:val="nil"/>
            </w:tcBorders>
            <w:noWrap w:val="0"/>
            <w:vAlign w:val="top"/>
          </w:tcPr>
          <w:p w14:paraId="3D63683C">
            <w:pPr>
              <w:keepNext w:val="0"/>
              <w:keepLines w:val="0"/>
              <w:widowControl/>
              <w:suppressLineNumbers w:val="0"/>
              <w:spacing w:before="93" w:beforeLines="30" w:beforeAutospacing="0" w:after="0" w:afterAutospacing="0" w:line="220" w:lineRule="atLeast"/>
              <w:ind w:left="0" w:right="0"/>
              <w:jc w:val="left"/>
              <w:rPr>
                <w:rFonts w:hint="default" w:ascii="黑体" w:hAnsi="黑体" w:eastAsia="黑体"/>
                <w:color w:val="000000"/>
                <w:kern w:val="2"/>
                <w:sz w:val="32"/>
              </w:rPr>
            </w:pPr>
            <w:r>
              <w:rPr>
                <w:rFonts w:hint="eastAsia" w:hAnsi="宋体"/>
                <w:color w:val="000000"/>
                <w:kern w:val="2"/>
                <w:sz w:val="32"/>
                <w:szCs w:val="36"/>
              </w:rPr>
              <w:t>编制日期：</w:t>
            </w:r>
          </w:p>
        </w:tc>
        <w:tc>
          <w:tcPr>
            <w:tcW w:w="5683" w:type="dxa"/>
            <w:tcBorders>
              <w:left w:val="nil"/>
            </w:tcBorders>
            <w:noWrap w:val="0"/>
            <w:vAlign w:val="center"/>
          </w:tcPr>
          <w:p w14:paraId="2A444786">
            <w:pPr>
              <w:keepNext w:val="0"/>
              <w:keepLines w:val="0"/>
              <w:widowControl/>
              <w:suppressLineNumbers w:val="0"/>
              <w:spacing w:before="93" w:beforeLines="30" w:beforeAutospacing="0" w:after="0" w:afterAutospacing="0" w:line="276" w:lineRule="auto"/>
              <w:ind w:left="0" w:right="0"/>
              <w:jc w:val="center"/>
              <w:rPr>
                <w:rFonts w:hint="default" w:ascii="黑体" w:hAnsi="黑体" w:eastAsia="黑体"/>
                <w:color w:val="000000"/>
                <w:kern w:val="2"/>
                <w:sz w:val="32"/>
              </w:rPr>
            </w:pPr>
            <w:r>
              <w:rPr>
                <w:rFonts w:hint="eastAsia" w:hAnsi="宋体"/>
                <w:color w:val="000000"/>
                <w:kern w:val="2"/>
                <w:sz w:val="32"/>
                <w:szCs w:val="36"/>
              </w:rPr>
              <w:t>二</w:t>
            </w:r>
            <w:r>
              <w:rPr>
                <w:rFonts w:hint="eastAsia" w:ascii="宋体" w:hAnsi="宋体" w:eastAsia="宋体" w:cs="宋体"/>
                <w:color w:val="000000"/>
                <w:kern w:val="2"/>
                <w:sz w:val="32"/>
                <w:szCs w:val="36"/>
              </w:rPr>
              <w:t>〇</w:t>
            </w:r>
            <w:r>
              <w:rPr>
                <w:rFonts w:hint="eastAsia" w:hAnsi="宋体"/>
                <w:color w:val="000000"/>
                <w:kern w:val="2"/>
                <w:sz w:val="32"/>
                <w:szCs w:val="36"/>
              </w:rPr>
              <w:t>二</w:t>
            </w:r>
            <w:r>
              <w:rPr>
                <w:rFonts w:hint="eastAsia" w:hAnsi="宋体"/>
                <w:color w:val="000000"/>
                <w:kern w:val="2"/>
                <w:sz w:val="32"/>
                <w:szCs w:val="36"/>
                <w:lang w:val="en-US" w:eastAsia="zh-CN"/>
              </w:rPr>
              <w:t>六</w:t>
            </w:r>
            <w:r>
              <w:rPr>
                <w:rFonts w:hint="default" w:hAnsi="宋体"/>
                <w:color w:val="000000"/>
                <w:kern w:val="2"/>
                <w:sz w:val="32"/>
                <w:szCs w:val="36"/>
              </w:rPr>
              <w:t>年</w:t>
            </w:r>
            <w:r>
              <w:rPr>
                <w:rFonts w:hint="eastAsia" w:hAnsi="宋体"/>
                <w:color w:val="000000"/>
                <w:kern w:val="2"/>
                <w:sz w:val="32"/>
                <w:szCs w:val="36"/>
                <w:lang w:val="en-US" w:eastAsia="zh-CN"/>
              </w:rPr>
              <w:t>五</w:t>
            </w:r>
            <w:r>
              <w:rPr>
                <w:rFonts w:hint="default" w:hAnsi="宋体"/>
                <w:color w:val="000000"/>
                <w:kern w:val="2"/>
                <w:sz w:val="32"/>
                <w:szCs w:val="36"/>
              </w:rPr>
              <w:t>月</w:t>
            </w:r>
          </w:p>
        </w:tc>
      </w:tr>
      <w:tr w14:paraId="7AB3B1FF">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tcBorders>
              <w:top w:val="nil"/>
              <w:bottom w:val="nil"/>
              <w:right w:val="nil"/>
            </w:tcBorders>
            <w:noWrap w:val="0"/>
            <w:vAlign w:val="top"/>
          </w:tcPr>
          <w:p w14:paraId="6317A3F0">
            <w:pPr>
              <w:keepNext w:val="0"/>
              <w:keepLines w:val="0"/>
              <w:widowControl/>
              <w:suppressLineNumbers w:val="0"/>
              <w:spacing w:before="0" w:beforeAutospacing="0" w:after="0" w:afterAutospacing="0" w:line="220" w:lineRule="atLeast"/>
              <w:ind w:left="0" w:right="0"/>
              <w:jc w:val="right"/>
              <w:rPr>
                <w:rFonts w:hint="eastAsia" w:ascii="黑体" w:hAnsi="黑体" w:eastAsia="黑体"/>
                <w:color w:val="000000"/>
                <w:kern w:val="2"/>
                <w:sz w:val="32"/>
                <w:szCs w:val="32"/>
              </w:rPr>
            </w:pPr>
          </w:p>
        </w:tc>
        <w:tc>
          <w:tcPr>
            <w:tcW w:w="5683" w:type="dxa"/>
            <w:tcBorders>
              <w:left w:val="nil"/>
            </w:tcBorders>
            <w:noWrap w:val="0"/>
            <w:vAlign w:val="center"/>
          </w:tcPr>
          <w:p w14:paraId="44C3B37A">
            <w:pPr>
              <w:keepNext w:val="0"/>
              <w:keepLines w:val="0"/>
              <w:widowControl/>
              <w:suppressLineNumbers w:val="0"/>
              <w:spacing w:before="0" w:beforeAutospacing="0" w:after="0" w:afterAutospacing="0" w:line="220" w:lineRule="atLeast"/>
              <w:ind w:left="0" w:right="0"/>
              <w:jc w:val="center"/>
              <w:rPr>
                <w:rFonts w:hint="default" w:ascii="黑体" w:hAnsi="黑体" w:eastAsia="黑体"/>
                <w:color w:val="000000"/>
                <w:kern w:val="2"/>
                <w:sz w:val="32"/>
                <w:szCs w:val="32"/>
              </w:rPr>
            </w:pPr>
          </w:p>
        </w:tc>
      </w:tr>
      <w:bookmarkEnd w:id="1"/>
    </w:tbl>
    <w:p w14:paraId="79532AD1">
      <w:pPr>
        <w:adjustRightInd w:val="0"/>
        <w:snapToGrid w:val="0"/>
        <w:spacing w:line="288" w:lineRule="auto"/>
        <w:ind w:firstLine="1040"/>
        <w:rPr>
          <w:color w:val="000000"/>
          <w:sz w:val="36"/>
          <w:szCs w:val="36"/>
        </w:rPr>
      </w:pPr>
    </w:p>
    <w:p w14:paraId="1D9FA99E">
      <w:pPr>
        <w:adjustRightInd w:val="0"/>
        <w:snapToGrid w:val="0"/>
        <w:spacing w:line="288" w:lineRule="auto"/>
        <w:ind w:firstLine="1040"/>
        <w:rPr>
          <w:color w:val="000000"/>
          <w:sz w:val="36"/>
          <w:szCs w:val="36"/>
        </w:rPr>
      </w:pPr>
    </w:p>
    <w:p w14:paraId="02EC4541">
      <w:pPr>
        <w:adjustRightInd w:val="0"/>
        <w:snapToGrid w:val="0"/>
        <w:spacing w:line="288" w:lineRule="auto"/>
        <w:ind w:firstLine="1040"/>
        <w:rPr>
          <w:color w:val="000000"/>
          <w:sz w:val="36"/>
          <w:szCs w:val="36"/>
        </w:rPr>
      </w:pPr>
    </w:p>
    <w:p w14:paraId="2513C09B">
      <w:pPr>
        <w:adjustRightInd w:val="0"/>
        <w:snapToGrid w:val="0"/>
        <w:spacing w:line="288" w:lineRule="auto"/>
        <w:ind w:firstLine="1040"/>
        <w:rPr>
          <w:color w:val="000000"/>
          <w:sz w:val="36"/>
          <w:szCs w:val="36"/>
        </w:rPr>
      </w:pPr>
    </w:p>
    <w:p w14:paraId="22E4B947">
      <w:pPr>
        <w:adjustRightInd w:val="0"/>
        <w:snapToGrid w:val="0"/>
        <w:spacing w:line="288" w:lineRule="auto"/>
        <w:jc w:val="center"/>
        <w:rPr>
          <w:rFonts w:hint="eastAsia" w:ascii="楷体" w:hAnsi="楷体" w:eastAsia="楷体"/>
          <w:color w:val="000000"/>
          <w:sz w:val="36"/>
          <w:szCs w:val="36"/>
        </w:rPr>
      </w:pPr>
      <w:r>
        <w:rPr>
          <w:rFonts w:hint="eastAsia" w:ascii="楷体" w:hAnsi="楷体" w:eastAsia="楷体"/>
          <w:color w:val="000000"/>
          <w:sz w:val="36"/>
          <w:szCs w:val="36"/>
        </w:rPr>
        <w:t>中华人民共和国生态环境部制</w:t>
      </w:r>
    </w:p>
    <w:p w14:paraId="6A8DF102">
      <w:pPr>
        <w:pStyle w:val="20"/>
        <w:tabs>
          <w:tab w:val="left" w:pos="1443"/>
        </w:tabs>
        <w:jc w:val="left"/>
        <w:outlineLvl w:val="0"/>
        <w:rPr>
          <w:rFonts w:hint="eastAsia" w:ascii="Times New Roman" w:hAnsi="Times New Roman" w:eastAsia="黑体"/>
          <w:snapToGrid w:val="0"/>
          <w:color w:val="auto"/>
          <w:sz w:val="32"/>
          <w:szCs w:val="32"/>
          <w:lang w:eastAsia="zh-CN"/>
        </w:rPr>
        <w:sectPr>
          <w:headerReference r:id="rId3" w:type="default"/>
          <w:footerReference r:id="rId5" w:type="default"/>
          <w:headerReference r:id="rId4" w:type="even"/>
          <w:pgSz w:w="11906" w:h="16838"/>
          <w:pgMar w:top="1701" w:right="1531" w:bottom="1701" w:left="1531" w:header="851" w:footer="992" w:gutter="0"/>
          <w:cols w:space="720" w:num="1"/>
          <w:docGrid w:type="lines" w:linePitch="312" w:charSpace="0"/>
        </w:sectPr>
      </w:pPr>
    </w:p>
    <w:p w14:paraId="2E896C4B">
      <w:pPr>
        <w:pStyle w:val="20"/>
        <w:ind w:firstLine="420" w:firstLineChars="0"/>
        <w:jc w:val="center"/>
        <w:outlineLvl w:val="0"/>
        <w:rPr>
          <w:rFonts w:ascii="Times New Roman" w:hAnsi="Times New Roman" w:eastAsia="黑体"/>
          <w:snapToGrid w:val="0"/>
          <w:color w:val="auto"/>
          <w:sz w:val="32"/>
          <w:szCs w:val="32"/>
        </w:rPr>
      </w:pPr>
      <w:r>
        <w:rPr>
          <w:rFonts w:hint="eastAsia" w:ascii="Times New Roman" w:hAnsi="Times New Roman" w:eastAsia="黑体"/>
          <w:snapToGrid w:val="0"/>
          <w:color w:val="auto"/>
          <w:sz w:val="32"/>
          <w:szCs w:val="32"/>
        </w:rPr>
        <w:t>一、建设项目基本情况</w:t>
      </w:r>
    </w:p>
    <w:tbl>
      <w:tblPr>
        <w:tblStyle w:val="23"/>
        <w:tblpPr w:leftFromText="180" w:rightFromText="180" w:vertAnchor="text" w:tblpXSpec="center" w:tblpY="1"/>
        <w:tblOverlap w:val="never"/>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83"/>
        <w:gridCol w:w="2225"/>
        <w:gridCol w:w="1877"/>
        <w:gridCol w:w="3285"/>
      </w:tblGrid>
      <w:tr w14:paraId="1FA8D2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1483" w:type="dxa"/>
            <w:tcMar>
              <w:top w:w="16" w:type="dxa"/>
              <w:left w:w="16" w:type="dxa"/>
              <w:right w:w="16" w:type="dxa"/>
            </w:tcMar>
            <w:vAlign w:val="center"/>
          </w:tcPr>
          <w:p w14:paraId="31AEE1B0">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建设项目名称</w:t>
            </w:r>
          </w:p>
        </w:tc>
        <w:tc>
          <w:tcPr>
            <w:tcW w:w="7387" w:type="dxa"/>
            <w:gridSpan w:val="3"/>
            <w:vAlign w:val="center"/>
          </w:tcPr>
          <w:p w14:paraId="405DBD9F">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安徽坤泰车辆动力科技有限公司P1+P3构型混动变速箱升级改造项目</w:t>
            </w:r>
          </w:p>
        </w:tc>
      </w:tr>
      <w:tr w14:paraId="32A5F8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1483" w:type="dxa"/>
            <w:tcMar>
              <w:top w:w="16" w:type="dxa"/>
              <w:left w:w="16" w:type="dxa"/>
              <w:right w:w="16" w:type="dxa"/>
            </w:tcMar>
            <w:vAlign w:val="center"/>
          </w:tcPr>
          <w:p w14:paraId="7AF93484">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项目代码</w:t>
            </w:r>
          </w:p>
        </w:tc>
        <w:tc>
          <w:tcPr>
            <w:tcW w:w="7387" w:type="dxa"/>
            <w:gridSpan w:val="3"/>
            <w:vAlign w:val="center"/>
          </w:tcPr>
          <w:p w14:paraId="26EF0397">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2510-340421-07-02-656800</w:t>
            </w:r>
          </w:p>
        </w:tc>
      </w:tr>
      <w:tr w14:paraId="5A19B4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1483" w:type="dxa"/>
            <w:tcMar>
              <w:top w:w="16" w:type="dxa"/>
              <w:left w:w="16" w:type="dxa"/>
              <w:right w:w="16" w:type="dxa"/>
            </w:tcMar>
            <w:vAlign w:val="center"/>
          </w:tcPr>
          <w:p w14:paraId="085EE744">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建设单位联系人</w:t>
            </w:r>
          </w:p>
        </w:tc>
        <w:tc>
          <w:tcPr>
            <w:tcW w:w="2225" w:type="dxa"/>
            <w:vAlign w:val="center"/>
          </w:tcPr>
          <w:p w14:paraId="31351B08">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p>
        </w:tc>
        <w:tc>
          <w:tcPr>
            <w:tcW w:w="1877" w:type="dxa"/>
            <w:vAlign w:val="center"/>
          </w:tcPr>
          <w:p w14:paraId="7812B26A">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联系方式</w:t>
            </w:r>
          </w:p>
        </w:tc>
        <w:tc>
          <w:tcPr>
            <w:tcW w:w="3285" w:type="dxa"/>
            <w:vAlign w:val="center"/>
          </w:tcPr>
          <w:p w14:paraId="23895BBD">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bookmarkStart w:id="29" w:name="_GoBack"/>
            <w:bookmarkEnd w:id="29"/>
          </w:p>
        </w:tc>
      </w:tr>
      <w:tr w14:paraId="3C91F7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1483" w:type="dxa"/>
            <w:tcMar>
              <w:top w:w="16" w:type="dxa"/>
              <w:left w:w="16" w:type="dxa"/>
              <w:right w:w="16" w:type="dxa"/>
            </w:tcMar>
            <w:vAlign w:val="center"/>
          </w:tcPr>
          <w:p w14:paraId="263D87CE">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建设地点</w:t>
            </w:r>
          </w:p>
        </w:tc>
        <w:tc>
          <w:tcPr>
            <w:tcW w:w="7387" w:type="dxa"/>
            <w:gridSpan w:val="3"/>
            <w:vAlign w:val="center"/>
          </w:tcPr>
          <w:p w14:paraId="79E044F0">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bCs/>
                <w:color w:val="auto"/>
                <w:kern w:val="2"/>
              </w:rPr>
            </w:pPr>
            <w:bookmarkStart w:id="2" w:name="OLE_LINK32"/>
            <w:bookmarkStart w:id="3" w:name="OLE_LINK44"/>
            <w:r>
              <w:rPr>
                <w:rFonts w:hint="eastAsia" w:ascii="Times New Roman" w:hAnsi="Times New Roman"/>
                <w:color w:val="auto"/>
                <w:kern w:val="2"/>
              </w:rPr>
              <w:t>安徽省</w:t>
            </w:r>
            <w:bookmarkEnd w:id="2"/>
            <w:bookmarkEnd w:id="3"/>
            <w:r>
              <w:rPr>
                <w:rFonts w:hint="eastAsia" w:ascii="Times New Roman" w:hAnsi="Times New Roman"/>
                <w:color w:val="auto"/>
                <w:kern w:val="2"/>
              </w:rPr>
              <w:t>淮南市凤台</w:t>
            </w:r>
            <w:r>
              <w:rPr>
                <w:rFonts w:hint="eastAsia" w:ascii="Times New Roman" w:hAnsi="Times New Roman"/>
                <w:color w:val="auto"/>
                <w:kern w:val="2"/>
                <w:lang w:val="en-US" w:eastAsia="zh-CN"/>
              </w:rPr>
              <w:t>县安徽凤台</w:t>
            </w:r>
            <w:r>
              <w:rPr>
                <w:rFonts w:hint="eastAsia" w:ascii="Times New Roman" w:hAnsi="Times New Roman"/>
                <w:color w:val="auto"/>
                <w:kern w:val="2"/>
              </w:rPr>
              <w:t>经济开发区电子智能制造产业园</w:t>
            </w:r>
          </w:p>
        </w:tc>
      </w:tr>
      <w:tr w14:paraId="0F32F3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7" w:hRule="atLeast"/>
        </w:trPr>
        <w:tc>
          <w:tcPr>
            <w:tcW w:w="1483" w:type="dxa"/>
            <w:tcMar>
              <w:top w:w="16" w:type="dxa"/>
              <w:left w:w="16" w:type="dxa"/>
              <w:right w:w="16" w:type="dxa"/>
            </w:tcMar>
            <w:vAlign w:val="center"/>
          </w:tcPr>
          <w:p w14:paraId="6E85A9A3">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地理坐标</w:t>
            </w:r>
          </w:p>
        </w:tc>
        <w:tc>
          <w:tcPr>
            <w:tcW w:w="7387" w:type="dxa"/>
            <w:gridSpan w:val="3"/>
            <w:vAlign w:val="center"/>
          </w:tcPr>
          <w:p w14:paraId="5677EEF3">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eastAsia" w:ascii="Times New Roman" w:hAnsi="Times New Roman"/>
                <w:color w:val="auto"/>
                <w:kern w:val="2"/>
              </w:rPr>
              <w:t>（E</w:t>
            </w:r>
            <w:r>
              <w:rPr>
                <w:rFonts w:hint="default" w:ascii="Times New Roman" w:hAnsi="Times New Roman"/>
                <w:color w:val="auto"/>
                <w:kern w:val="2"/>
                <w:u w:val="single"/>
              </w:rPr>
              <w:t>11</w:t>
            </w:r>
            <w:r>
              <w:rPr>
                <w:rFonts w:hint="eastAsia" w:ascii="Times New Roman" w:hAnsi="Times New Roman"/>
                <w:color w:val="auto"/>
                <w:kern w:val="2"/>
                <w:u w:val="single"/>
              </w:rPr>
              <w:t>6</w:t>
            </w:r>
            <w:r>
              <w:rPr>
                <w:rFonts w:hint="eastAsia" w:ascii="Times New Roman" w:hAnsi="Times New Roman"/>
                <w:color w:val="auto"/>
                <w:kern w:val="2"/>
              </w:rPr>
              <w:t>度</w:t>
            </w:r>
            <w:r>
              <w:rPr>
                <w:rFonts w:hint="eastAsia" w:ascii="Times New Roman" w:hAnsi="Times New Roman"/>
                <w:color w:val="auto"/>
                <w:kern w:val="2"/>
                <w:u w:val="single"/>
              </w:rPr>
              <w:t>39</w:t>
            </w:r>
            <w:r>
              <w:rPr>
                <w:rFonts w:hint="eastAsia" w:ascii="Times New Roman" w:hAnsi="Times New Roman"/>
                <w:color w:val="auto"/>
                <w:kern w:val="2"/>
              </w:rPr>
              <w:t>分</w:t>
            </w:r>
            <w:r>
              <w:rPr>
                <w:rFonts w:hint="eastAsia" w:ascii="Times New Roman" w:hAnsi="Times New Roman"/>
                <w:color w:val="auto"/>
                <w:kern w:val="2"/>
                <w:u w:val="single"/>
              </w:rPr>
              <w:t>50.073</w:t>
            </w:r>
            <w:r>
              <w:rPr>
                <w:rFonts w:hint="eastAsia" w:ascii="Times New Roman" w:hAnsi="Times New Roman"/>
                <w:color w:val="auto"/>
                <w:kern w:val="2"/>
              </w:rPr>
              <w:t>秒，N</w:t>
            </w:r>
            <w:r>
              <w:rPr>
                <w:rFonts w:hint="eastAsia" w:ascii="Times New Roman" w:hAnsi="Times New Roman"/>
                <w:color w:val="auto"/>
                <w:kern w:val="2"/>
                <w:u w:val="single"/>
              </w:rPr>
              <w:t>32</w:t>
            </w:r>
            <w:r>
              <w:rPr>
                <w:rFonts w:hint="eastAsia" w:ascii="Times New Roman" w:hAnsi="Times New Roman"/>
                <w:color w:val="auto"/>
                <w:kern w:val="2"/>
              </w:rPr>
              <w:t>度</w:t>
            </w:r>
            <w:r>
              <w:rPr>
                <w:rFonts w:hint="eastAsia" w:ascii="Times New Roman" w:hAnsi="Times New Roman"/>
                <w:color w:val="auto"/>
                <w:kern w:val="2"/>
                <w:u w:val="single"/>
              </w:rPr>
              <w:t>45</w:t>
            </w:r>
            <w:r>
              <w:rPr>
                <w:rFonts w:hint="eastAsia" w:ascii="Times New Roman" w:hAnsi="Times New Roman"/>
                <w:color w:val="auto"/>
                <w:kern w:val="2"/>
              </w:rPr>
              <w:t>分8</w:t>
            </w:r>
            <w:r>
              <w:rPr>
                <w:rFonts w:hint="eastAsia" w:ascii="Times New Roman" w:hAnsi="Times New Roman"/>
                <w:color w:val="auto"/>
                <w:kern w:val="2"/>
                <w:u w:val="single"/>
              </w:rPr>
              <w:t>.687</w:t>
            </w:r>
            <w:r>
              <w:rPr>
                <w:rFonts w:hint="eastAsia" w:ascii="Times New Roman" w:hAnsi="Times New Roman"/>
                <w:color w:val="auto"/>
                <w:kern w:val="2"/>
              </w:rPr>
              <w:t>秒）</w:t>
            </w:r>
          </w:p>
        </w:tc>
      </w:tr>
      <w:tr w14:paraId="68D3C1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1483" w:type="dxa"/>
            <w:tcMar>
              <w:top w:w="16" w:type="dxa"/>
              <w:left w:w="16" w:type="dxa"/>
              <w:right w:w="16" w:type="dxa"/>
            </w:tcMar>
            <w:vAlign w:val="center"/>
          </w:tcPr>
          <w:p w14:paraId="3C49D4DC">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国民经济</w:t>
            </w:r>
          </w:p>
          <w:p w14:paraId="20540BD9">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行业类别</w:t>
            </w:r>
          </w:p>
        </w:tc>
        <w:tc>
          <w:tcPr>
            <w:tcW w:w="2225" w:type="dxa"/>
            <w:vAlign w:val="center"/>
          </w:tcPr>
          <w:p w14:paraId="5E7A7E04">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olor w:val="auto"/>
                <w:kern w:val="2"/>
              </w:rPr>
              <w:t>C3</w:t>
            </w:r>
            <w:r>
              <w:rPr>
                <w:rFonts w:hint="eastAsia" w:ascii="Times New Roman" w:hAnsi="Times New Roman"/>
                <w:color w:val="auto"/>
                <w:kern w:val="2"/>
              </w:rPr>
              <w:t>670汽车零部件及配件制造</w:t>
            </w:r>
          </w:p>
        </w:tc>
        <w:tc>
          <w:tcPr>
            <w:tcW w:w="1877" w:type="dxa"/>
            <w:vAlign w:val="center"/>
          </w:tcPr>
          <w:p w14:paraId="0F6F4C27">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bookmarkStart w:id="4" w:name="_Hlk49843745"/>
            <w:r>
              <w:rPr>
                <w:rFonts w:hint="default" w:ascii="Times New Roman" w:hAnsi="Times New Roman" w:cs="Times New Roman"/>
                <w:color w:val="auto"/>
                <w:kern w:val="2"/>
              </w:rPr>
              <w:t>建设项目</w:t>
            </w:r>
          </w:p>
          <w:p w14:paraId="0B232BC0">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行业类别</w:t>
            </w:r>
            <w:bookmarkEnd w:id="4"/>
          </w:p>
        </w:tc>
        <w:tc>
          <w:tcPr>
            <w:tcW w:w="3285" w:type="dxa"/>
            <w:vAlign w:val="center"/>
          </w:tcPr>
          <w:p w14:paraId="0020056F">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eastAsia" w:ascii="Times New Roman"/>
                <w:color w:val="auto"/>
                <w:kern w:val="2"/>
              </w:rPr>
              <w:t>“三十三、汽车制造业36”中的“71、</w:t>
            </w:r>
            <w:r>
              <w:rPr>
                <w:rFonts w:hint="eastAsia" w:ascii="Times New Roman" w:hAnsi="Times New Roman"/>
                <w:color w:val="auto"/>
                <w:kern w:val="2"/>
              </w:rPr>
              <w:t>汽车零部件及配件制造</w:t>
            </w:r>
            <w:r>
              <w:rPr>
                <w:rFonts w:hint="eastAsia" w:ascii="Times New Roman"/>
                <w:color w:val="auto"/>
                <w:kern w:val="2"/>
              </w:rPr>
              <w:t>367”</w:t>
            </w:r>
          </w:p>
        </w:tc>
      </w:tr>
      <w:tr w14:paraId="384F3F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1483" w:type="dxa"/>
            <w:tcMar>
              <w:top w:w="16" w:type="dxa"/>
              <w:left w:w="16" w:type="dxa"/>
              <w:right w:w="16" w:type="dxa"/>
            </w:tcMar>
            <w:vAlign w:val="center"/>
          </w:tcPr>
          <w:p w14:paraId="64561B05">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建设性质</w:t>
            </w:r>
          </w:p>
        </w:tc>
        <w:tc>
          <w:tcPr>
            <w:tcW w:w="2225" w:type="dxa"/>
            <w:vAlign w:val="center"/>
          </w:tcPr>
          <w:p w14:paraId="3BB6F122">
            <w:pPr>
              <w:keepNext w:val="0"/>
              <w:keepLines w:val="0"/>
              <w:widowControl/>
              <w:suppressLineNumbers w:val="0"/>
              <w:spacing w:before="0" w:beforeAutospacing="0" w:after="0" w:afterAutospacing="0" w:line="324" w:lineRule="auto"/>
              <w:ind w:left="0" w:right="0"/>
              <w:rPr>
                <w:rFonts w:hint="default" w:ascii="Times New Roman" w:hAnsi="Times New Roman" w:cs="Times New Roman"/>
                <w:color w:val="auto"/>
                <w:kern w:val="2"/>
              </w:rPr>
            </w:pPr>
            <w:r>
              <w:rPr>
                <w:rFonts w:hint="default" w:ascii="Times New Roman" w:hAnsi="Times New Roman" w:cs="Times New Roman"/>
                <w:color w:val="auto"/>
                <w:kern w:val="2"/>
              </w:rPr>
              <w:sym w:font="Wingdings 2" w:char="00A3"/>
            </w:r>
            <w:r>
              <w:rPr>
                <w:rFonts w:hint="default" w:ascii="Times New Roman" w:hAnsi="Times New Roman" w:cs="Times New Roman"/>
                <w:color w:val="auto"/>
                <w:kern w:val="2"/>
              </w:rPr>
              <w:t>新建（迁建）</w:t>
            </w:r>
          </w:p>
          <w:p w14:paraId="34090627">
            <w:pPr>
              <w:keepNext w:val="0"/>
              <w:keepLines w:val="0"/>
              <w:widowControl/>
              <w:suppressLineNumbers w:val="0"/>
              <w:spacing w:before="0" w:beforeAutospacing="0" w:after="0" w:afterAutospacing="0" w:line="324" w:lineRule="auto"/>
              <w:ind w:left="0" w:right="0"/>
              <w:rPr>
                <w:rFonts w:hint="default" w:ascii="Times New Roman" w:hAnsi="Times New Roman" w:cs="Times New Roman"/>
                <w:color w:val="auto"/>
                <w:kern w:val="2"/>
              </w:rPr>
            </w:pPr>
            <w:r>
              <w:rPr>
                <w:rFonts w:hint="default" w:ascii="Times New Roman" w:hAnsi="Times New Roman" w:cs="Times New Roman"/>
                <w:color w:val="auto"/>
                <w:kern w:val="2"/>
              </w:rPr>
              <w:sym w:font="Wingdings 2" w:char="00A3"/>
            </w:r>
            <w:r>
              <w:rPr>
                <w:rFonts w:hint="eastAsia" w:ascii="Times New Roman" w:hAnsi="Times New Roman" w:cs="Times New Roman"/>
                <w:color w:val="auto"/>
                <w:kern w:val="2"/>
              </w:rPr>
              <w:t>改建</w:t>
            </w:r>
          </w:p>
          <w:p w14:paraId="6AB5BBFA">
            <w:pPr>
              <w:keepNext w:val="0"/>
              <w:keepLines w:val="0"/>
              <w:widowControl/>
              <w:suppressLineNumbers w:val="0"/>
              <w:spacing w:before="0" w:beforeAutospacing="0" w:after="0" w:afterAutospacing="0" w:line="324" w:lineRule="auto"/>
              <w:ind w:left="0" w:right="0"/>
              <w:rPr>
                <w:rFonts w:hint="default" w:ascii="Times New Roman" w:hAnsi="Times New Roman" w:cs="Times New Roman"/>
                <w:color w:val="auto"/>
                <w:kern w:val="2"/>
              </w:rPr>
            </w:pPr>
            <w:r>
              <w:rPr>
                <w:rFonts w:hint="default" w:ascii="Times New Roman" w:hAnsi="Times New Roman" w:cs="Times New Roman"/>
                <w:color w:val="auto"/>
                <w:kern w:val="2"/>
              </w:rPr>
              <w:sym w:font="Wingdings 2" w:char="F052"/>
            </w:r>
            <w:r>
              <w:rPr>
                <w:rFonts w:hint="default" w:ascii="Times New Roman" w:hAnsi="Times New Roman" w:cs="Times New Roman"/>
                <w:color w:val="auto"/>
                <w:kern w:val="2"/>
              </w:rPr>
              <w:t>扩建</w:t>
            </w:r>
          </w:p>
          <w:p w14:paraId="2EABFFA4">
            <w:pPr>
              <w:keepNext w:val="0"/>
              <w:keepLines w:val="0"/>
              <w:widowControl/>
              <w:suppressLineNumbers w:val="0"/>
              <w:spacing w:before="0" w:beforeAutospacing="0" w:after="0" w:afterAutospacing="0" w:line="324" w:lineRule="auto"/>
              <w:ind w:left="0" w:right="0"/>
              <w:rPr>
                <w:rFonts w:hint="default" w:ascii="Times New Roman" w:hAnsi="Times New Roman" w:cs="Times New Roman"/>
                <w:color w:val="auto"/>
                <w:kern w:val="2"/>
              </w:rPr>
            </w:pPr>
            <w:r>
              <w:rPr>
                <w:rFonts w:hint="default" w:ascii="Times New Roman" w:hAnsi="Times New Roman" w:cs="Times New Roman"/>
                <w:color w:val="auto"/>
                <w:kern w:val="2"/>
              </w:rPr>
              <w:sym w:font="Wingdings 2" w:char="00A3"/>
            </w:r>
            <w:r>
              <w:rPr>
                <w:rFonts w:hint="default" w:ascii="Times New Roman" w:hAnsi="Times New Roman" w:cs="Times New Roman"/>
                <w:color w:val="auto"/>
                <w:kern w:val="2"/>
              </w:rPr>
              <w:t>技术改造</w:t>
            </w:r>
          </w:p>
        </w:tc>
        <w:tc>
          <w:tcPr>
            <w:tcW w:w="1877" w:type="dxa"/>
            <w:vAlign w:val="center"/>
          </w:tcPr>
          <w:p w14:paraId="7D6D075B">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建设项目</w:t>
            </w:r>
          </w:p>
          <w:p w14:paraId="69F89FC9">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申报情形</w:t>
            </w:r>
          </w:p>
        </w:tc>
        <w:tc>
          <w:tcPr>
            <w:tcW w:w="3285" w:type="dxa"/>
            <w:vAlign w:val="center"/>
          </w:tcPr>
          <w:p w14:paraId="77E7C94B">
            <w:pPr>
              <w:keepNext w:val="0"/>
              <w:keepLines w:val="0"/>
              <w:widowControl/>
              <w:suppressLineNumbers w:val="0"/>
              <w:spacing w:before="0" w:beforeAutospacing="0" w:after="0" w:afterAutospacing="0" w:line="324" w:lineRule="auto"/>
              <w:ind w:left="0" w:right="0"/>
              <w:rPr>
                <w:rFonts w:hint="default" w:ascii="Times New Roman" w:hAnsi="Times New Roman" w:cs="Times New Roman"/>
                <w:color w:val="auto"/>
                <w:kern w:val="2"/>
              </w:rPr>
            </w:pPr>
            <w:r>
              <w:rPr>
                <w:rFonts w:hint="default" w:ascii="Times New Roman" w:hAnsi="Times New Roman" w:cs="Times New Roman"/>
                <w:color w:val="auto"/>
                <w:kern w:val="2"/>
              </w:rPr>
              <w:sym w:font="Wingdings 2" w:char="F052"/>
            </w:r>
            <w:r>
              <w:rPr>
                <w:rFonts w:hint="default" w:ascii="Times New Roman" w:hAnsi="Times New Roman" w:cs="Times New Roman"/>
                <w:color w:val="auto"/>
                <w:kern w:val="2"/>
              </w:rPr>
              <w:t>首次申报项目</w:t>
            </w:r>
          </w:p>
          <w:p w14:paraId="73859ED5">
            <w:pPr>
              <w:keepNext w:val="0"/>
              <w:keepLines w:val="0"/>
              <w:widowControl/>
              <w:suppressLineNumbers w:val="0"/>
              <w:spacing w:before="0" w:beforeAutospacing="0" w:after="0" w:afterAutospacing="0" w:line="324" w:lineRule="auto"/>
              <w:ind w:left="0" w:right="0"/>
              <w:rPr>
                <w:rFonts w:hint="default" w:ascii="Times New Roman" w:hAnsi="Times New Roman" w:cs="Times New Roman"/>
                <w:color w:val="auto"/>
                <w:kern w:val="2"/>
              </w:rPr>
            </w:pPr>
            <w:r>
              <w:rPr>
                <w:rFonts w:hint="default" w:ascii="Times New Roman" w:hAnsi="Times New Roman" w:cs="Times New Roman"/>
                <w:color w:val="auto"/>
                <w:kern w:val="2"/>
              </w:rPr>
              <w:sym w:font="Wingdings 2" w:char="00A3"/>
            </w:r>
            <w:r>
              <w:rPr>
                <w:rFonts w:hint="default" w:ascii="Times New Roman" w:hAnsi="Times New Roman" w:cs="Times New Roman"/>
                <w:color w:val="auto"/>
                <w:spacing w:val="-6"/>
                <w:kern w:val="2"/>
              </w:rPr>
              <w:t>不予批准后再次申报项目</w:t>
            </w:r>
          </w:p>
          <w:p w14:paraId="75BBBD69">
            <w:pPr>
              <w:keepNext w:val="0"/>
              <w:keepLines w:val="0"/>
              <w:widowControl/>
              <w:suppressLineNumbers w:val="0"/>
              <w:spacing w:before="0" w:beforeAutospacing="0" w:after="0" w:afterAutospacing="0" w:line="324" w:lineRule="auto"/>
              <w:ind w:left="0" w:right="0"/>
              <w:rPr>
                <w:rFonts w:hint="default" w:ascii="Times New Roman" w:hAnsi="Times New Roman" w:cs="Times New Roman"/>
                <w:color w:val="auto"/>
                <w:kern w:val="2"/>
              </w:rPr>
            </w:pPr>
            <w:r>
              <w:rPr>
                <w:rFonts w:hint="default" w:ascii="Times New Roman" w:hAnsi="Times New Roman" w:cs="Times New Roman"/>
                <w:color w:val="auto"/>
                <w:kern w:val="2"/>
              </w:rPr>
              <w:sym w:font="Wingdings 2" w:char="00A3"/>
            </w:r>
            <w:r>
              <w:rPr>
                <w:rFonts w:hint="default" w:ascii="Times New Roman" w:hAnsi="Times New Roman" w:cs="Times New Roman"/>
                <w:color w:val="auto"/>
                <w:kern w:val="2"/>
              </w:rPr>
              <w:t>超五年重新审核项目</w:t>
            </w:r>
          </w:p>
          <w:p w14:paraId="66D94616">
            <w:pPr>
              <w:keepNext w:val="0"/>
              <w:keepLines w:val="0"/>
              <w:widowControl/>
              <w:suppressLineNumbers w:val="0"/>
              <w:spacing w:before="0" w:beforeAutospacing="0" w:after="0" w:afterAutospacing="0" w:line="324" w:lineRule="auto"/>
              <w:ind w:left="0" w:right="0"/>
              <w:rPr>
                <w:rFonts w:hint="default" w:ascii="Times New Roman" w:hAnsi="Times New Roman" w:cs="Times New Roman"/>
                <w:color w:val="auto"/>
                <w:kern w:val="2"/>
              </w:rPr>
            </w:pPr>
            <w:r>
              <w:rPr>
                <w:rFonts w:hint="default" w:ascii="Times New Roman" w:hAnsi="Times New Roman" w:cs="Times New Roman"/>
                <w:color w:val="auto"/>
                <w:kern w:val="2"/>
              </w:rPr>
              <w:sym w:font="Wingdings 2" w:char="00A3"/>
            </w:r>
            <w:r>
              <w:rPr>
                <w:rFonts w:hint="default" w:ascii="Times New Roman" w:hAnsi="Times New Roman" w:cs="Times New Roman"/>
                <w:color w:val="auto"/>
                <w:kern w:val="2"/>
              </w:rPr>
              <w:t>重大变动重新报批项目</w:t>
            </w:r>
          </w:p>
        </w:tc>
      </w:tr>
      <w:tr w14:paraId="55FA2A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68" w:hRule="atLeast"/>
        </w:trPr>
        <w:tc>
          <w:tcPr>
            <w:tcW w:w="1483" w:type="dxa"/>
            <w:tcMar>
              <w:top w:w="16" w:type="dxa"/>
              <w:left w:w="16" w:type="dxa"/>
              <w:right w:w="16" w:type="dxa"/>
            </w:tcMar>
            <w:vAlign w:val="center"/>
          </w:tcPr>
          <w:p w14:paraId="5D3072C0">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spacing w:val="-20"/>
                <w:kern w:val="2"/>
              </w:rPr>
            </w:pPr>
            <w:r>
              <w:rPr>
                <w:rFonts w:hint="default" w:ascii="Times New Roman" w:hAnsi="Times New Roman" w:cs="Times New Roman"/>
                <w:color w:val="auto"/>
                <w:spacing w:val="-20"/>
                <w:kern w:val="2"/>
              </w:rPr>
              <w:t>项目审批（核准/</w:t>
            </w:r>
          </w:p>
          <w:p w14:paraId="326B0CFC">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spacing w:val="-20"/>
                <w:kern w:val="2"/>
              </w:rPr>
              <w:t>备案）部门（选填）</w:t>
            </w:r>
          </w:p>
        </w:tc>
        <w:tc>
          <w:tcPr>
            <w:tcW w:w="2225" w:type="dxa"/>
            <w:vAlign w:val="center"/>
          </w:tcPr>
          <w:p w14:paraId="11AED459">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凤台县经济和信息化局</w:t>
            </w:r>
            <w:r>
              <w:rPr>
                <w:rFonts w:hint="eastAsia" w:ascii="宋体" w:hAnsi="宋体" w:eastAsia="宋体" w:cs="宋体"/>
                <w:color w:val="auto"/>
                <w:kern w:val="2"/>
              </w:rPr>
              <w:t>(</w:t>
            </w:r>
            <w:r>
              <w:rPr>
                <w:rFonts w:hint="default" w:ascii="Times New Roman" w:hAnsi="Times New Roman" w:cs="Times New Roman"/>
                <w:color w:val="auto"/>
                <w:kern w:val="2"/>
              </w:rPr>
              <w:t>凤台县商务投资促进局</w:t>
            </w:r>
            <w:r>
              <w:rPr>
                <w:rFonts w:hint="eastAsia" w:ascii="宋体" w:hAnsi="宋体" w:eastAsia="宋体" w:cs="宋体"/>
                <w:color w:val="auto"/>
                <w:kern w:val="2"/>
              </w:rPr>
              <w:t>)</w:t>
            </w:r>
          </w:p>
        </w:tc>
        <w:tc>
          <w:tcPr>
            <w:tcW w:w="1877" w:type="dxa"/>
            <w:vAlign w:val="center"/>
          </w:tcPr>
          <w:p w14:paraId="6ABC09EA">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项目审批（核准/备案）文号（选填）</w:t>
            </w:r>
          </w:p>
        </w:tc>
        <w:tc>
          <w:tcPr>
            <w:tcW w:w="3285" w:type="dxa"/>
            <w:vAlign w:val="center"/>
          </w:tcPr>
          <w:p w14:paraId="3EF70C82">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eastAsia" w:ascii="Times New Roman" w:hAnsi="Times New Roman" w:cs="Times New Roman"/>
                <w:color w:val="auto"/>
                <w:kern w:val="2"/>
              </w:rPr>
              <w:t>/</w:t>
            </w:r>
          </w:p>
        </w:tc>
      </w:tr>
      <w:tr w14:paraId="3C4654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1" w:hRule="atLeast"/>
        </w:trPr>
        <w:tc>
          <w:tcPr>
            <w:tcW w:w="1483" w:type="dxa"/>
            <w:tcMar>
              <w:top w:w="16" w:type="dxa"/>
              <w:left w:w="16" w:type="dxa"/>
              <w:right w:w="16" w:type="dxa"/>
            </w:tcMar>
            <w:vAlign w:val="center"/>
          </w:tcPr>
          <w:p w14:paraId="2385791E">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总投资（万元）</w:t>
            </w:r>
          </w:p>
        </w:tc>
        <w:tc>
          <w:tcPr>
            <w:tcW w:w="2225" w:type="dxa"/>
            <w:vAlign w:val="center"/>
          </w:tcPr>
          <w:p w14:paraId="1CF209B5">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eastAsia" w:ascii="Times New Roman" w:hAnsi="Times New Roman" w:cs="Times New Roman"/>
                <w:color w:val="auto"/>
                <w:kern w:val="2"/>
              </w:rPr>
              <w:t>4300</w:t>
            </w:r>
          </w:p>
        </w:tc>
        <w:tc>
          <w:tcPr>
            <w:tcW w:w="1877" w:type="dxa"/>
            <w:tcMar>
              <w:top w:w="16" w:type="dxa"/>
              <w:left w:w="16" w:type="dxa"/>
              <w:right w:w="16" w:type="dxa"/>
            </w:tcMar>
            <w:vAlign w:val="center"/>
          </w:tcPr>
          <w:p w14:paraId="4D2391E8">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环保投资（万元）</w:t>
            </w:r>
          </w:p>
        </w:tc>
        <w:tc>
          <w:tcPr>
            <w:tcW w:w="3285" w:type="dxa"/>
            <w:vAlign w:val="center"/>
          </w:tcPr>
          <w:p w14:paraId="248FC898">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eastAsia" w:ascii="Times New Roman" w:hAnsi="Times New Roman" w:cs="Times New Roman"/>
                <w:color w:val="auto"/>
                <w:kern w:val="2"/>
              </w:rPr>
              <w:t>40</w:t>
            </w:r>
          </w:p>
        </w:tc>
      </w:tr>
      <w:tr w14:paraId="7DD3F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3" w:hRule="atLeast"/>
        </w:trPr>
        <w:tc>
          <w:tcPr>
            <w:tcW w:w="1483" w:type="dxa"/>
            <w:tcMar>
              <w:top w:w="16" w:type="dxa"/>
              <w:left w:w="16" w:type="dxa"/>
              <w:right w:w="16" w:type="dxa"/>
            </w:tcMar>
            <w:vAlign w:val="center"/>
          </w:tcPr>
          <w:p w14:paraId="755E77AB">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环保投资</w:t>
            </w:r>
          </w:p>
          <w:p w14:paraId="6E9600D6">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占比</w:t>
            </w:r>
            <w:r>
              <w:rPr>
                <w:rFonts w:hint="eastAsia" w:ascii="Times New Roman" w:hAnsi="Times New Roman" w:cs="Times New Roman"/>
                <w:color w:val="auto"/>
                <w:kern w:val="2"/>
              </w:rPr>
              <w:t>（%）</w:t>
            </w:r>
          </w:p>
        </w:tc>
        <w:tc>
          <w:tcPr>
            <w:tcW w:w="2225" w:type="dxa"/>
            <w:vAlign w:val="center"/>
          </w:tcPr>
          <w:p w14:paraId="710BEFC7">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eastAsia" w:ascii="Times New Roman" w:hAnsi="Times New Roman" w:cs="Times New Roman"/>
                <w:color w:val="auto"/>
                <w:kern w:val="2"/>
              </w:rPr>
              <w:t>0.93</w:t>
            </w:r>
          </w:p>
        </w:tc>
        <w:tc>
          <w:tcPr>
            <w:tcW w:w="1877" w:type="dxa"/>
            <w:tcMar>
              <w:top w:w="16" w:type="dxa"/>
              <w:left w:w="16" w:type="dxa"/>
              <w:right w:w="16" w:type="dxa"/>
            </w:tcMar>
            <w:vAlign w:val="center"/>
          </w:tcPr>
          <w:p w14:paraId="3B3ABA9F">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施工工期</w:t>
            </w:r>
          </w:p>
        </w:tc>
        <w:tc>
          <w:tcPr>
            <w:tcW w:w="3285" w:type="dxa"/>
            <w:vAlign w:val="center"/>
          </w:tcPr>
          <w:p w14:paraId="75A39148">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kern w:val="2"/>
                <w:sz w:val="28"/>
                <w:szCs w:val="20"/>
              </w:rPr>
            </w:pPr>
            <w:r>
              <w:rPr>
                <w:rFonts w:hint="eastAsia" w:ascii="Times New Roman" w:hAnsi="Times New Roman" w:cs="Times New Roman"/>
                <w:color w:val="auto"/>
                <w:kern w:val="2"/>
              </w:rPr>
              <w:t>7个月</w:t>
            </w:r>
          </w:p>
        </w:tc>
      </w:tr>
      <w:tr w14:paraId="20C92B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9" w:hRule="atLeast"/>
        </w:trPr>
        <w:tc>
          <w:tcPr>
            <w:tcW w:w="1483" w:type="dxa"/>
            <w:tcMar>
              <w:top w:w="16" w:type="dxa"/>
              <w:left w:w="16" w:type="dxa"/>
              <w:right w:w="16" w:type="dxa"/>
            </w:tcMar>
            <w:vAlign w:val="center"/>
          </w:tcPr>
          <w:p w14:paraId="1096D94F">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是否开工建设</w:t>
            </w:r>
          </w:p>
        </w:tc>
        <w:tc>
          <w:tcPr>
            <w:tcW w:w="2225" w:type="dxa"/>
            <w:vAlign w:val="center"/>
          </w:tcPr>
          <w:p w14:paraId="0532F42C">
            <w:pPr>
              <w:keepNext w:val="0"/>
              <w:keepLines w:val="0"/>
              <w:widowControl/>
              <w:suppressLineNumbers w:val="0"/>
              <w:spacing w:before="0" w:beforeAutospacing="0" w:after="0" w:afterAutospacing="0" w:line="324" w:lineRule="auto"/>
              <w:ind w:left="0" w:right="0"/>
              <w:rPr>
                <w:rFonts w:hint="default" w:ascii="Times New Roman" w:hAnsi="Times New Roman" w:cs="Times New Roman"/>
                <w:color w:val="auto"/>
                <w:kern w:val="2"/>
              </w:rPr>
            </w:pPr>
            <w:r>
              <w:rPr>
                <w:rFonts w:hint="default" w:ascii="Times New Roman" w:hAnsi="Times New Roman" w:cs="Times New Roman"/>
                <w:color w:val="auto"/>
                <w:kern w:val="2"/>
              </w:rPr>
              <w:sym w:font="Wingdings 2" w:char="F052"/>
            </w:r>
            <w:r>
              <w:rPr>
                <w:rFonts w:hint="default" w:ascii="Times New Roman" w:hAnsi="Times New Roman" w:cs="Times New Roman"/>
                <w:color w:val="auto"/>
                <w:kern w:val="2"/>
              </w:rPr>
              <w:t>否</w:t>
            </w:r>
          </w:p>
          <w:p w14:paraId="4B1DDE60">
            <w:pPr>
              <w:keepNext w:val="0"/>
              <w:keepLines w:val="0"/>
              <w:widowControl/>
              <w:suppressLineNumbers w:val="0"/>
              <w:spacing w:before="0" w:beforeAutospacing="0" w:after="0" w:afterAutospacing="0" w:line="324" w:lineRule="auto"/>
              <w:ind w:left="0" w:right="0"/>
              <w:rPr>
                <w:rFonts w:hint="default" w:ascii="Times New Roman" w:hAnsi="Times New Roman" w:cs="Times New Roman"/>
                <w:color w:val="auto"/>
                <w:kern w:val="2"/>
              </w:rPr>
            </w:pPr>
            <w:r>
              <w:rPr>
                <w:rFonts w:hint="default" w:ascii="Times New Roman" w:hAnsi="Times New Roman" w:cs="Times New Roman"/>
                <w:color w:val="auto"/>
                <w:kern w:val="2"/>
              </w:rPr>
              <w:sym w:font="Wingdings 2" w:char="00A3"/>
            </w:r>
            <w:r>
              <w:rPr>
                <w:rFonts w:hint="default" w:ascii="Times New Roman" w:hAnsi="Times New Roman" w:cs="Times New Roman"/>
                <w:color w:val="auto"/>
                <w:kern w:val="2"/>
              </w:rPr>
              <w:t>是</w:t>
            </w:r>
          </w:p>
        </w:tc>
        <w:tc>
          <w:tcPr>
            <w:tcW w:w="1877" w:type="dxa"/>
            <w:tcMar>
              <w:top w:w="16" w:type="dxa"/>
              <w:left w:w="16" w:type="dxa"/>
              <w:right w:w="16" w:type="dxa"/>
            </w:tcMar>
            <w:vAlign w:val="center"/>
          </w:tcPr>
          <w:p w14:paraId="1E739568">
            <w:pPr>
              <w:keepNext w:val="0"/>
              <w:keepLines w:val="0"/>
              <w:widowControl/>
              <w:suppressLineNumbers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spacing w:val="-6"/>
                <w:kern w:val="2"/>
              </w:rPr>
              <w:t>用地（用海）面积（m</w:t>
            </w:r>
            <w:r>
              <w:rPr>
                <w:rFonts w:hint="default" w:ascii="Times New Roman" w:hAnsi="Times New Roman" w:cs="Times New Roman"/>
                <w:color w:val="auto"/>
                <w:spacing w:val="-6"/>
                <w:kern w:val="2"/>
                <w:vertAlign w:val="superscript"/>
              </w:rPr>
              <w:t>2</w:t>
            </w:r>
            <w:r>
              <w:rPr>
                <w:rFonts w:hint="default" w:ascii="Times New Roman" w:hAnsi="Times New Roman" w:cs="Times New Roman"/>
                <w:color w:val="auto"/>
                <w:spacing w:val="-6"/>
                <w:kern w:val="2"/>
              </w:rPr>
              <w:t>）</w:t>
            </w:r>
          </w:p>
        </w:tc>
        <w:tc>
          <w:tcPr>
            <w:tcW w:w="3285" w:type="dxa"/>
            <w:vAlign w:val="center"/>
          </w:tcPr>
          <w:p w14:paraId="030F934B">
            <w:pPr>
              <w:keepNext w:val="0"/>
              <w:keepLines w:val="0"/>
              <w:widowControl/>
              <w:suppressLineNumbers w:val="0"/>
              <w:tabs>
                <w:tab w:val="left" w:pos="1252"/>
              </w:tabs>
              <w:spacing w:before="0" w:beforeAutospacing="0" w:after="0" w:afterAutospacing="0" w:line="324" w:lineRule="auto"/>
              <w:ind w:left="0" w:right="0"/>
              <w:jc w:val="center"/>
              <w:rPr>
                <w:rFonts w:hint="default" w:ascii="Times New Roman" w:hAnsi="Times New Roman" w:cs="Times New Roman"/>
                <w:color w:val="auto"/>
                <w:kern w:val="2"/>
              </w:rPr>
            </w:pPr>
            <w:r>
              <w:rPr>
                <w:rFonts w:hint="eastAsia" w:ascii="Times New Roman" w:hAnsi="Times New Roman" w:cs="Times New Roman"/>
                <w:color w:val="auto"/>
                <w:kern w:val="2"/>
              </w:rPr>
              <w:t>8437.15</w:t>
            </w:r>
          </w:p>
        </w:tc>
      </w:tr>
      <w:tr w14:paraId="17D051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1483" w:type="dxa"/>
            <w:vAlign w:val="center"/>
          </w:tcPr>
          <w:p w14:paraId="665D76A2">
            <w:pPr>
              <w:keepNext w:val="0"/>
              <w:keepLines w:val="0"/>
              <w:widowControl/>
              <w:suppressLineNumbers w:val="0"/>
              <w:autoSpaceDE w:val="0"/>
              <w:autoSpaceDN w:val="0"/>
              <w:spacing w:before="0" w:beforeAutospacing="0" w:after="0" w:afterAutospacing="0" w:line="324"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专项评价设置情况</w:t>
            </w:r>
          </w:p>
        </w:tc>
        <w:tc>
          <w:tcPr>
            <w:tcW w:w="7387" w:type="dxa"/>
            <w:gridSpan w:val="3"/>
            <w:vAlign w:val="center"/>
          </w:tcPr>
          <w:p w14:paraId="03916FA0">
            <w:pPr>
              <w:keepNext w:val="0"/>
              <w:keepLines w:val="0"/>
              <w:widowControl/>
              <w:suppressLineNumbers w:val="0"/>
              <w:autoSpaceDE w:val="0"/>
              <w:autoSpaceDN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本项目无需设置专项评价。判定依据详见下表：</w:t>
            </w:r>
          </w:p>
          <w:p w14:paraId="1FE5C70C">
            <w:pPr>
              <w:keepNext w:val="0"/>
              <w:keepLines w:val="0"/>
              <w:widowControl/>
              <w:suppressLineNumbers w:val="0"/>
              <w:autoSpaceDE w:val="0"/>
              <w:autoSpaceDN w:val="0"/>
              <w:spacing w:before="0" w:beforeAutospacing="0" w:after="0" w:afterAutospacing="0" w:line="324" w:lineRule="auto"/>
              <w:ind w:left="0" w:right="0"/>
              <w:jc w:val="center"/>
              <w:rPr>
                <w:rFonts w:hint="default" w:ascii="Times New Roman" w:hAnsi="Times New Roman" w:eastAsia="黑体"/>
                <w:color w:val="auto"/>
                <w:kern w:val="2"/>
              </w:rPr>
            </w:pPr>
          </w:p>
          <w:p w14:paraId="17B7E05E">
            <w:pPr>
              <w:keepNext w:val="0"/>
              <w:keepLines w:val="0"/>
              <w:widowControl/>
              <w:suppressLineNumbers w:val="0"/>
              <w:autoSpaceDE w:val="0"/>
              <w:autoSpaceDN w:val="0"/>
              <w:spacing w:before="0" w:beforeAutospacing="0" w:after="0" w:afterAutospacing="0" w:line="324" w:lineRule="auto"/>
              <w:ind w:left="0" w:right="0"/>
              <w:jc w:val="center"/>
              <w:rPr>
                <w:rFonts w:hint="default" w:ascii="Times New Roman" w:hAnsi="Times New Roman" w:eastAsia="黑体"/>
                <w:color w:val="auto"/>
                <w:kern w:val="2"/>
              </w:rPr>
            </w:pPr>
          </w:p>
          <w:p w14:paraId="7F33C910">
            <w:pPr>
              <w:keepNext w:val="0"/>
              <w:keepLines w:val="0"/>
              <w:widowControl/>
              <w:suppressLineNumbers w:val="0"/>
              <w:autoSpaceDE w:val="0"/>
              <w:autoSpaceDN w:val="0"/>
              <w:spacing w:before="0" w:beforeAutospacing="0" w:after="0" w:afterAutospacing="0" w:line="324" w:lineRule="auto"/>
              <w:ind w:left="0" w:right="0"/>
              <w:jc w:val="center"/>
              <w:rPr>
                <w:rFonts w:hint="eastAsia" w:ascii="Times New Roman" w:hAnsi="Times New Roman" w:eastAsia="黑体"/>
                <w:color w:val="auto"/>
                <w:kern w:val="2"/>
              </w:rPr>
            </w:pPr>
          </w:p>
          <w:p w14:paraId="5B0BFE03">
            <w:pPr>
              <w:pStyle w:val="12"/>
              <w:keepNext w:val="0"/>
              <w:keepLines w:val="0"/>
              <w:widowControl/>
              <w:suppressLineNumbers w:val="0"/>
              <w:spacing w:before="0" w:beforeAutospacing="0" w:after="0" w:afterAutospacing="0"/>
              <w:ind w:left="0" w:right="0"/>
              <w:rPr>
                <w:rFonts w:hint="eastAsia"/>
                <w:color w:val="auto"/>
                <w:kern w:val="2"/>
              </w:rPr>
            </w:pPr>
          </w:p>
          <w:p w14:paraId="18A470D5">
            <w:pPr>
              <w:pStyle w:val="12"/>
              <w:keepNext w:val="0"/>
              <w:keepLines w:val="0"/>
              <w:widowControl/>
              <w:suppressLineNumbers w:val="0"/>
              <w:spacing w:before="0" w:beforeAutospacing="0" w:after="0" w:afterAutospacing="0"/>
              <w:ind w:left="0" w:right="0" w:firstLine="480"/>
              <w:rPr>
                <w:rFonts w:hint="default"/>
                <w:color w:val="auto"/>
                <w:kern w:val="2"/>
              </w:rPr>
            </w:pPr>
          </w:p>
          <w:p w14:paraId="1A972A4B">
            <w:pPr>
              <w:keepNext w:val="0"/>
              <w:keepLines w:val="0"/>
              <w:widowControl/>
              <w:suppressLineNumbers w:val="0"/>
              <w:autoSpaceDE w:val="0"/>
              <w:autoSpaceDN w:val="0"/>
              <w:spacing w:before="0" w:beforeAutospacing="0" w:after="0" w:afterAutospacing="0" w:line="324" w:lineRule="auto"/>
              <w:ind w:left="0" w:right="0"/>
              <w:jc w:val="center"/>
              <w:rPr>
                <w:rFonts w:hint="default" w:ascii="Times New Roman" w:hAnsi="Times New Roman" w:eastAsia="黑体"/>
                <w:color w:val="auto"/>
                <w:kern w:val="2"/>
              </w:rPr>
            </w:pPr>
          </w:p>
          <w:p w14:paraId="78DC1587">
            <w:pPr>
              <w:keepNext w:val="0"/>
              <w:keepLines w:val="0"/>
              <w:widowControl/>
              <w:suppressLineNumbers w:val="0"/>
              <w:autoSpaceDE w:val="0"/>
              <w:autoSpaceDN w:val="0"/>
              <w:spacing w:before="0" w:beforeAutospacing="0" w:after="0" w:afterAutospacing="0" w:line="324" w:lineRule="auto"/>
              <w:ind w:left="0" w:right="0"/>
              <w:jc w:val="center"/>
              <w:rPr>
                <w:rFonts w:hint="default" w:ascii="Times New Roman" w:hAnsi="Times New Roman" w:eastAsia="黑体"/>
                <w:color w:val="auto"/>
                <w:kern w:val="2"/>
              </w:rPr>
            </w:pPr>
            <w:r>
              <w:rPr>
                <w:rFonts w:hint="default" w:ascii="Times New Roman" w:hAnsi="Times New Roman" w:eastAsia="黑体"/>
                <w:color w:val="auto"/>
                <w:kern w:val="2"/>
              </w:rPr>
              <w:t>表1-1</w:t>
            </w:r>
            <w:r>
              <w:rPr>
                <w:rFonts w:hint="eastAsia" w:ascii="Times New Roman" w:hAnsi="Times New Roman" w:eastAsia="黑体"/>
                <w:color w:val="auto"/>
                <w:kern w:val="2"/>
              </w:rPr>
              <w:t xml:space="preserve">  </w:t>
            </w:r>
            <w:r>
              <w:rPr>
                <w:rFonts w:hint="default" w:ascii="Times New Roman" w:hAnsi="Times New Roman" w:eastAsia="黑体"/>
                <w:color w:val="auto"/>
                <w:kern w:val="2"/>
              </w:rPr>
              <w:t>专项评价设置原则表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22"/>
              <w:gridCol w:w="2417"/>
              <w:gridCol w:w="3276"/>
              <w:gridCol w:w="456"/>
            </w:tblGrid>
            <w:tr w14:paraId="66E3F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12" w:type="pct"/>
                  <w:vAlign w:val="center"/>
                </w:tcPr>
                <w:p w14:paraId="36E20376">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专项评价类别</w:t>
                  </w:r>
                </w:p>
              </w:tc>
              <w:tc>
                <w:tcPr>
                  <w:tcW w:w="1684" w:type="pct"/>
                  <w:vAlign w:val="center"/>
                </w:tcPr>
                <w:p w14:paraId="6B3F1CDD">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设置原则</w:t>
                  </w:r>
                </w:p>
              </w:tc>
              <w:tc>
                <w:tcPr>
                  <w:tcW w:w="2283" w:type="pct"/>
                  <w:vAlign w:val="center"/>
                </w:tcPr>
                <w:p w14:paraId="279AE1C0">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本项目情况</w:t>
                  </w:r>
                </w:p>
              </w:tc>
              <w:tc>
                <w:tcPr>
                  <w:tcW w:w="318" w:type="pct"/>
                  <w:vAlign w:val="center"/>
                </w:tcPr>
                <w:p w14:paraId="4DFFD7EA">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是否设置</w:t>
                  </w:r>
                </w:p>
              </w:tc>
            </w:tr>
            <w:tr w14:paraId="4DF48F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12" w:type="pct"/>
                  <w:vAlign w:val="center"/>
                </w:tcPr>
                <w:p w14:paraId="34F7BE2A">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大气</w:t>
                  </w:r>
                </w:p>
              </w:tc>
              <w:tc>
                <w:tcPr>
                  <w:tcW w:w="1684" w:type="pct"/>
                  <w:vAlign w:val="center"/>
                </w:tcPr>
                <w:p w14:paraId="584DE58B">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排放废气含有毒有害污染物</w:t>
                  </w:r>
                  <w:r>
                    <w:rPr>
                      <w:rFonts w:hint="default" w:ascii="Times New Roman" w:hAnsi="Times New Roman"/>
                      <w:color w:val="auto"/>
                      <w:kern w:val="2"/>
                      <w:sz w:val="21"/>
                      <w:szCs w:val="21"/>
                      <w:vertAlign w:val="superscript"/>
                    </w:rPr>
                    <w:t>1</w:t>
                  </w:r>
                  <w:r>
                    <w:rPr>
                      <w:rFonts w:hint="default" w:ascii="Times New Roman" w:hAnsi="Times New Roman"/>
                      <w:color w:val="auto"/>
                      <w:kern w:val="2"/>
                      <w:sz w:val="21"/>
                      <w:szCs w:val="21"/>
                    </w:rPr>
                    <w:t>、二噁英、苯并[a]芘、氰化物、氯气且厂界外500米范围内有环境空气保护目标</w:t>
                  </w:r>
                  <w:r>
                    <w:rPr>
                      <w:rFonts w:hint="default" w:ascii="Times New Roman" w:hAnsi="Times New Roman"/>
                      <w:color w:val="auto"/>
                      <w:kern w:val="2"/>
                      <w:sz w:val="21"/>
                      <w:szCs w:val="21"/>
                      <w:vertAlign w:val="superscript"/>
                    </w:rPr>
                    <w:t>2</w:t>
                  </w:r>
                  <w:r>
                    <w:rPr>
                      <w:rFonts w:hint="default" w:ascii="Times New Roman" w:hAnsi="Times New Roman"/>
                      <w:color w:val="auto"/>
                      <w:kern w:val="2"/>
                      <w:sz w:val="21"/>
                      <w:szCs w:val="21"/>
                    </w:rPr>
                    <w:t>的建设项目</w:t>
                  </w:r>
                </w:p>
              </w:tc>
              <w:tc>
                <w:tcPr>
                  <w:tcW w:w="2283" w:type="pct"/>
                  <w:vAlign w:val="center"/>
                </w:tcPr>
                <w:p w14:paraId="0D914510">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本项目废气污染物</w:t>
                  </w:r>
                  <w:r>
                    <w:rPr>
                      <w:rFonts w:hint="eastAsia" w:ascii="Times New Roman" w:hAnsi="Times New Roman"/>
                      <w:color w:val="auto"/>
                      <w:kern w:val="2"/>
                      <w:sz w:val="21"/>
                      <w:szCs w:val="21"/>
                    </w:rPr>
                    <w:t>主要</w:t>
                  </w:r>
                  <w:r>
                    <w:rPr>
                      <w:rFonts w:hint="default" w:ascii="Times New Roman" w:hAnsi="Times New Roman"/>
                      <w:color w:val="auto"/>
                      <w:kern w:val="2"/>
                      <w:sz w:val="21"/>
                      <w:szCs w:val="21"/>
                    </w:rPr>
                    <w:t>为非甲烷总烃等废气，排放废气</w:t>
                  </w:r>
                  <w:r>
                    <w:rPr>
                      <w:rFonts w:hint="eastAsia" w:ascii="Times New Roman" w:hAnsi="Times New Roman"/>
                      <w:color w:val="auto"/>
                      <w:kern w:val="2"/>
                      <w:sz w:val="21"/>
                      <w:szCs w:val="21"/>
                    </w:rPr>
                    <w:t>不</w:t>
                  </w:r>
                  <w:r>
                    <w:rPr>
                      <w:rFonts w:hint="default" w:ascii="Times New Roman" w:hAnsi="Times New Roman"/>
                      <w:color w:val="auto"/>
                      <w:kern w:val="2"/>
                      <w:sz w:val="21"/>
                      <w:szCs w:val="21"/>
                    </w:rPr>
                    <w:t>涉及《有毒有害大气污染物名录》规定的有毒有害污染物及二噁英、苯并[a]芘、氰化物、氯气</w:t>
                  </w:r>
                </w:p>
              </w:tc>
              <w:tc>
                <w:tcPr>
                  <w:tcW w:w="318" w:type="pct"/>
                  <w:vAlign w:val="center"/>
                </w:tcPr>
                <w:p w14:paraId="51B66689">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否</w:t>
                  </w:r>
                </w:p>
              </w:tc>
            </w:tr>
            <w:tr w14:paraId="3D39D8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12" w:type="pct"/>
                  <w:vAlign w:val="center"/>
                </w:tcPr>
                <w:p w14:paraId="38829334">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地表水</w:t>
                  </w:r>
                </w:p>
              </w:tc>
              <w:tc>
                <w:tcPr>
                  <w:tcW w:w="1684" w:type="pct"/>
                  <w:vAlign w:val="center"/>
                </w:tcPr>
                <w:p w14:paraId="1EE64B2C">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新增工业废水直排建设项目（槽罐车外送污水处理厂的除外）；新增废水直排的污水集中处理厂</w:t>
                  </w:r>
                </w:p>
              </w:tc>
              <w:tc>
                <w:tcPr>
                  <w:tcW w:w="2283" w:type="pct"/>
                  <w:vAlign w:val="center"/>
                </w:tcPr>
                <w:p w14:paraId="3EF13256">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color w:val="auto"/>
                      <w:kern w:val="2"/>
                      <w:sz w:val="21"/>
                      <w:szCs w:val="21"/>
                    </w:rPr>
                    <w:t>本项目</w:t>
                  </w:r>
                  <w:r>
                    <w:rPr>
                      <w:rFonts w:hint="eastAsia"/>
                      <w:color w:val="auto"/>
                      <w:kern w:val="2"/>
                      <w:sz w:val="21"/>
                      <w:szCs w:val="21"/>
                    </w:rPr>
                    <w:t>无新增废水。</w:t>
                  </w:r>
                  <w:r>
                    <w:rPr>
                      <w:rFonts w:hint="default" w:ascii="Times New Roman"/>
                      <w:color w:val="auto"/>
                      <w:kern w:val="2"/>
                      <w:sz w:val="21"/>
                      <w:szCs w:val="21"/>
                    </w:rPr>
                    <w:t>项目不涉及工业废水直排</w:t>
                  </w:r>
                </w:p>
              </w:tc>
              <w:tc>
                <w:tcPr>
                  <w:tcW w:w="318" w:type="pct"/>
                  <w:vAlign w:val="center"/>
                </w:tcPr>
                <w:p w14:paraId="65BDF16C">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否</w:t>
                  </w:r>
                </w:p>
              </w:tc>
            </w:tr>
            <w:tr w14:paraId="5AE718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12" w:type="pct"/>
                  <w:vAlign w:val="center"/>
                </w:tcPr>
                <w:p w14:paraId="73C49F8D">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环境风险</w:t>
                  </w:r>
                </w:p>
              </w:tc>
              <w:tc>
                <w:tcPr>
                  <w:tcW w:w="1684" w:type="pct"/>
                  <w:vAlign w:val="center"/>
                </w:tcPr>
                <w:p w14:paraId="437894AC">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有毒有害和易燃易爆危险物质存储量超过临界量</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的建设项目</w:t>
                  </w:r>
                </w:p>
              </w:tc>
              <w:tc>
                <w:tcPr>
                  <w:tcW w:w="2283" w:type="pct"/>
                  <w:vAlign w:val="center"/>
                </w:tcPr>
                <w:p w14:paraId="4642E118">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color w:val="auto"/>
                      <w:kern w:val="2"/>
                      <w:sz w:val="21"/>
                      <w:szCs w:val="21"/>
                    </w:rPr>
                    <w:t>本项目危险物质存储量未超过临界值</w:t>
                  </w:r>
                </w:p>
              </w:tc>
              <w:tc>
                <w:tcPr>
                  <w:tcW w:w="318" w:type="pct"/>
                  <w:vAlign w:val="center"/>
                </w:tcPr>
                <w:p w14:paraId="5BA6B2C8">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否</w:t>
                  </w:r>
                </w:p>
              </w:tc>
            </w:tr>
            <w:tr w14:paraId="73054E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12" w:type="pct"/>
                  <w:vAlign w:val="center"/>
                </w:tcPr>
                <w:p w14:paraId="45405A75">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生态</w:t>
                  </w:r>
                </w:p>
              </w:tc>
              <w:tc>
                <w:tcPr>
                  <w:tcW w:w="1684" w:type="pct"/>
                  <w:vAlign w:val="center"/>
                </w:tcPr>
                <w:p w14:paraId="033CAC6D">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取水口下游500米范围内有重要水生生物的自然产卵场、索饵场、越冬场和洄游通道的新增河道取水的污染类建设项目</w:t>
                  </w:r>
                </w:p>
              </w:tc>
              <w:tc>
                <w:tcPr>
                  <w:tcW w:w="2283" w:type="pct"/>
                  <w:vAlign w:val="center"/>
                </w:tcPr>
                <w:p w14:paraId="6E5B134B">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color w:val="auto"/>
                      <w:kern w:val="2"/>
                      <w:sz w:val="21"/>
                      <w:szCs w:val="21"/>
                    </w:rPr>
                    <w:t>本项目供水来自市政供水管网，不涉及取水口</w:t>
                  </w:r>
                </w:p>
              </w:tc>
              <w:tc>
                <w:tcPr>
                  <w:tcW w:w="318" w:type="pct"/>
                  <w:vAlign w:val="center"/>
                </w:tcPr>
                <w:p w14:paraId="26BBDB99">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否</w:t>
                  </w:r>
                </w:p>
              </w:tc>
            </w:tr>
            <w:tr w14:paraId="2167C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12" w:type="pct"/>
                  <w:vAlign w:val="center"/>
                </w:tcPr>
                <w:p w14:paraId="255E27ED">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海洋</w:t>
                  </w:r>
                </w:p>
              </w:tc>
              <w:tc>
                <w:tcPr>
                  <w:tcW w:w="1684" w:type="pct"/>
                  <w:vAlign w:val="center"/>
                </w:tcPr>
                <w:p w14:paraId="5E7DCB9C">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直接向海排放污染物的海洋工程建设项目</w:t>
                  </w:r>
                </w:p>
              </w:tc>
              <w:tc>
                <w:tcPr>
                  <w:tcW w:w="2283" w:type="pct"/>
                  <w:vAlign w:val="center"/>
                </w:tcPr>
                <w:p w14:paraId="47AADE86">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color w:val="auto"/>
                      <w:kern w:val="2"/>
                      <w:sz w:val="21"/>
                      <w:szCs w:val="21"/>
                    </w:rPr>
                    <w:t>本项目不涉及向海排放污染物</w:t>
                  </w:r>
                </w:p>
              </w:tc>
              <w:tc>
                <w:tcPr>
                  <w:tcW w:w="318" w:type="pct"/>
                  <w:vAlign w:val="center"/>
                </w:tcPr>
                <w:p w14:paraId="66BDC864">
                  <w:pPr>
                    <w:keepNext w:val="0"/>
                    <w:keepLines w:val="0"/>
                    <w:widowControl/>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否</w:t>
                  </w:r>
                </w:p>
              </w:tc>
            </w:tr>
          </w:tbl>
          <w:p w14:paraId="27DD4845">
            <w:pPr>
              <w:keepNext w:val="0"/>
              <w:keepLines w:val="0"/>
              <w:widowControl/>
              <w:suppressLineNumbers w:val="0"/>
              <w:autoSpaceDE w:val="0"/>
              <w:autoSpaceDN w:val="0"/>
              <w:spacing w:before="0" w:beforeAutospacing="0" w:after="0" w:afterAutospacing="0" w:line="240" w:lineRule="atLeast"/>
              <w:ind w:left="0" w:right="0"/>
              <w:rPr>
                <w:rFonts w:hint="default" w:ascii="Times New Roman" w:hAnsi="Times New Roman" w:eastAsia="黑体"/>
                <w:color w:val="auto"/>
                <w:kern w:val="2"/>
                <w:sz w:val="21"/>
                <w:szCs w:val="18"/>
              </w:rPr>
            </w:pPr>
            <w:r>
              <w:rPr>
                <w:rFonts w:hint="default" w:ascii="Times New Roman" w:hAnsi="Times New Roman" w:eastAsia="黑体"/>
                <w:color w:val="auto"/>
                <w:kern w:val="2"/>
                <w:sz w:val="21"/>
                <w:szCs w:val="18"/>
              </w:rPr>
              <w:t>注：1、废气中有毒有害污染物指纳入《有毒有害大气污染物名录》的污染物</w:t>
            </w:r>
            <w:r>
              <w:rPr>
                <w:rFonts w:hint="default" w:ascii="Times New Roman" w:hAnsi="Times New Roman"/>
                <w:color w:val="auto"/>
                <w:kern w:val="2"/>
                <w:sz w:val="21"/>
                <w:szCs w:val="18"/>
              </w:rPr>
              <w:t>（</w:t>
            </w:r>
            <w:r>
              <w:rPr>
                <w:rFonts w:hint="default" w:ascii="Times New Roman" w:hAnsi="Times New Roman" w:eastAsia="黑体"/>
                <w:color w:val="auto"/>
                <w:kern w:val="2"/>
                <w:sz w:val="21"/>
                <w:szCs w:val="18"/>
              </w:rPr>
              <w:t>不包括无排放标准的污染物</w:t>
            </w:r>
            <w:r>
              <w:rPr>
                <w:rFonts w:hint="default" w:ascii="Times New Roman" w:hAnsi="Times New Roman"/>
                <w:color w:val="auto"/>
                <w:kern w:val="2"/>
                <w:sz w:val="21"/>
                <w:szCs w:val="18"/>
              </w:rPr>
              <w:t>）</w:t>
            </w:r>
            <w:r>
              <w:rPr>
                <w:rFonts w:hint="default" w:ascii="Times New Roman" w:hAnsi="Times New Roman" w:eastAsia="黑体"/>
                <w:color w:val="auto"/>
                <w:kern w:val="2"/>
                <w:sz w:val="21"/>
                <w:szCs w:val="18"/>
              </w:rPr>
              <w:t>；</w:t>
            </w:r>
          </w:p>
          <w:p w14:paraId="6245979A">
            <w:pPr>
              <w:keepNext w:val="0"/>
              <w:keepLines w:val="0"/>
              <w:widowControl/>
              <w:suppressLineNumbers w:val="0"/>
              <w:autoSpaceDE w:val="0"/>
              <w:autoSpaceDN w:val="0"/>
              <w:spacing w:before="0" w:beforeAutospacing="0" w:after="0" w:afterAutospacing="0" w:line="240" w:lineRule="atLeast"/>
              <w:ind w:left="0" w:right="0" w:firstLine="420" w:firstLineChars="200"/>
              <w:rPr>
                <w:rFonts w:hint="default" w:ascii="Times New Roman" w:hAnsi="Times New Roman" w:eastAsia="黑体"/>
                <w:color w:val="auto"/>
                <w:kern w:val="2"/>
                <w:sz w:val="21"/>
                <w:szCs w:val="18"/>
              </w:rPr>
            </w:pPr>
            <w:r>
              <w:rPr>
                <w:rFonts w:hint="default" w:ascii="Times New Roman" w:hAnsi="Times New Roman" w:eastAsia="黑体"/>
                <w:color w:val="auto"/>
                <w:kern w:val="2"/>
                <w:sz w:val="21"/>
                <w:szCs w:val="18"/>
              </w:rPr>
              <w:t>2、环境空气保护目标指自然保护区、风景名胜区、居住区、文化区和农村地区中人群较集中的区域；</w:t>
            </w:r>
          </w:p>
          <w:p w14:paraId="2879D550">
            <w:pPr>
              <w:keepNext w:val="0"/>
              <w:keepLines w:val="0"/>
              <w:widowControl/>
              <w:suppressLineNumbers w:val="0"/>
              <w:autoSpaceDE w:val="0"/>
              <w:autoSpaceDN w:val="0"/>
              <w:spacing w:before="0" w:beforeAutospacing="0" w:after="0" w:afterAutospacing="0" w:line="240" w:lineRule="atLeast"/>
              <w:ind w:left="0" w:right="0" w:firstLine="420" w:firstLineChars="200"/>
              <w:rPr>
                <w:rFonts w:hint="default" w:ascii="Times New Roman" w:hAnsi="Times New Roman" w:cs="Times New Roman"/>
                <w:color w:val="auto"/>
                <w:spacing w:val="-2"/>
                <w:kern w:val="2"/>
              </w:rPr>
            </w:pPr>
            <w:r>
              <w:rPr>
                <w:rFonts w:hint="default" w:ascii="Times New Roman" w:hAnsi="Times New Roman" w:eastAsia="黑体"/>
                <w:color w:val="auto"/>
                <w:kern w:val="2"/>
                <w:sz w:val="21"/>
                <w:szCs w:val="18"/>
              </w:rPr>
              <w:t>3、临界量及其计算方法可参考《建设项目环境风险评价技术导则》</w:t>
            </w:r>
            <w:r>
              <w:rPr>
                <w:rFonts w:hint="default" w:ascii="Times New Roman" w:hAnsi="Times New Roman"/>
                <w:color w:val="auto"/>
                <w:kern w:val="2"/>
                <w:sz w:val="21"/>
                <w:szCs w:val="18"/>
              </w:rPr>
              <w:t>（</w:t>
            </w:r>
            <w:r>
              <w:rPr>
                <w:rFonts w:hint="default" w:ascii="Times New Roman" w:hAnsi="Times New Roman" w:eastAsia="黑体"/>
                <w:color w:val="auto"/>
                <w:kern w:val="2"/>
                <w:sz w:val="21"/>
                <w:szCs w:val="18"/>
              </w:rPr>
              <w:t>HJ 169</w:t>
            </w:r>
            <w:r>
              <w:rPr>
                <w:rFonts w:hint="default" w:ascii="Times New Roman" w:hAnsi="Times New Roman"/>
                <w:color w:val="auto"/>
                <w:kern w:val="2"/>
                <w:sz w:val="21"/>
                <w:szCs w:val="18"/>
              </w:rPr>
              <w:t>）</w:t>
            </w:r>
            <w:r>
              <w:rPr>
                <w:rFonts w:hint="default" w:ascii="Times New Roman" w:hAnsi="Times New Roman" w:eastAsia="黑体"/>
                <w:color w:val="auto"/>
                <w:kern w:val="2"/>
                <w:sz w:val="21"/>
                <w:szCs w:val="18"/>
              </w:rPr>
              <w:t>附录B、附录C。</w:t>
            </w:r>
          </w:p>
        </w:tc>
      </w:tr>
      <w:tr w14:paraId="73D5A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1483" w:type="dxa"/>
            <w:vAlign w:val="center"/>
          </w:tcPr>
          <w:p w14:paraId="45564870">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规划情况</w:t>
            </w:r>
          </w:p>
        </w:tc>
        <w:tc>
          <w:tcPr>
            <w:tcW w:w="7387" w:type="dxa"/>
            <w:gridSpan w:val="3"/>
            <w:vAlign w:val="center"/>
          </w:tcPr>
          <w:p w14:paraId="4D0403D7">
            <w:pPr>
              <w:keepNext w:val="0"/>
              <w:keepLines w:val="0"/>
              <w:widowControl/>
              <w:suppressLineNumbers w:val="0"/>
              <w:autoSpaceDE w:val="0"/>
              <w:autoSpaceDN w:val="0"/>
              <w:spacing w:before="0" w:beforeAutospacing="0" w:after="0" w:afterAutospacing="0" w:line="324" w:lineRule="auto"/>
              <w:ind w:left="0" w:right="0"/>
              <w:rPr>
                <w:rFonts w:hint="default" w:ascii="Times New Roman" w:hAnsi="Times New Roman"/>
                <w:color w:val="auto"/>
                <w:kern w:val="2"/>
              </w:rPr>
            </w:pPr>
            <w:r>
              <w:rPr>
                <w:rFonts w:hint="default" w:ascii="Times New Roman" w:hAnsi="Times New Roman"/>
                <w:b/>
                <w:color w:val="auto"/>
                <w:kern w:val="2"/>
              </w:rPr>
              <w:t>规划名称：</w:t>
            </w:r>
            <w:r>
              <w:rPr>
                <w:rFonts w:hint="default" w:ascii="Times New Roman" w:hAnsi="Times New Roman"/>
                <w:color w:val="auto"/>
                <w:kern w:val="2"/>
              </w:rPr>
              <w:t>《安徽凤台经济开发区总体发展规划（2024-2035年）（调区）》</w:t>
            </w:r>
          </w:p>
          <w:p w14:paraId="23B8DDDF">
            <w:pPr>
              <w:keepNext w:val="0"/>
              <w:keepLines w:val="0"/>
              <w:widowControl/>
              <w:suppressLineNumbers w:val="0"/>
              <w:autoSpaceDE w:val="0"/>
              <w:autoSpaceDN w:val="0"/>
              <w:spacing w:before="0" w:beforeAutospacing="0" w:after="0" w:afterAutospacing="0" w:line="324" w:lineRule="auto"/>
              <w:ind w:left="0" w:right="0"/>
              <w:rPr>
                <w:rFonts w:hint="default" w:ascii="Times New Roman" w:hAnsi="Times New Roman"/>
                <w:color w:val="auto"/>
                <w:kern w:val="2"/>
              </w:rPr>
            </w:pPr>
            <w:r>
              <w:rPr>
                <w:rFonts w:hint="default" w:ascii="Times New Roman" w:hAnsi="Times New Roman"/>
                <w:b/>
                <w:color w:val="auto"/>
                <w:kern w:val="2"/>
              </w:rPr>
              <w:t>审批机关：</w:t>
            </w:r>
            <w:r>
              <w:rPr>
                <w:rFonts w:hint="eastAsia" w:ascii="Times New Roman" w:hAnsi="Times New Roman"/>
                <w:color w:val="auto"/>
                <w:kern w:val="2"/>
              </w:rPr>
              <w:t>安徽省</w:t>
            </w:r>
            <w:r>
              <w:rPr>
                <w:rFonts w:hint="default" w:ascii="Times New Roman" w:hAnsi="Times New Roman"/>
                <w:color w:val="auto"/>
                <w:kern w:val="2"/>
              </w:rPr>
              <w:t>人民政府</w:t>
            </w:r>
          </w:p>
          <w:p w14:paraId="392B2489">
            <w:pPr>
              <w:keepNext w:val="0"/>
              <w:keepLines w:val="0"/>
              <w:widowControl/>
              <w:suppressLineNumbers w:val="0"/>
              <w:autoSpaceDE w:val="0"/>
              <w:autoSpaceDN w:val="0"/>
              <w:spacing w:before="0" w:beforeAutospacing="0" w:after="0" w:afterAutospacing="0" w:line="324" w:lineRule="auto"/>
              <w:ind w:left="0" w:right="0"/>
              <w:rPr>
                <w:rFonts w:hint="default" w:ascii="Times New Roman" w:hAnsi="Times New Roman" w:cs="Times New Roman"/>
                <w:color w:val="auto"/>
                <w:kern w:val="2"/>
              </w:rPr>
            </w:pPr>
            <w:r>
              <w:rPr>
                <w:rFonts w:hint="default" w:ascii="Times New Roman" w:hAnsi="Times New Roman"/>
                <w:b/>
                <w:color w:val="auto"/>
                <w:kern w:val="2"/>
              </w:rPr>
              <w:t>审批文件及文号：</w:t>
            </w:r>
            <w:r>
              <w:rPr>
                <w:rFonts w:hint="eastAsia" w:ascii="Times New Roman" w:hAnsi="Times New Roman"/>
                <w:color w:val="auto"/>
                <w:kern w:val="2"/>
              </w:rPr>
              <w:t>安徽省人民政府关于同意安徽肥西经济开发区等调（扩）区的批复（皖政秘〔2025〕29号）</w:t>
            </w:r>
          </w:p>
        </w:tc>
      </w:tr>
      <w:tr w14:paraId="26306B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 w:hRule="atLeast"/>
        </w:trPr>
        <w:tc>
          <w:tcPr>
            <w:tcW w:w="1483" w:type="dxa"/>
            <w:vAlign w:val="center"/>
          </w:tcPr>
          <w:p w14:paraId="1FC35FB7">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规划环境影响评价情况</w:t>
            </w:r>
          </w:p>
        </w:tc>
        <w:tc>
          <w:tcPr>
            <w:tcW w:w="7387" w:type="dxa"/>
            <w:gridSpan w:val="3"/>
            <w:vAlign w:val="center"/>
          </w:tcPr>
          <w:p w14:paraId="1A933181">
            <w:pPr>
              <w:keepNext w:val="0"/>
              <w:keepLines w:val="0"/>
              <w:widowControl/>
              <w:suppressLineNumbers w:val="0"/>
              <w:autoSpaceDE w:val="0"/>
              <w:autoSpaceDN w:val="0"/>
              <w:spacing w:before="0" w:beforeAutospacing="0" w:after="0" w:afterAutospacing="0" w:line="324" w:lineRule="auto"/>
              <w:ind w:left="0" w:right="0"/>
              <w:rPr>
                <w:rFonts w:hint="default" w:ascii="Times New Roman" w:hAnsi="Times New Roman"/>
                <w:color w:val="auto"/>
                <w:kern w:val="2"/>
              </w:rPr>
            </w:pPr>
            <w:r>
              <w:rPr>
                <w:rFonts w:hint="default" w:ascii="Times New Roman" w:hAnsi="Times New Roman"/>
                <w:b/>
                <w:color w:val="auto"/>
                <w:kern w:val="2"/>
              </w:rPr>
              <w:t>规划环评文件：</w:t>
            </w:r>
            <w:r>
              <w:rPr>
                <w:rFonts w:hint="default" w:ascii="Times New Roman" w:hAnsi="Times New Roman"/>
                <w:color w:val="auto"/>
                <w:kern w:val="2"/>
              </w:rPr>
              <w:t>《安徽凤台经济开发区总体发展规划（2024-2035年）（调区）环境影响报告书》</w:t>
            </w:r>
          </w:p>
          <w:p w14:paraId="3ECA42D7">
            <w:pPr>
              <w:keepNext w:val="0"/>
              <w:keepLines w:val="0"/>
              <w:widowControl/>
              <w:suppressLineNumbers w:val="0"/>
              <w:autoSpaceDE w:val="0"/>
              <w:autoSpaceDN w:val="0"/>
              <w:spacing w:before="0" w:beforeAutospacing="0" w:after="0" w:afterAutospacing="0" w:line="324" w:lineRule="auto"/>
              <w:ind w:left="0" w:right="0"/>
              <w:rPr>
                <w:rFonts w:hint="default" w:ascii="Times New Roman" w:hAnsi="Times New Roman"/>
                <w:color w:val="auto"/>
                <w:kern w:val="2"/>
              </w:rPr>
            </w:pPr>
            <w:r>
              <w:rPr>
                <w:rFonts w:hint="default" w:ascii="Times New Roman" w:hAnsi="Times New Roman"/>
                <w:b/>
                <w:color w:val="auto"/>
                <w:kern w:val="2"/>
              </w:rPr>
              <w:t>审批机关：</w:t>
            </w:r>
            <w:r>
              <w:rPr>
                <w:rFonts w:hint="default" w:ascii="Times New Roman" w:hAnsi="Times New Roman"/>
                <w:color w:val="auto"/>
                <w:kern w:val="2"/>
              </w:rPr>
              <w:t>安徽省生态环境厅</w:t>
            </w:r>
          </w:p>
          <w:p w14:paraId="226B3721">
            <w:pPr>
              <w:keepNext w:val="0"/>
              <w:keepLines w:val="0"/>
              <w:widowControl/>
              <w:suppressLineNumbers w:val="0"/>
              <w:autoSpaceDE w:val="0"/>
              <w:autoSpaceDN w:val="0"/>
              <w:spacing w:before="0" w:beforeAutospacing="0" w:after="0" w:afterAutospacing="0" w:line="324" w:lineRule="auto"/>
              <w:ind w:left="0" w:right="0"/>
              <w:rPr>
                <w:rFonts w:hint="default" w:ascii="Times New Roman" w:hAnsi="Times New Roman"/>
                <w:color w:val="auto"/>
                <w:kern w:val="2"/>
              </w:rPr>
            </w:pPr>
            <w:r>
              <w:rPr>
                <w:rFonts w:hint="default" w:ascii="Times New Roman" w:hAnsi="Times New Roman"/>
                <w:b/>
                <w:color w:val="auto"/>
                <w:kern w:val="2"/>
              </w:rPr>
              <w:t>规划审批文件名称：</w:t>
            </w:r>
            <w:r>
              <w:rPr>
                <w:rFonts w:hint="default" w:ascii="Times New Roman" w:hAnsi="Times New Roman"/>
                <w:color w:val="auto"/>
                <w:kern w:val="2"/>
              </w:rPr>
              <w:t>安徽省生态环境厅关于印送《安徽凤台经济开发区总体发展规划（2024-2035年）（调区）环境影响报告书审查意见》的函</w:t>
            </w:r>
          </w:p>
          <w:p w14:paraId="6DC71A27">
            <w:pPr>
              <w:keepNext w:val="0"/>
              <w:keepLines w:val="0"/>
              <w:widowControl/>
              <w:suppressLineNumbers w:val="0"/>
              <w:autoSpaceDE w:val="0"/>
              <w:autoSpaceDN w:val="0"/>
              <w:spacing w:before="0" w:beforeAutospacing="0" w:after="0" w:afterAutospacing="0" w:line="324" w:lineRule="auto"/>
              <w:ind w:left="0" w:right="0"/>
              <w:rPr>
                <w:rFonts w:hint="default" w:ascii="Times New Roman" w:hAnsi="Times New Roman" w:cs="Times New Roman"/>
                <w:color w:val="auto"/>
                <w:kern w:val="2"/>
              </w:rPr>
            </w:pPr>
            <w:r>
              <w:rPr>
                <w:rFonts w:hint="default" w:ascii="Times New Roman" w:hAnsi="Times New Roman"/>
                <w:b/>
                <w:color w:val="auto"/>
                <w:kern w:val="2"/>
              </w:rPr>
              <w:t>审批文号：</w:t>
            </w:r>
            <w:r>
              <w:rPr>
                <w:rFonts w:hint="default" w:ascii="Times New Roman" w:hAnsi="Times New Roman"/>
                <w:color w:val="auto"/>
                <w:kern w:val="2"/>
              </w:rPr>
              <w:t>皖环函[2024]1008号</w:t>
            </w:r>
          </w:p>
        </w:tc>
      </w:tr>
      <w:tr w14:paraId="403A4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c>
          <w:tcPr>
            <w:tcW w:w="1483" w:type="dxa"/>
            <w:vAlign w:val="center"/>
          </w:tcPr>
          <w:p w14:paraId="29F23240">
            <w:pPr>
              <w:keepNext w:val="0"/>
              <w:keepLines w:val="0"/>
              <w:widowControl/>
              <w:suppressLineNumbers w:val="0"/>
              <w:autoSpaceDE w:val="0"/>
              <w:autoSpaceDN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规划及规划环境影响评价符合性分析</w:t>
            </w:r>
          </w:p>
        </w:tc>
        <w:tc>
          <w:tcPr>
            <w:tcW w:w="7387" w:type="dxa"/>
            <w:gridSpan w:val="3"/>
            <w:vAlign w:val="center"/>
          </w:tcPr>
          <w:p w14:paraId="2FE68152">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bCs/>
                <w:color w:val="auto"/>
                <w:kern w:val="2"/>
              </w:rPr>
            </w:pPr>
            <w:r>
              <w:rPr>
                <w:rFonts w:hint="eastAsia" w:ascii="Times New Roman" w:hAnsi="Times New Roman"/>
                <w:b/>
                <w:bCs/>
                <w:color w:val="auto"/>
                <w:kern w:val="2"/>
              </w:rPr>
              <w:t>1</w:t>
            </w:r>
            <w:r>
              <w:rPr>
                <w:rFonts w:hint="default" w:ascii="Times New Roman" w:hAnsi="Times New Roman"/>
                <w:b/>
                <w:bCs/>
                <w:color w:val="auto"/>
                <w:kern w:val="2"/>
              </w:rPr>
              <w:t>、</w:t>
            </w:r>
            <w:r>
              <w:rPr>
                <w:rFonts w:hint="eastAsia" w:ascii="Times New Roman" w:hAnsi="Times New Roman"/>
                <w:b/>
                <w:bCs/>
                <w:color w:val="auto"/>
                <w:kern w:val="2"/>
              </w:rPr>
              <w:t>《安徽凤台经济开发区总体发展规划（2024-2035年）（调区）》</w:t>
            </w:r>
            <w:r>
              <w:rPr>
                <w:rFonts w:hint="default" w:ascii="Times New Roman" w:hAnsi="Times New Roman"/>
                <w:b/>
                <w:bCs/>
                <w:color w:val="auto"/>
                <w:kern w:val="2"/>
              </w:rPr>
              <w:t>符合性分析</w:t>
            </w:r>
          </w:p>
          <w:p w14:paraId="39E3CC14">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eastAsia"/>
                <w:bCs/>
                <w:color w:val="auto"/>
                <w:kern w:val="2"/>
              </w:rPr>
              <w:t>(</w:t>
            </w:r>
            <w:r>
              <w:rPr>
                <w:rFonts w:hint="eastAsia" w:ascii="Times New Roman" w:hAnsi="Times New Roman"/>
                <w:bCs/>
                <w:color w:val="auto"/>
                <w:kern w:val="2"/>
              </w:rPr>
              <w:t>1</w:t>
            </w:r>
            <w:r>
              <w:rPr>
                <w:rFonts w:hint="eastAsia"/>
                <w:bCs/>
                <w:color w:val="auto"/>
                <w:kern w:val="2"/>
              </w:rPr>
              <w:t>)</w:t>
            </w:r>
            <w:r>
              <w:rPr>
                <w:rFonts w:hint="eastAsia" w:ascii="Times New Roman" w:hAnsi="Times New Roman"/>
                <w:bCs/>
                <w:color w:val="auto"/>
                <w:kern w:val="2"/>
              </w:rPr>
              <w:t>用地规划</w:t>
            </w:r>
          </w:p>
          <w:p w14:paraId="4F71F0AC">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default" w:ascii="Times New Roman" w:hAnsi="Times New Roman"/>
                <w:bCs/>
                <w:color w:val="auto"/>
                <w:kern w:val="2"/>
              </w:rPr>
              <w:t>本项目位于</w:t>
            </w:r>
            <w:r>
              <w:rPr>
                <w:rFonts w:hint="default" w:ascii="Times New Roman" w:hAnsi="Times New Roman"/>
                <w:color w:val="auto"/>
                <w:kern w:val="2"/>
              </w:rPr>
              <w:t>安徽省淮南市</w:t>
            </w:r>
            <w:r>
              <w:rPr>
                <w:rFonts w:hint="eastAsia" w:ascii="Times New Roman" w:hAnsi="Times New Roman"/>
                <w:color w:val="auto"/>
                <w:kern w:val="2"/>
              </w:rPr>
              <w:t>凤台经济开发区电子智能制造产业园内</w:t>
            </w:r>
            <w:r>
              <w:rPr>
                <w:rFonts w:hint="default" w:ascii="Times New Roman" w:hAnsi="Times New Roman"/>
                <w:bCs/>
                <w:color w:val="auto"/>
                <w:kern w:val="2"/>
              </w:rPr>
              <w:t>，</w:t>
            </w:r>
            <w:r>
              <w:rPr>
                <w:rFonts w:hint="eastAsia" w:ascii="Times New Roman" w:hAnsi="Times New Roman"/>
                <w:bCs/>
                <w:color w:val="auto"/>
                <w:kern w:val="2"/>
              </w:rPr>
              <w:t>根据《安徽凤台经济开发区总体发展规划（2024-2035年）》用地规划图可知，项目用地性质为工业用地，符合开发区用地规划要求，项目选址与《安徽凤台经济开发区总体发展规划（2024-2035年）》用地规划图位置关系详见附图5。</w:t>
            </w:r>
          </w:p>
          <w:p w14:paraId="23D6CE27">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eastAsia"/>
                <w:bCs/>
                <w:color w:val="auto"/>
                <w:kern w:val="2"/>
              </w:rPr>
              <w:t>(</w:t>
            </w:r>
            <w:r>
              <w:rPr>
                <w:rFonts w:hint="eastAsia" w:ascii="Times New Roman" w:hAnsi="Times New Roman"/>
                <w:bCs/>
                <w:color w:val="auto"/>
                <w:kern w:val="2"/>
              </w:rPr>
              <w:t>2</w:t>
            </w:r>
            <w:r>
              <w:rPr>
                <w:rFonts w:hint="eastAsia"/>
                <w:bCs/>
                <w:color w:val="auto"/>
                <w:kern w:val="2"/>
              </w:rPr>
              <w:t>)</w:t>
            </w:r>
            <w:r>
              <w:rPr>
                <w:rFonts w:hint="eastAsia" w:ascii="Times New Roman" w:hAnsi="Times New Roman"/>
                <w:bCs/>
                <w:color w:val="auto"/>
                <w:kern w:val="2"/>
              </w:rPr>
              <w:t>产业规划</w:t>
            </w:r>
          </w:p>
          <w:p w14:paraId="3366F43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eastAsia" w:ascii="Times New Roman" w:hAnsi="Times New Roman"/>
                <w:bCs/>
                <w:color w:val="auto"/>
                <w:kern w:val="2"/>
              </w:rPr>
              <w:t>本项目主要从事于汽车零部件及配件制造，</w:t>
            </w:r>
            <w:r>
              <w:rPr>
                <w:rFonts w:hint="default" w:ascii="Times New Roman" w:hAnsi="Times New Roman"/>
                <w:bCs/>
                <w:color w:val="auto"/>
                <w:kern w:val="2"/>
              </w:rPr>
              <w:t>行业类别属于C3670汽车零部件及配件制造</w:t>
            </w:r>
            <w:r>
              <w:rPr>
                <w:rFonts w:hint="eastAsia" w:ascii="Times New Roman" w:hAnsi="Times New Roman"/>
                <w:bCs/>
                <w:color w:val="auto"/>
                <w:kern w:val="2"/>
              </w:rPr>
              <w:t>，</w:t>
            </w:r>
            <w:r>
              <w:rPr>
                <w:rFonts w:hint="default" w:ascii="Times New Roman" w:hAnsi="Times New Roman"/>
                <w:bCs/>
                <w:color w:val="auto"/>
                <w:kern w:val="2"/>
              </w:rPr>
              <w:t>根据</w:t>
            </w:r>
            <w:r>
              <w:rPr>
                <w:rFonts w:hint="eastAsia" w:ascii="Times New Roman" w:hAnsi="Times New Roman"/>
                <w:bCs/>
                <w:color w:val="auto"/>
                <w:kern w:val="2"/>
              </w:rPr>
              <w:t>《安徽凤台经济开发区总体规划（2024-2035）》</w:t>
            </w:r>
            <w:r>
              <w:rPr>
                <w:rFonts w:hint="default" w:ascii="Times New Roman" w:hAnsi="Times New Roman"/>
                <w:bCs/>
                <w:color w:val="auto"/>
                <w:kern w:val="2"/>
              </w:rPr>
              <w:t>，凤台经济开发区以</w:t>
            </w:r>
            <w:r>
              <w:rPr>
                <w:rFonts w:hint="default" w:ascii="Times New Roman" w:hAnsi="Times New Roman"/>
                <w:color w:val="auto"/>
                <w:kern w:val="2"/>
              </w:rPr>
              <w:t>电气机械制造、汽车制造、非金属矿物制品等为主导产业</w:t>
            </w:r>
            <w:r>
              <w:rPr>
                <w:rFonts w:hint="eastAsia" w:ascii="Times New Roman" w:hAnsi="Times New Roman"/>
                <w:color w:val="auto"/>
                <w:kern w:val="2"/>
                <w:lang w:eastAsia="zh-CN"/>
              </w:rPr>
              <w:t>，凤凰湖片区主导产业为电气机械制造和汽车制造，配套建设综合服务中心</w:t>
            </w:r>
            <w:r>
              <w:rPr>
                <w:rFonts w:hint="eastAsia" w:ascii="Times New Roman" w:hAnsi="Times New Roman"/>
                <w:color w:val="auto"/>
                <w:kern w:val="2"/>
              </w:rPr>
              <w:t>。</w:t>
            </w:r>
            <w:r>
              <w:rPr>
                <w:rFonts w:hint="default" w:ascii="Times New Roman" w:hAnsi="Times New Roman"/>
                <w:bCs/>
                <w:color w:val="auto"/>
                <w:kern w:val="2"/>
              </w:rPr>
              <w:t>本项目</w:t>
            </w:r>
            <w:r>
              <w:rPr>
                <w:rFonts w:hint="eastAsia" w:ascii="Times New Roman" w:hAnsi="Times New Roman"/>
                <w:bCs/>
                <w:color w:val="auto"/>
                <w:kern w:val="2"/>
              </w:rPr>
              <w:t>属于规划</w:t>
            </w:r>
            <w:r>
              <w:rPr>
                <w:rFonts w:hint="eastAsia" w:ascii="Times New Roman" w:hAnsi="Times New Roman"/>
                <w:bCs/>
                <w:color w:val="auto"/>
                <w:kern w:val="2"/>
                <w:lang w:val="en-US" w:eastAsia="zh-CN"/>
              </w:rPr>
              <w:t>片区</w:t>
            </w:r>
            <w:r>
              <w:rPr>
                <w:rFonts w:hint="eastAsia" w:ascii="Times New Roman" w:hAnsi="Times New Roman"/>
                <w:bCs/>
                <w:color w:val="auto"/>
                <w:kern w:val="2"/>
              </w:rPr>
              <w:t>的主导产业，因此本项目符合凤台经济开发区入园要求。</w:t>
            </w:r>
          </w:p>
          <w:p w14:paraId="1AD70C23">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bCs/>
                <w:color w:val="auto"/>
                <w:kern w:val="2"/>
              </w:rPr>
            </w:pPr>
            <w:r>
              <w:rPr>
                <w:rFonts w:hint="eastAsia" w:ascii="Times New Roman" w:hAnsi="Times New Roman"/>
                <w:b/>
                <w:bCs/>
                <w:color w:val="auto"/>
                <w:kern w:val="2"/>
              </w:rPr>
              <w:t>2</w:t>
            </w:r>
            <w:r>
              <w:rPr>
                <w:rFonts w:hint="default" w:ascii="Times New Roman" w:hAnsi="Times New Roman"/>
                <w:b/>
                <w:bCs/>
                <w:color w:val="auto"/>
                <w:kern w:val="2"/>
              </w:rPr>
              <w:t>、《安徽凤台经济开发区总体发展规划（2024-2035年）（调区）环境影响报告书》及其审查意见符合性分析</w:t>
            </w:r>
          </w:p>
          <w:p w14:paraId="175FCE72">
            <w:pPr>
              <w:pStyle w:val="15"/>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olor w:val="auto"/>
                <w:kern w:val="2"/>
                <w:sz w:val="24"/>
                <w:szCs w:val="24"/>
              </w:rPr>
            </w:pPr>
            <w:r>
              <w:rPr>
                <w:rFonts w:hint="default" w:ascii="Times New Roman" w:hAnsi="Times New Roman"/>
                <w:color w:val="auto"/>
                <w:kern w:val="2"/>
                <w:sz w:val="24"/>
                <w:szCs w:val="24"/>
              </w:rPr>
              <w:t>与《安徽凤台经济开发区总体发展规划（2024-2035年）（调区）环境影响报告书》以及审查意见要求的相符性分析如下表：</w:t>
            </w:r>
          </w:p>
          <w:p w14:paraId="3722BED0">
            <w:pPr>
              <w:keepNext w:val="0"/>
              <w:keepLines w:val="0"/>
              <w:widowControl/>
              <w:suppressLineNumbers w:val="0"/>
              <w:pBdr>
                <w:bottom w:val="single" w:color="auto" w:sz="6" w:space="1"/>
              </w:pBdr>
              <w:spacing w:before="0" w:beforeAutospacing="0" w:after="0" w:afterAutospacing="0"/>
              <w:ind w:left="0" w:right="0"/>
              <w:jc w:val="center"/>
              <w:rPr>
                <w:rFonts w:hint="default" w:ascii="Times New Roman" w:hAnsi="Times New Roman" w:eastAsia="黑体"/>
                <w:color w:val="auto"/>
                <w:kern w:val="24"/>
              </w:rPr>
            </w:pPr>
            <w:r>
              <w:rPr>
                <w:rFonts w:hint="default" w:ascii="Times New Roman" w:hAnsi="Times New Roman" w:eastAsia="黑体"/>
                <w:color w:val="auto"/>
                <w:kern w:val="24"/>
              </w:rPr>
              <w:t>表1-</w:t>
            </w:r>
            <w:r>
              <w:rPr>
                <w:rFonts w:hint="eastAsia" w:ascii="Times New Roman" w:hAnsi="Times New Roman" w:eastAsia="黑体"/>
                <w:color w:val="auto"/>
                <w:kern w:val="24"/>
              </w:rPr>
              <w:t xml:space="preserve">2  </w:t>
            </w:r>
            <w:r>
              <w:rPr>
                <w:rFonts w:hint="default" w:ascii="Times New Roman" w:hAnsi="Times New Roman" w:eastAsia="黑体"/>
                <w:color w:val="auto"/>
                <w:kern w:val="24"/>
              </w:rPr>
              <w:t>与规划环评及其审查意见相符性</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7"/>
              <w:gridCol w:w="2998"/>
              <w:gridCol w:w="2421"/>
              <w:gridCol w:w="985"/>
            </w:tblGrid>
            <w:tr w14:paraId="6130F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dxa"/>
                  <w:vAlign w:val="center"/>
                </w:tcPr>
                <w:p w14:paraId="4726407C">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序号</w:t>
                  </w:r>
                </w:p>
              </w:tc>
              <w:tc>
                <w:tcPr>
                  <w:tcW w:w="2900" w:type="dxa"/>
                  <w:vAlign w:val="center"/>
                </w:tcPr>
                <w:p w14:paraId="53526F0A">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相关要求</w:t>
                  </w:r>
                </w:p>
              </w:tc>
              <w:tc>
                <w:tcPr>
                  <w:tcW w:w="2342" w:type="dxa"/>
                  <w:vAlign w:val="center"/>
                </w:tcPr>
                <w:p w14:paraId="3BFC174A">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本项目情况</w:t>
                  </w:r>
                </w:p>
              </w:tc>
              <w:tc>
                <w:tcPr>
                  <w:tcW w:w="952" w:type="dxa"/>
                  <w:vAlign w:val="center"/>
                </w:tcPr>
                <w:p w14:paraId="59A51CB1">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相符性</w:t>
                  </w:r>
                </w:p>
              </w:tc>
            </w:tr>
            <w:tr w14:paraId="648D2A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dxa"/>
                  <w:vAlign w:val="center"/>
                </w:tcPr>
                <w:p w14:paraId="39B4938F">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1</w:t>
                  </w:r>
                </w:p>
              </w:tc>
              <w:tc>
                <w:tcPr>
                  <w:tcW w:w="2900" w:type="dxa"/>
                  <w:vAlign w:val="center"/>
                </w:tcPr>
                <w:p w14:paraId="00DB60FA">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eastAsia="宋体"/>
                      <w:color w:val="auto"/>
                      <w:kern w:val="2"/>
                      <w:sz w:val="21"/>
                      <w:szCs w:val="21"/>
                      <w:lang w:eastAsia="zh-CN"/>
                    </w:rPr>
                    <w:t>（</w:t>
                  </w:r>
                  <w:r>
                    <w:rPr>
                      <w:rFonts w:hint="default" w:ascii="Times New Roman" w:hAnsi="Times New Roman"/>
                      <w:color w:val="auto"/>
                      <w:kern w:val="2"/>
                      <w:sz w:val="21"/>
                      <w:szCs w:val="21"/>
                    </w:rPr>
                    <w:t>一</w:t>
                  </w:r>
                  <w:r>
                    <w:rPr>
                      <w:rFonts w:hint="eastAsia" w:ascii="Times New Roman" w:hAnsi="Times New Roman" w:eastAsia="宋体"/>
                      <w:color w:val="auto"/>
                      <w:kern w:val="2"/>
                      <w:sz w:val="21"/>
                      <w:szCs w:val="21"/>
                      <w:lang w:eastAsia="zh-CN"/>
                    </w:rPr>
                    <w:t>）</w:t>
                  </w:r>
                  <w:r>
                    <w:rPr>
                      <w:rFonts w:hint="default" w:ascii="Times New Roman" w:hAnsi="Times New Roman"/>
                      <w:color w:val="auto"/>
                      <w:kern w:val="2"/>
                      <w:sz w:val="21"/>
                      <w:szCs w:val="21"/>
                    </w:rPr>
                    <w:t>加强《规划》引领，坚持绿色协调发展。《规划》应全面贯彻落实习近平生态文明思想，加强《规划》与《淮河流域水污染防治暂行条例》、深入打好污染防治攻坚战相关要求、生态环境分区管控方案及国土空间总体规划的协调衔接。统筹推进开发区整体发展和生态保护，基于区域资源、生态、环境等制约因素合理控制开发利用强度和开发区建设时序，进一步提高土地利用效率，协调总体发展与区域环境保护的关系。推进开发区减污降碳协同共治、资源节约集约及循环化利用、能源智慧高效利用、环境风险防控等工作的落实，引导开发区高质量发展。认真落实开发区近期发展规划，着力推进开发区产业转型升级和结构布局优化，结合区域生态环境承载力，确保产业发展与区域生态环境保护、人居环境质量保障相协调。</w:t>
                  </w:r>
                </w:p>
              </w:tc>
              <w:tc>
                <w:tcPr>
                  <w:tcW w:w="2342" w:type="dxa"/>
                  <w:vAlign w:val="center"/>
                </w:tcPr>
                <w:p w14:paraId="7708DBBE">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根据《安徽凤台经济开发区总体发展规划（2024-2035年）》，本项目所在地性质为工业用地，符合园区产业布局。</w:t>
                  </w:r>
                </w:p>
              </w:tc>
              <w:tc>
                <w:tcPr>
                  <w:tcW w:w="952" w:type="dxa"/>
                  <w:vAlign w:val="center"/>
                </w:tcPr>
                <w:p w14:paraId="4F78FF02">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r w14:paraId="016A81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dxa"/>
                  <w:vAlign w:val="center"/>
                </w:tcPr>
                <w:p w14:paraId="6589793B">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2</w:t>
                  </w:r>
                </w:p>
              </w:tc>
              <w:tc>
                <w:tcPr>
                  <w:tcW w:w="2900" w:type="dxa"/>
                  <w:vAlign w:val="center"/>
                </w:tcPr>
                <w:p w14:paraId="6FB1B97C">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eastAsia="宋体"/>
                      <w:color w:val="auto"/>
                      <w:kern w:val="2"/>
                      <w:sz w:val="21"/>
                      <w:szCs w:val="21"/>
                      <w:lang w:eastAsia="zh-CN"/>
                    </w:rPr>
                    <w:t>（</w:t>
                  </w:r>
                  <w:r>
                    <w:rPr>
                      <w:rFonts w:hint="default" w:ascii="Times New Roman" w:hAnsi="Times New Roman"/>
                      <w:color w:val="auto"/>
                      <w:kern w:val="2"/>
                      <w:sz w:val="21"/>
                      <w:szCs w:val="21"/>
                    </w:rPr>
                    <w:t>二</w:t>
                  </w:r>
                  <w:r>
                    <w:rPr>
                      <w:rFonts w:hint="eastAsia" w:ascii="Times New Roman" w:hAnsi="Times New Roman" w:eastAsia="宋体"/>
                      <w:color w:val="auto"/>
                      <w:kern w:val="2"/>
                      <w:sz w:val="21"/>
                      <w:szCs w:val="21"/>
                      <w:lang w:eastAsia="zh-CN"/>
                    </w:rPr>
                    <w:t>）</w:t>
                  </w:r>
                  <w:r>
                    <w:rPr>
                      <w:rFonts w:hint="default" w:ascii="Times New Roman" w:hAnsi="Times New Roman"/>
                      <w:color w:val="auto"/>
                      <w:kern w:val="2"/>
                      <w:sz w:val="21"/>
                      <w:szCs w:val="21"/>
                    </w:rPr>
                    <w:t>严守环境质量底线，保护区域生态环境质量。开发区周边涉及淮河以及八公山国家地质公园、八公山风景名胜区、八公山国家森林公园、安徽凤台凤凰湖省级湿地公园、淮河淮南段长吻鮠国家级水产种质资源保护区等生态敏感区，生态环境保护要求较高，应主动避让并与其边界保持一定的缓冲防护距离。开发区应坚</w:t>
                  </w:r>
                  <w:r>
                    <w:rPr>
                      <w:rFonts w:hint="eastAsia"/>
                      <w:color w:val="auto"/>
                      <w:kern w:val="2"/>
                      <w:sz w:val="21"/>
                      <w:szCs w:val="21"/>
                    </w:rPr>
                    <w:t>持“生态优先、绿色发展”的战略定位，以生态环境质量改善、防范环境风险为核</w:t>
                  </w:r>
                  <w:r>
                    <w:rPr>
                      <w:rFonts w:hint="default" w:ascii="Times New Roman" w:hAnsi="Times New Roman"/>
                      <w:color w:val="auto"/>
                      <w:kern w:val="2"/>
                      <w:sz w:val="21"/>
                      <w:szCs w:val="21"/>
                    </w:rPr>
                    <w:t>心，明确开发区发展存在的环境制约因素。根据国家和我省大气、水、土壤、环境风险防范和固体废物污染防治相关要求，妥善解决区域现存生态环境问题，确保开发区建设项目污染物长期稳定达标排放，区域生态环境质量持续改善。鉴于淮河水生态环境保护要求较高，开发区应审慎考虑并严格控制涉氟产业发展规模及水污染物排放总量</w:t>
                  </w:r>
                </w:p>
              </w:tc>
              <w:tc>
                <w:tcPr>
                  <w:tcW w:w="2342" w:type="dxa"/>
                  <w:vAlign w:val="center"/>
                </w:tcPr>
                <w:p w14:paraId="255DD00C">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本项目距</w:t>
                  </w:r>
                  <w:r>
                    <w:rPr>
                      <w:rFonts w:hint="eastAsia" w:ascii="Times New Roman" w:hAnsi="Times New Roman"/>
                      <w:color w:val="auto"/>
                      <w:kern w:val="2"/>
                      <w:sz w:val="21"/>
                      <w:szCs w:val="21"/>
                    </w:rPr>
                    <w:t>淮河</w:t>
                  </w:r>
                  <w:r>
                    <w:rPr>
                      <w:rFonts w:hint="default" w:ascii="Times New Roman" w:hAnsi="Times New Roman"/>
                      <w:color w:val="auto"/>
                      <w:kern w:val="2"/>
                      <w:sz w:val="21"/>
                      <w:szCs w:val="21"/>
                    </w:rPr>
                    <w:t>约</w:t>
                  </w:r>
                  <w:r>
                    <w:rPr>
                      <w:rFonts w:hint="eastAsia" w:ascii="Times New Roman" w:hAnsi="Times New Roman"/>
                      <w:color w:val="auto"/>
                      <w:kern w:val="2"/>
                      <w:sz w:val="21"/>
                      <w:szCs w:val="21"/>
                    </w:rPr>
                    <w:t>6500</w:t>
                  </w:r>
                  <w:r>
                    <w:rPr>
                      <w:rFonts w:hint="default" w:ascii="Times New Roman" w:hAnsi="Times New Roman"/>
                      <w:color w:val="auto"/>
                      <w:kern w:val="2"/>
                      <w:sz w:val="21"/>
                      <w:szCs w:val="21"/>
                    </w:rPr>
                    <w:t>m</w:t>
                  </w:r>
                  <w:r>
                    <w:rPr>
                      <w:rFonts w:hint="eastAsia" w:ascii="Times New Roman" w:hAnsi="Times New Roman"/>
                      <w:color w:val="auto"/>
                      <w:kern w:val="2"/>
                      <w:sz w:val="21"/>
                      <w:szCs w:val="21"/>
                      <w:lang w:eastAsia="zh-CN"/>
                    </w:rPr>
                    <w:t>、</w:t>
                  </w:r>
                  <w:r>
                    <w:rPr>
                      <w:rFonts w:hint="eastAsia" w:ascii="Times New Roman" w:hAnsi="Times New Roman"/>
                      <w:color w:val="auto"/>
                      <w:kern w:val="2"/>
                      <w:sz w:val="21"/>
                      <w:szCs w:val="21"/>
                      <w:lang w:val="en-US" w:eastAsia="zh-CN"/>
                    </w:rPr>
                    <w:t>距</w:t>
                  </w:r>
                  <w:r>
                    <w:rPr>
                      <w:rFonts w:hint="default" w:ascii="Times New Roman" w:hAnsi="Times New Roman"/>
                      <w:color w:val="auto"/>
                      <w:kern w:val="2"/>
                      <w:sz w:val="21"/>
                      <w:szCs w:val="21"/>
                    </w:rPr>
                    <w:t>安徽凤台凤凰湖省级湿地公园约</w:t>
                  </w:r>
                  <w:r>
                    <w:rPr>
                      <w:rFonts w:hint="eastAsia" w:ascii="Times New Roman" w:hAnsi="Times New Roman"/>
                      <w:color w:val="auto"/>
                      <w:kern w:val="2"/>
                      <w:sz w:val="21"/>
                      <w:szCs w:val="21"/>
                      <w:lang w:val="en-US" w:eastAsia="zh-CN"/>
                    </w:rPr>
                    <w:t>175</w:t>
                  </w:r>
                  <w:r>
                    <w:rPr>
                      <w:rFonts w:hint="eastAsia" w:ascii="Times New Roman" w:hAnsi="Times New Roman"/>
                      <w:color w:val="auto"/>
                      <w:kern w:val="2"/>
                      <w:sz w:val="21"/>
                      <w:szCs w:val="21"/>
                    </w:rPr>
                    <w:t>0</w:t>
                  </w:r>
                  <w:r>
                    <w:rPr>
                      <w:rFonts w:hint="default" w:ascii="Times New Roman" w:hAnsi="Times New Roman"/>
                      <w:color w:val="auto"/>
                      <w:kern w:val="2"/>
                      <w:sz w:val="21"/>
                      <w:szCs w:val="21"/>
                    </w:rPr>
                    <w:t>m，不在其缓冲防护距离内</w:t>
                  </w:r>
                  <w:r>
                    <w:rPr>
                      <w:rFonts w:hint="eastAsia" w:ascii="Times New Roman" w:hAnsi="Times New Roman"/>
                      <w:color w:val="auto"/>
                      <w:kern w:val="2"/>
                      <w:sz w:val="21"/>
                      <w:szCs w:val="21"/>
                      <w:lang w:eastAsia="zh-CN"/>
                    </w:rPr>
                    <w:t>，</w:t>
                  </w:r>
                  <w:r>
                    <w:rPr>
                      <w:rFonts w:hint="eastAsia" w:ascii="Times New Roman" w:hAnsi="Times New Roman"/>
                      <w:color w:val="auto"/>
                      <w:kern w:val="2"/>
                      <w:sz w:val="21"/>
                      <w:szCs w:val="21"/>
                      <w:lang w:val="en-US" w:eastAsia="zh-CN"/>
                    </w:rPr>
                    <w:t>不涉及其他</w:t>
                  </w:r>
                  <w:r>
                    <w:rPr>
                      <w:rFonts w:hint="default" w:ascii="Times New Roman" w:hAnsi="Times New Roman"/>
                      <w:color w:val="auto"/>
                      <w:kern w:val="2"/>
                      <w:sz w:val="21"/>
                      <w:szCs w:val="21"/>
                    </w:rPr>
                    <w:t>生态敏感区</w:t>
                  </w:r>
                  <w:r>
                    <w:rPr>
                      <w:rFonts w:hint="eastAsia" w:ascii="Times New Roman" w:hAnsi="Times New Roman"/>
                      <w:color w:val="auto"/>
                      <w:kern w:val="2"/>
                      <w:sz w:val="21"/>
                      <w:szCs w:val="21"/>
                    </w:rPr>
                    <w:t>。本项目产生的清洗废气（G</w:t>
                  </w:r>
                  <w:r>
                    <w:rPr>
                      <w:rFonts w:hint="eastAsia" w:ascii="Times New Roman" w:hAnsi="Times New Roman"/>
                      <w:color w:val="auto"/>
                      <w:kern w:val="2"/>
                      <w:sz w:val="21"/>
                      <w:szCs w:val="21"/>
                      <w:vertAlign w:val="subscript"/>
                      <w:lang w:val="en-US" w:eastAsia="zh-CN"/>
                    </w:rPr>
                    <w:t>3</w:t>
                  </w:r>
                  <w:r>
                    <w:rPr>
                      <w:rFonts w:hint="eastAsia" w:ascii="Times New Roman" w:hAnsi="Times New Roman"/>
                      <w:color w:val="auto"/>
                      <w:kern w:val="2"/>
                      <w:sz w:val="21"/>
                      <w:szCs w:val="21"/>
                    </w:rPr>
                    <w:t>）</w:t>
                  </w:r>
                  <w:r>
                    <w:rPr>
                      <w:rFonts w:hint="eastAsia" w:ascii="Times New Roman" w:hAnsi="Times New Roman"/>
                      <w:color w:val="auto"/>
                      <w:kern w:val="2"/>
                      <w:sz w:val="21"/>
                      <w:szCs w:val="21"/>
                      <w:lang w:eastAsia="zh-CN"/>
                    </w:rPr>
                    <w:t>、</w:t>
                  </w:r>
                  <w:r>
                    <w:rPr>
                      <w:rFonts w:hint="eastAsia" w:ascii="Times New Roman" w:hAnsi="Times New Roman"/>
                      <w:color w:val="auto"/>
                      <w:kern w:val="2"/>
                      <w:sz w:val="21"/>
                      <w:szCs w:val="21"/>
                      <w:lang w:val="en-US" w:eastAsia="zh-CN"/>
                    </w:rPr>
                    <w:t>蒸馏再生废气</w:t>
                  </w:r>
                  <w:r>
                    <w:rPr>
                      <w:rFonts w:hint="eastAsia" w:ascii="Times New Roman" w:hAnsi="Times New Roman"/>
                      <w:color w:val="auto"/>
                      <w:kern w:val="2"/>
                      <w:sz w:val="21"/>
                      <w:szCs w:val="21"/>
                    </w:rPr>
                    <w:t>（G</w:t>
                  </w:r>
                  <w:r>
                    <w:rPr>
                      <w:rFonts w:hint="eastAsia" w:ascii="Times New Roman" w:hAnsi="Times New Roman"/>
                      <w:color w:val="auto"/>
                      <w:kern w:val="2"/>
                      <w:sz w:val="21"/>
                      <w:szCs w:val="21"/>
                      <w:vertAlign w:val="subscript"/>
                      <w:lang w:val="en-US" w:eastAsia="zh-CN"/>
                    </w:rPr>
                    <w:t>4</w:t>
                  </w:r>
                  <w:r>
                    <w:rPr>
                      <w:rFonts w:hint="eastAsia" w:ascii="Times New Roman" w:hAnsi="Times New Roman"/>
                      <w:color w:val="auto"/>
                      <w:kern w:val="2"/>
                      <w:sz w:val="21"/>
                      <w:szCs w:val="21"/>
                    </w:rPr>
                    <w:t>）经密闭管道收集后进入“二级活性炭吸附装置”（TA001）处理后经15m高排气筒（DA001）排放。</w:t>
                  </w:r>
                  <w:r>
                    <w:rPr>
                      <w:rFonts w:hint="eastAsia" w:ascii="Times New Roman" w:hAnsi="Times New Roman"/>
                      <w:color w:val="auto"/>
                      <w:kern w:val="2"/>
                      <w:sz w:val="21"/>
                      <w:szCs w:val="21"/>
                      <w:lang w:eastAsia="zh-CN"/>
                    </w:rPr>
                    <w:t>本</w:t>
                  </w:r>
                  <w:r>
                    <w:rPr>
                      <w:rFonts w:hint="default" w:ascii="Times New Roman" w:hAnsi="Times New Roman"/>
                      <w:color w:val="auto"/>
                      <w:kern w:val="2"/>
                      <w:sz w:val="21"/>
                      <w:szCs w:val="21"/>
                      <w:highlight w:val="none"/>
                    </w:rPr>
                    <w:t>项目</w:t>
                  </w:r>
                  <w:r>
                    <w:rPr>
                      <w:rFonts w:hint="default" w:ascii="Times New Roman"/>
                      <w:color w:val="auto"/>
                      <w:kern w:val="2"/>
                      <w:sz w:val="21"/>
                      <w:szCs w:val="21"/>
                      <w:highlight w:val="none"/>
                    </w:rPr>
                    <w:t>清洗区、危废暂存间、化学品仓库</w:t>
                  </w:r>
                  <w:r>
                    <w:rPr>
                      <w:rFonts w:hint="default" w:ascii="Times New Roman" w:hAnsi="Times New Roman"/>
                      <w:bCs/>
                      <w:color w:val="auto"/>
                      <w:kern w:val="2"/>
                      <w:sz w:val="21"/>
                      <w:szCs w:val="21"/>
                      <w:highlight w:val="none"/>
                    </w:rPr>
                    <w:t>做</w:t>
                  </w:r>
                  <w:r>
                    <w:rPr>
                      <w:rFonts w:hint="eastAsia" w:ascii="Times New Roman" w:hAnsi="Times New Roman"/>
                      <w:bCs/>
                      <w:color w:val="auto"/>
                      <w:kern w:val="2"/>
                      <w:sz w:val="21"/>
                      <w:szCs w:val="21"/>
                      <w:highlight w:val="none"/>
                      <w:lang w:val="en-US" w:eastAsia="zh-CN"/>
                    </w:rPr>
                    <w:t>重点</w:t>
                  </w:r>
                  <w:r>
                    <w:rPr>
                      <w:rFonts w:hint="default" w:ascii="Times New Roman" w:hAnsi="Times New Roman"/>
                      <w:bCs/>
                      <w:color w:val="auto"/>
                      <w:kern w:val="2"/>
                      <w:sz w:val="21"/>
                      <w:szCs w:val="21"/>
                      <w:highlight w:val="none"/>
                    </w:rPr>
                    <w:t>防渗处理</w:t>
                  </w:r>
                  <w:r>
                    <w:rPr>
                      <w:rFonts w:hint="eastAsia" w:ascii="Times New Roman"/>
                      <w:color w:val="auto"/>
                      <w:kern w:val="2"/>
                      <w:sz w:val="21"/>
                      <w:szCs w:val="21"/>
                      <w:lang w:eastAsia="zh-CN"/>
                    </w:rPr>
                    <w:t>；</w:t>
                  </w:r>
                  <w:r>
                    <w:rPr>
                      <w:rFonts w:hint="eastAsia" w:ascii="Times New Roman" w:hAnsi="Times New Roman"/>
                      <w:color w:val="auto"/>
                      <w:kern w:val="2"/>
                      <w:sz w:val="21"/>
                      <w:szCs w:val="21"/>
                      <w:lang w:val="en-US" w:eastAsia="zh-CN"/>
                    </w:rPr>
                    <w:t>抽油加油</w:t>
                  </w:r>
                  <w:r>
                    <w:rPr>
                      <w:rFonts w:hint="eastAsia" w:ascii="Times New Roman" w:hAnsi="Times New Roman"/>
                      <w:color w:val="auto"/>
                      <w:kern w:val="2"/>
                      <w:sz w:val="21"/>
                      <w:szCs w:val="21"/>
                    </w:rPr>
                    <w:t>车间</w:t>
                  </w:r>
                  <w:r>
                    <w:rPr>
                      <w:rFonts w:hint="default" w:ascii="Times New Roman" w:hAnsi="Times New Roman"/>
                      <w:bCs/>
                      <w:color w:val="auto"/>
                      <w:kern w:val="2"/>
                      <w:sz w:val="21"/>
                      <w:szCs w:val="21"/>
                    </w:rPr>
                    <w:t>做一般防渗处理；其他区域做简单防渗处理</w:t>
                  </w:r>
                  <w:r>
                    <w:rPr>
                      <w:rFonts w:hint="default" w:ascii="Times New Roman" w:hAnsi="Times New Roman"/>
                      <w:color w:val="auto"/>
                      <w:kern w:val="2"/>
                      <w:sz w:val="21"/>
                      <w:szCs w:val="21"/>
                    </w:rPr>
                    <w:t>，各单元防渗层满足相应控制标准要求，有效</w:t>
                  </w:r>
                  <w:r>
                    <w:rPr>
                      <w:rFonts w:hint="eastAsia" w:ascii="Times New Roman" w:hAnsi="Times New Roman"/>
                      <w:color w:val="auto"/>
                      <w:kern w:val="2"/>
                      <w:sz w:val="21"/>
                      <w:szCs w:val="21"/>
                    </w:rPr>
                    <w:t>阻断</w:t>
                  </w:r>
                  <w:r>
                    <w:rPr>
                      <w:rFonts w:hint="default" w:ascii="Times New Roman" w:hAnsi="Times New Roman"/>
                      <w:color w:val="auto"/>
                      <w:kern w:val="2"/>
                      <w:sz w:val="21"/>
                      <w:szCs w:val="21"/>
                    </w:rPr>
                    <w:t>地下水和土壤环境</w:t>
                  </w:r>
                  <w:r>
                    <w:rPr>
                      <w:rFonts w:hint="eastAsia" w:ascii="Times New Roman" w:hAnsi="Times New Roman"/>
                      <w:color w:val="auto"/>
                      <w:kern w:val="2"/>
                      <w:sz w:val="21"/>
                      <w:szCs w:val="21"/>
                    </w:rPr>
                    <w:t>污染途径</w:t>
                  </w:r>
                  <w:r>
                    <w:rPr>
                      <w:rFonts w:hint="default" w:ascii="Times New Roman" w:hAnsi="Times New Roman"/>
                      <w:color w:val="auto"/>
                      <w:kern w:val="2"/>
                      <w:sz w:val="21"/>
                      <w:szCs w:val="21"/>
                    </w:rPr>
                    <w:t>。本项目不</w:t>
                  </w:r>
                  <w:r>
                    <w:rPr>
                      <w:rFonts w:hint="eastAsia" w:ascii="Times New Roman" w:hAnsi="Times New Roman"/>
                      <w:color w:val="auto"/>
                      <w:kern w:val="2"/>
                      <w:sz w:val="21"/>
                      <w:szCs w:val="21"/>
                    </w:rPr>
                    <w:t>属于</w:t>
                  </w:r>
                  <w:r>
                    <w:rPr>
                      <w:rFonts w:hint="default" w:ascii="Times New Roman" w:hAnsi="Times New Roman"/>
                      <w:color w:val="auto"/>
                      <w:kern w:val="2"/>
                      <w:sz w:val="21"/>
                      <w:szCs w:val="21"/>
                    </w:rPr>
                    <w:t>涉氟产业。</w:t>
                  </w:r>
                </w:p>
              </w:tc>
              <w:tc>
                <w:tcPr>
                  <w:tcW w:w="952" w:type="dxa"/>
                  <w:vAlign w:val="center"/>
                </w:tcPr>
                <w:p w14:paraId="70170711">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r w14:paraId="3389C9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dxa"/>
                  <w:vAlign w:val="center"/>
                </w:tcPr>
                <w:p w14:paraId="2E2C8F5A">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3</w:t>
                  </w:r>
                </w:p>
              </w:tc>
              <w:tc>
                <w:tcPr>
                  <w:tcW w:w="2900" w:type="dxa"/>
                  <w:vAlign w:val="center"/>
                </w:tcPr>
                <w:p w14:paraId="7B0AF48A">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eastAsia="宋体"/>
                      <w:color w:val="auto"/>
                      <w:kern w:val="2"/>
                      <w:sz w:val="21"/>
                      <w:szCs w:val="21"/>
                      <w:lang w:eastAsia="zh-CN"/>
                    </w:rPr>
                    <w:t>（</w:t>
                  </w:r>
                  <w:r>
                    <w:rPr>
                      <w:rFonts w:hint="default" w:ascii="Times New Roman" w:hAnsi="Times New Roman"/>
                      <w:color w:val="auto"/>
                      <w:kern w:val="2"/>
                      <w:sz w:val="21"/>
                      <w:szCs w:val="21"/>
                    </w:rPr>
                    <w:t>三</w:t>
                  </w:r>
                  <w:r>
                    <w:rPr>
                      <w:rFonts w:hint="eastAsia" w:ascii="Times New Roman" w:hAnsi="Times New Roman" w:eastAsia="宋体"/>
                      <w:color w:val="auto"/>
                      <w:kern w:val="2"/>
                      <w:sz w:val="21"/>
                      <w:szCs w:val="21"/>
                      <w:lang w:eastAsia="zh-CN"/>
                    </w:rPr>
                    <w:t>）</w:t>
                  </w:r>
                  <w:r>
                    <w:rPr>
                      <w:rFonts w:hint="default" w:ascii="Times New Roman" w:hAnsi="Times New Roman"/>
                      <w:color w:val="auto"/>
                      <w:kern w:val="2"/>
                      <w:sz w:val="21"/>
                      <w:szCs w:val="21"/>
                    </w:rPr>
                    <w:t>优化空间布局，加强生态环境分区管控。落实生态环境分区管控要求，结合国家和省长江经济带发展负面清单管控要求及区域资源优势和环境制约因素、开发区产业定位等，进一步完善调区规划，优化功能分区和空间布局。合理规划不同功能区的环境保护空间，严禁不符合管控要求的各类开发建设活动，规划实施应加强对淮河的保护，不得损害周边水环境、大气环境、声环境、重要生态敏感区的环境质量和生态功能。做</w:t>
                  </w:r>
                  <w:r>
                    <w:rPr>
                      <w:rFonts w:hint="default" w:ascii="Times New Roman" w:hAnsi="Times New Roman"/>
                      <w:color w:val="auto"/>
                      <w:kern w:val="2"/>
                      <w:sz w:val="22"/>
                      <w:szCs w:val="22"/>
                    </w:rPr>
                    <w:t>好开发区工业企业与周边地表水体、居住区等各类环境保护目标的有效离居住区和保护地周边严禁布设生态环境影响较大的建设项目，保障区域生态环境安全，实现产业发展与区域生态环境保护相协调</w:t>
                  </w:r>
                </w:p>
              </w:tc>
              <w:tc>
                <w:tcPr>
                  <w:tcW w:w="2342" w:type="dxa"/>
                  <w:vAlign w:val="center"/>
                </w:tcPr>
                <w:p w14:paraId="537D6A04">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color w:val="auto"/>
                      <w:kern w:val="2"/>
                      <w:sz w:val="21"/>
                      <w:szCs w:val="21"/>
                      <w:lang w:val="en-US" w:eastAsia="zh-CN"/>
                    </w:rPr>
                  </w:pPr>
                  <w:r>
                    <w:rPr>
                      <w:rFonts w:hint="default" w:ascii="Times New Roman" w:hAnsi="Times New Roman"/>
                      <w:color w:val="auto"/>
                      <w:kern w:val="2"/>
                      <w:sz w:val="21"/>
                      <w:szCs w:val="21"/>
                    </w:rPr>
                    <w:t>本项目位于</w:t>
                  </w:r>
                  <w:r>
                    <w:rPr>
                      <w:rFonts w:hint="eastAsia" w:ascii="Times New Roman" w:hAnsi="Times New Roman"/>
                      <w:color w:val="auto"/>
                      <w:kern w:val="2"/>
                      <w:sz w:val="21"/>
                      <w:szCs w:val="21"/>
                    </w:rPr>
                    <w:t>安徽省淮南市凤台经济开发区</w:t>
                  </w:r>
                  <w:r>
                    <w:rPr>
                      <w:rFonts w:hint="eastAsia" w:ascii="Arial" w:hAnsi="Arial" w:cs="Arial"/>
                      <w:color w:val="auto"/>
                      <w:spacing w:val="1"/>
                      <w:kern w:val="2"/>
                      <w:sz w:val="21"/>
                      <w:szCs w:val="21"/>
                    </w:rPr>
                    <w:t>电子智能制造产业园内</w:t>
                  </w:r>
                  <w:r>
                    <w:rPr>
                      <w:rFonts w:hint="default" w:ascii="Times New Roman" w:hAnsi="Times New Roman"/>
                      <w:color w:val="auto"/>
                      <w:kern w:val="2"/>
                      <w:sz w:val="21"/>
                      <w:szCs w:val="21"/>
                    </w:rPr>
                    <w:t>，本项目主要从事汽车零部件及配件制造，行业类别属于C3670汽车零部件及配件制造，根据《产业结构调整指导目录（2024年本）》，本项目属于其中第一类</w:t>
                  </w:r>
                  <w:r>
                    <w:rPr>
                      <w:rFonts w:hint="eastAsia" w:ascii="宋体" w:hAnsi="宋体" w:eastAsia="宋体" w:cs="宋体"/>
                      <w:color w:val="auto"/>
                      <w:kern w:val="2"/>
                      <w:sz w:val="21"/>
                      <w:szCs w:val="21"/>
                    </w:rPr>
                    <w:t>“鼓励类”中的“十六</w:t>
                  </w:r>
                  <w:r>
                    <w:rPr>
                      <w:rFonts w:hint="default" w:ascii="Times New Roman" w:hAnsi="Times New Roman"/>
                      <w:color w:val="auto"/>
                      <w:kern w:val="2"/>
                      <w:sz w:val="21"/>
                      <w:szCs w:val="21"/>
                    </w:rPr>
                    <w:t>、汽车3</w:t>
                  </w:r>
                  <w:r>
                    <w:rPr>
                      <w:rFonts w:hint="eastAsia" w:ascii="宋体" w:hAnsi="宋体" w:eastAsia="宋体" w:cs="宋体"/>
                      <w:color w:val="auto"/>
                      <w:kern w:val="2"/>
                      <w:sz w:val="21"/>
                      <w:szCs w:val="21"/>
                    </w:rPr>
                    <w:t>.</w:t>
                  </w:r>
                  <w:r>
                    <w:rPr>
                      <w:rFonts w:hint="default" w:ascii="Times New Roman" w:hAnsi="Times New Roman"/>
                      <w:color w:val="auto"/>
                      <w:kern w:val="2"/>
                      <w:sz w:val="21"/>
                      <w:szCs w:val="21"/>
                    </w:rPr>
                    <w:t>新能源汽车关键零部</w:t>
                  </w:r>
                  <w:r>
                    <w:rPr>
                      <w:rFonts w:hint="eastAsia" w:ascii="宋体" w:hAnsi="宋体" w:eastAsia="宋体" w:cs="宋体"/>
                      <w:color w:val="auto"/>
                      <w:kern w:val="2"/>
                      <w:sz w:val="21"/>
                      <w:szCs w:val="21"/>
                    </w:rPr>
                    <w:t>件：插电式混合动力机电耦合驱动系统”</w:t>
                  </w:r>
                  <w:r>
                    <w:rPr>
                      <w:rFonts w:hint="eastAsia" w:ascii="宋体" w:hAnsi="宋体" w:eastAsia="宋体" w:cs="宋体"/>
                      <w:color w:val="auto"/>
                      <w:kern w:val="2"/>
                      <w:sz w:val="21"/>
                      <w:szCs w:val="21"/>
                      <w:lang w:eastAsia="zh-CN"/>
                    </w:rPr>
                    <w:t>；</w:t>
                  </w:r>
                  <w:r>
                    <w:rPr>
                      <w:rFonts w:hint="eastAsia" w:ascii="宋体" w:hAnsi="宋体" w:eastAsia="宋体" w:cs="宋体"/>
                      <w:color w:val="auto"/>
                      <w:kern w:val="2"/>
                      <w:sz w:val="21"/>
                      <w:szCs w:val="21"/>
                      <w:lang w:val="en-US" w:eastAsia="zh-CN"/>
                    </w:rPr>
                    <w:t>本项目</w:t>
                  </w:r>
                  <w:r>
                    <w:rPr>
                      <w:rFonts w:hint="eastAsia" w:ascii="Times New Roman" w:hAnsi="Times New Roman"/>
                      <w:color w:val="auto"/>
                      <w:kern w:val="2"/>
                      <w:sz w:val="21"/>
                      <w:szCs w:val="21"/>
                    </w:rPr>
                    <w:t>清洗废气（G</w:t>
                  </w:r>
                  <w:r>
                    <w:rPr>
                      <w:rFonts w:hint="eastAsia" w:ascii="Times New Roman" w:hAnsi="Times New Roman"/>
                      <w:color w:val="auto"/>
                      <w:kern w:val="2"/>
                      <w:sz w:val="21"/>
                      <w:szCs w:val="21"/>
                      <w:vertAlign w:val="subscript"/>
                      <w:lang w:val="en-US" w:eastAsia="zh-CN"/>
                    </w:rPr>
                    <w:t>3</w:t>
                  </w:r>
                  <w:r>
                    <w:rPr>
                      <w:rFonts w:hint="eastAsia" w:ascii="Times New Roman" w:hAnsi="Times New Roman"/>
                      <w:color w:val="auto"/>
                      <w:kern w:val="2"/>
                      <w:sz w:val="21"/>
                      <w:szCs w:val="21"/>
                    </w:rPr>
                    <w:t>）</w:t>
                  </w:r>
                  <w:r>
                    <w:rPr>
                      <w:rFonts w:hint="eastAsia" w:ascii="Times New Roman" w:hAnsi="Times New Roman"/>
                      <w:color w:val="auto"/>
                      <w:kern w:val="2"/>
                      <w:sz w:val="21"/>
                      <w:szCs w:val="21"/>
                      <w:lang w:eastAsia="zh-CN"/>
                    </w:rPr>
                    <w:t>、</w:t>
                  </w:r>
                  <w:r>
                    <w:rPr>
                      <w:rFonts w:hint="eastAsia" w:ascii="Times New Roman" w:hAnsi="Times New Roman"/>
                      <w:color w:val="auto"/>
                      <w:kern w:val="2"/>
                      <w:sz w:val="21"/>
                      <w:szCs w:val="21"/>
                      <w:lang w:val="en-US" w:eastAsia="zh-CN"/>
                    </w:rPr>
                    <w:t>蒸馏再生废气</w:t>
                  </w:r>
                  <w:r>
                    <w:rPr>
                      <w:rFonts w:hint="eastAsia" w:ascii="Times New Roman" w:hAnsi="Times New Roman"/>
                      <w:color w:val="auto"/>
                      <w:kern w:val="2"/>
                      <w:sz w:val="21"/>
                      <w:szCs w:val="21"/>
                    </w:rPr>
                    <w:t>（G</w:t>
                  </w:r>
                  <w:r>
                    <w:rPr>
                      <w:rFonts w:hint="eastAsia" w:ascii="Times New Roman" w:hAnsi="Times New Roman"/>
                      <w:color w:val="auto"/>
                      <w:kern w:val="2"/>
                      <w:sz w:val="21"/>
                      <w:szCs w:val="21"/>
                      <w:vertAlign w:val="subscript"/>
                      <w:lang w:val="en-US" w:eastAsia="zh-CN"/>
                    </w:rPr>
                    <w:t>4</w:t>
                  </w:r>
                  <w:r>
                    <w:rPr>
                      <w:rFonts w:hint="eastAsia" w:ascii="Times New Roman" w:hAnsi="Times New Roman"/>
                      <w:color w:val="auto"/>
                      <w:kern w:val="2"/>
                      <w:sz w:val="21"/>
                      <w:szCs w:val="21"/>
                    </w:rPr>
                    <w:t>）经密闭管道收集后进入“二级活性炭吸附装置”（TA001）处理后经15m高排气筒（DA001）排放</w:t>
                  </w:r>
                  <w:r>
                    <w:rPr>
                      <w:rFonts w:hint="eastAsia" w:ascii="Times New Roman" w:hAnsi="Times New Roman"/>
                      <w:color w:val="auto"/>
                      <w:kern w:val="2"/>
                      <w:sz w:val="21"/>
                      <w:szCs w:val="21"/>
                      <w:lang w:eastAsia="zh-CN"/>
                    </w:rPr>
                    <w:t>；</w:t>
                  </w:r>
                  <w:r>
                    <w:rPr>
                      <w:rFonts w:hint="eastAsia" w:ascii="Times New Roman" w:hAnsi="Times New Roman"/>
                      <w:color w:val="auto"/>
                      <w:kern w:val="2"/>
                      <w:sz w:val="21"/>
                      <w:szCs w:val="21"/>
                      <w:lang w:val="en-US" w:eastAsia="zh-CN"/>
                    </w:rPr>
                    <w:t>本项目</w:t>
                  </w:r>
                  <w:r>
                    <w:rPr>
                      <w:rFonts w:hint="eastAsia" w:ascii="Times New Roman" w:hAnsi="Times New Roman"/>
                      <w:color w:val="auto"/>
                      <w:kern w:val="2"/>
                      <w:sz w:val="21"/>
                      <w:szCs w:val="21"/>
                      <w:lang w:eastAsia="zh-CN"/>
                    </w:rPr>
                    <w:t>位于工业区内，且不属于生态影响较大的建设项目，项目500m范围内无环境保护目标</w:t>
                  </w:r>
                </w:p>
              </w:tc>
              <w:tc>
                <w:tcPr>
                  <w:tcW w:w="952" w:type="dxa"/>
                  <w:vAlign w:val="center"/>
                </w:tcPr>
                <w:p w14:paraId="26AC37B4">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r w14:paraId="23406E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dxa"/>
                  <w:vAlign w:val="center"/>
                </w:tcPr>
                <w:p w14:paraId="12C71E80">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4</w:t>
                  </w:r>
                </w:p>
              </w:tc>
              <w:tc>
                <w:tcPr>
                  <w:tcW w:w="2900" w:type="dxa"/>
                  <w:vAlign w:val="center"/>
                </w:tcPr>
                <w:p w14:paraId="1A7E27E8">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eastAsia="宋体"/>
                      <w:color w:val="auto"/>
                      <w:kern w:val="2"/>
                      <w:sz w:val="21"/>
                      <w:szCs w:val="21"/>
                      <w:lang w:eastAsia="zh-CN"/>
                    </w:rPr>
                    <w:t>（</w:t>
                  </w:r>
                  <w:r>
                    <w:rPr>
                      <w:rFonts w:hint="default" w:ascii="Times New Roman" w:hAnsi="Times New Roman"/>
                      <w:color w:val="auto"/>
                      <w:kern w:val="2"/>
                      <w:sz w:val="21"/>
                      <w:szCs w:val="21"/>
                    </w:rPr>
                    <w:t>四</w:t>
                  </w:r>
                  <w:r>
                    <w:rPr>
                      <w:rFonts w:hint="eastAsia" w:ascii="Times New Roman" w:hAnsi="Times New Roman" w:eastAsia="宋体"/>
                      <w:color w:val="auto"/>
                      <w:kern w:val="2"/>
                      <w:sz w:val="21"/>
                      <w:szCs w:val="21"/>
                      <w:lang w:eastAsia="zh-CN"/>
                    </w:rPr>
                    <w:t>）</w:t>
                  </w:r>
                  <w:r>
                    <w:rPr>
                      <w:rFonts w:hint="default" w:ascii="Times New Roman" w:hAnsi="Times New Roman"/>
                      <w:color w:val="auto"/>
                      <w:kern w:val="2"/>
                      <w:sz w:val="21"/>
                      <w:szCs w:val="21"/>
                    </w:rPr>
                    <w:t>完善环保基础设施建设，强化环境污染防控。按照环保基础设施适当超前建设的原则，根据主导产业、开发时序和开发强度，进一步优化区域供水、排水、供气、供热及中水回用等规划。开发区应加快新调入区域环保基础设施建设，完善含氟废水深度处理设施。结合区域环境质量现状，细化开发区污染防治基础设施建设、运行管理要求及应急处理处置方案，合理设定处理规模和排放指标，保障开发区周边空气环境持续改善，水环境功能不降低，受纳水体、下游水环境保护目标及相关考核断面稳定达标。</w:t>
                  </w:r>
                </w:p>
              </w:tc>
              <w:tc>
                <w:tcPr>
                  <w:tcW w:w="2342" w:type="dxa"/>
                  <w:vAlign w:val="center"/>
                </w:tcPr>
                <w:p w14:paraId="0F8F843D">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本项目所在区域供水、排水市政管网及园区污水处理厂已</w:t>
                  </w:r>
                  <w:r>
                    <w:rPr>
                      <w:rFonts w:hint="eastAsia"/>
                      <w:color w:val="auto"/>
                      <w:kern w:val="2"/>
                      <w:sz w:val="21"/>
                      <w:szCs w:val="21"/>
                    </w:rPr>
                    <w:t>配套完善</w:t>
                  </w:r>
                </w:p>
              </w:tc>
              <w:tc>
                <w:tcPr>
                  <w:tcW w:w="952" w:type="dxa"/>
                  <w:vAlign w:val="center"/>
                </w:tcPr>
                <w:p w14:paraId="62E7F216">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r w14:paraId="39E986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dxa"/>
                  <w:vAlign w:val="center"/>
                </w:tcPr>
                <w:p w14:paraId="3CE834F3">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5</w:t>
                  </w:r>
                </w:p>
              </w:tc>
              <w:tc>
                <w:tcPr>
                  <w:tcW w:w="2900" w:type="dxa"/>
                  <w:vAlign w:val="center"/>
                </w:tcPr>
                <w:p w14:paraId="7D0D7808">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eastAsia="宋体"/>
                      <w:color w:val="auto"/>
                      <w:kern w:val="2"/>
                      <w:sz w:val="21"/>
                      <w:szCs w:val="21"/>
                      <w:lang w:eastAsia="zh-CN"/>
                    </w:rPr>
                    <w:t>（</w:t>
                  </w:r>
                  <w:r>
                    <w:rPr>
                      <w:rFonts w:hint="default" w:ascii="Times New Roman" w:hAnsi="Times New Roman"/>
                      <w:color w:val="auto"/>
                      <w:kern w:val="2"/>
                      <w:sz w:val="21"/>
                      <w:szCs w:val="21"/>
                    </w:rPr>
                    <w:t>五</w:t>
                  </w:r>
                  <w:r>
                    <w:rPr>
                      <w:rFonts w:hint="eastAsia" w:ascii="Times New Roman" w:hAnsi="Times New Roman" w:eastAsia="宋体"/>
                      <w:color w:val="auto"/>
                      <w:kern w:val="2"/>
                      <w:sz w:val="21"/>
                      <w:szCs w:val="21"/>
                      <w:lang w:eastAsia="zh-CN"/>
                    </w:rPr>
                    <w:t>）</w:t>
                  </w:r>
                  <w:r>
                    <w:rPr>
                      <w:rFonts w:hint="default" w:ascii="Times New Roman" w:hAnsi="Times New Roman"/>
                      <w:color w:val="auto"/>
                      <w:kern w:val="2"/>
                      <w:sz w:val="21"/>
                      <w:szCs w:val="21"/>
                    </w:rPr>
                    <w:t>细化生态环境准入清单，推动高质量发展。《报告书》应根据规划区域调整，结合主导产业、区域生态环境质量现状、生态环境分区管控要求和现行生态环境管理要求等，进一步细化开发区产业准入清单。严格执行国家产业政策，严禁不符合淮河流域生态环境保护要求的项目。</w:t>
                  </w:r>
                  <w:r>
                    <w:rPr>
                      <w:rFonts w:hint="eastAsia"/>
                      <w:color w:val="auto"/>
                      <w:kern w:val="2"/>
                      <w:sz w:val="21"/>
                      <w:szCs w:val="21"/>
                    </w:rPr>
                    <w:t>坚决遏制“两高一低”项目盲</w:t>
                  </w:r>
                  <w:r>
                    <w:rPr>
                      <w:rFonts w:hint="default" w:ascii="Times New Roman" w:hAnsi="Times New Roman"/>
                      <w:color w:val="auto"/>
                      <w:kern w:val="2"/>
                      <w:sz w:val="21"/>
                      <w:szCs w:val="21"/>
                    </w:rPr>
                    <w:t>目发展，引进项目的清洁生产水平不应低于国内同行业先进水平</w:t>
                  </w:r>
                  <w:ins w:id="0" w:author="hzhj" w:date="2026-04-30T15:36:18Z">
                    <w:r>
                      <w:rPr>
                        <w:rFonts w:hint="eastAsia" w:ascii="Times New Roman" w:hAnsi="Times New Roman"/>
                        <w:color w:val="auto"/>
                        <w:kern w:val="2"/>
                        <w:sz w:val="21"/>
                        <w:szCs w:val="21"/>
                        <w:lang w:eastAsia="zh-CN"/>
                      </w:rPr>
                      <w:t>；</w:t>
                    </w:r>
                  </w:ins>
                  <w:r>
                    <w:rPr>
                      <w:rFonts w:hint="default" w:ascii="Times New Roman" w:hAnsi="Times New Roman"/>
                      <w:color w:val="auto"/>
                      <w:kern w:val="2"/>
                      <w:sz w:val="21"/>
                      <w:szCs w:val="21"/>
                    </w:rPr>
                    <w:t>加强对《淮河流域水污染防治暂行条例》限制和禁止项目的入园管控，严禁不符合条例的项目入园。不符合相关要求的工业废水严禁排入市政污水收集处理设施。区内现有化工企业应根据国家和我省相关要求整改、搬迁。</w:t>
                  </w:r>
                </w:p>
              </w:tc>
              <w:tc>
                <w:tcPr>
                  <w:tcW w:w="2342" w:type="dxa"/>
                  <w:vAlign w:val="center"/>
                </w:tcPr>
                <w:p w14:paraId="2346C388">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color w:val="auto"/>
                      <w:kern w:val="2"/>
                      <w:sz w:val="21"/>
                      <w:szCs w:val="21"/>
                      <w:lang w:eastAsia="zh-CN"/>
                    </w:rPr>
                  </w:pPr>
                  <w:r>
                    <w:rPr>
                      <w:rFonts w:hint="default" w:ascii="Times New Roman" w:hAnsi="Times New Roman"/>
                      <w:color w:val="auto"/>
                      <w:kern w:val="2"/>
                      <w:sz w:val="21"/>
                      <w:szCs w:val="21"/>
                    </w:rPr>
                    <w:t>本项目主要从事汽车零部件及配件制造，行业类别属于C3670汽车零部件及配件制造</w:t>
                  </w:r>
                  <w:r>
                    <w:rPr>
                      <w:rFonts w:hint="eastAsia"/>
                      <w:color w:val="auto"/>
                      <w:kern w:val="2"/>
                      <w:sz w:val="21"/>
                      <w:szCs w:val="21"/>
                    </w:rPr>
                    <w:t>，不属于“两高一低”项目</w:t>
                  </w:r>
                  <w:r>
                    <w:rPr>
                      <w:rFonts w:hint="default" w:ascii="Times New Roman" w:hAnsi="Times New Roman"/>
                      <w:color w:val="auto"/>
                      <w:kern w:val="2"/>
                      <w:sz w:val="21"/>
                      <w:szCs w:val="21"/>
                    </w:rPr>
                    <w:t>，根据《产业结构调整指导目录（2024年本）》，本项目属于目录中鼓励类项目。本项目主要从事汽车零部件及配件制造</w:t>
                  </w:r>
                  <w:r>
                    <w:rPr>
                      <w:rFonts w:hint="eastAsia" w:ascii="Times New Roman" w:hAnsi="Times New Roman"/>
                      <w:color w:val="auto"/>
                      <w:kern w:val="2"/>
                      <w:sz w:val="21"/>
                      <w:szCs w:val="21"/>
                      <w:lang w:eastAsia="zh-CN"/>
                    </w:rPr>
                    <w:t>，不属于</w:t>
                  </w:r>
                  <w:r>
                    <w:rPr>
                      <w:rFonts w:hint="default" w:ascii="Times New Roman" w:hAnsi="Times New Roman"/>
                      <w:color w:val="auto"/>
                      <w:kern w:val="2"/>
                      <w:sz w:val="21"/>
                      <w:szCs w:val="21"/>
                    </w:rPr>
                    <w:t>《淮河流域水污染防治暂行条例》限制和</w:t>
                  </w:r>
                  <w:r>
                    <w:rPr>
                      <w:rFonts w:hint="eastAsia" w:ascii="Times New Roman" w:hAnsi="Times New Roman"/>
                      <w:color w:val="auto"/>
                      <w:kern w:val="2"/>
                      <w:sz w:val="21"/>
                      <w:szCs w:val="21"/>
                      <w:lang w:eastAsia="zh-CN"/>
                    </w:rPr>
                    <w:t>禁止的制革、化工、印染、电镀、酿造等污染严重的项目</w:t>
                  </w:r>
                </w:p>
              </w:tc>
              <w:tc>
                <w:tcPr>
                  <w:tcW w:w="952" w:type="dxa"/>
                  <w:vAlign w:val="center"/>
                </w:tcPr>
                <w:p w14:paraId="29F13B30">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r w14:paraId="2E6E7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2" w:type="dxa"/>
                  <w:vAlign w:val="center"/>
                </w:tcPr>
                <w:p w14:paraId="26AA064F">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6</w:t>
                  </w:r>
                </w:p>
              </w:tc>
              <w:tc>
                <w:tcPr>
                  <w:tcW w:w="2900" w:type="dxa"/>
                  <w:vAlign w:val="center"/>
                </w:tcPr>
                <w:p w14:paraId="51FA2529">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eastAsia="宋体"/>
                      <w:color w:val="auto"/>
                      <w:kern w:val="2"/>
                      <w:sz w:val="21"/>
                      <w:szCs w:val="21"/>
                      <w:lang w:eastAsia="zh-CN"/>
                    </w:rPr>
                    <w:t>（</w:t>
                  </w:r>
                  <w:r>
                    <w:rPr>
                      <w:rFonts w:hint="default" w:ascii="Times New Roman" w:hAnsi="Times New Roman"/>
                      <w:color w:val="auto"/>
                      <w:kern w:val="2"/>
                      <w:sz w:val="21"/>
                      <w:szCs w:val="21"/>
                    </w:rPr>
                    <w:t>六</w:t>
                  </w:r>
                  <w:r>
                    <w:rPr>
                      <w:rFonts w:hint="eastAsia" w:ascii="Times New Roman" w:hAnsi="Times New Roman" w:eastAsia="宋体"/>
                      <w:color w:val="auto"/>
                      <w:kern w:val="2"/>
                      <w:sz w:val="21"/>
                      <w:szCs w:val="21"/>
                      <w:lang w:eastAsia="zh-CN"/>
                    </w:rPr>
                    <w:t>）</w:t>
                  </w:r>
                  <w:r>
                    <w:rPr>
                      <w:rFonts w:hint="default" w:ascii="Times New Roman" w:hAnsi="Times New Roman"/>
                      <w:color w:val="auto"/>
                      <w:kern w:val="2"/>
                      <w:sz w:val="21"/>
                      <w:szCs w:val="21"/>
                    </w:rPr>
                    <w:t>提升环境管理水平，加强生态环境风险防控。着力提升开发区环境管理水平，统筹考虑区域内污染物排放、固体废物</w:t>
                  </w:r>
                  <w:r>
                    <w:rPr>
                      <w:rFonts w:hint="eastAsia" w:ascii="Times New Roman" w:hAnsi="Times New Roman" w:eastAsia="宋体"/>
                      <w:color w:val="auto"/>
                      <w:kern w:val="2"/>
                      <w:sz w:val="21"/>
                      <w:szCs w:val="21"/>
                      <w:lang w:eastAsia="zh-CN"/>
                    </w:rPr>
                    <w:t>（</w:t>
                  </w:r>
                  <w:r>
                    <w:rPr>
                      <w:rFonts w:hint="default" w:ascii="Times New Roman" w:hAnsi="Times New Roman"/>
                      <w:color w:val="auto"/>
                      <w:kern w:val="2"/>
                      <w:sz w:val="21"/>
                      <w:szCs w:val="21"/>
                    </w:rPr>
                    <w:t>含危险废物</w:t>
                  </w:r>
                  <w:r>
                    <w:rPr>
                      <w:rFonts w:hint="eastAsia" w:ascii="Times New Roman" w:hAnsi="Times New Roman" w:eastAsia="宋体"/>
                      <w:color w:val="auto"/>
                      <w:kern w:val="2"/>
                      <w:sz w:val="21"/>
                      <w:szCs w:val="21"/>
                      <w:lang w:eastAsia="zh-CN"/>
                    </w:rPr>
                    <w:t>）</w:t>
                  </w:r>
                  <w:r>
                    <w:rPr>
                      <w:rFonts w:hint="default" w:ascii="Times New Roman" w:hAnsi="Times New Roman"/>
                      <w:color w:val="auto"/>
                      <w:kern w:val="2"/>
                      <w:sz w:val="21"/>
                      <w:szCs w:val="21"/>
                    </w:rPr>
                    <w:t>管理、大气环境保护、水环境保护、环境风险防范、生态环境管理等要求，健全区域风险防范体系和生态安全保障体系。开发区临近淮河干流，应全面落实环境风险三级防控加强开发区内重要环境风险源的管控，做好开发区重大环境风险源的识别与管控，重点关注涉氟企业环境风险防控，确保事故废水与外环境有效隔离、及时处置，完善环境风险防范应急措施加强日常环境监管与监测，落实区域环境管理要求。在规划实施过程中，适时开展规划环境影响的跟踪评价。结合规划环评及跟踪评价成果，同</w:t>
                  </w:r>
                  <w:r>
                    <w:rPr>
                      <w:rFonts w:hint="eastAsia"/>
                      <w:color w:val="auto"/>
                      <w:kern w:val="2"/>
                      <w:sz w:val="21"/>
                      <w:szCs w:val="21"/>
                    </w:rPr>
                    <w:t>步更新“区域评估+环境标准”成果</w:t>
                  </w:r>
                  <w:r>
                    <w:rPr>
                      <w:rFonts w:hint="default" w:ascii="Times New Roman" w:hAnsi="Times New Roman"/>
                      <w:color w:val="auto"/>
                      <w:kern w:val="2"/>
                      <w:sz w:val="21"/>
                      <w:szCs w:val="21"/>
                    </w:rPr>
                    <w:t>。</w:t>
                  </w:r>
                </w:p>
              </w:tc>
              <w:tc>
                <w:tcPr>
                  <w:tcW w:w="2342" w:type="dxa"/>
                  <w:vAlign w:val="center"/>
                </w:tcPr>
                <w:p w14:paraId="1D37E320">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color w:val="auto"/>
                      <w:kern w:val="2"/>
                      <w:sz w:val="21"/>
                      <w:szCs w:val="21"/>
                    </w:rPr>
                    <w:t>对照</w:t>
                  </w:r>
                  <w:r>
                    <w:rPr>
                      <w:rFonts w:hint="default" w:ascii="Times New Roman" w:hAnsi="Times New Roman"/>
                      <w:color w:val="auto"/>
                      <w:kern w:val="2"/>
                      <w:sz w:val="21"/>
                      <w:szCs w:val="21"/>
                    </w:rPr>
                    <w:t>《固定污染源排污许可分类管理名录》（2019年版）</w:t>
                  </w:r>
                  <w:r>
                    <w:rPr>
                      <w:rFonts w:hint="eastAsia"/>
                      <w:color w:val="auto"/>
                      <w:kern w:val="2"/>
                      <w:sz w:val="21"/>
                      <w:szCs w:val="21"/>
                    </w:rPr>
                    <w:t>，本项目属于其中“三十一</w:t>
                  </w:r>
                  <w:r>
                    <w:rPr>
                      <w:rFonts w:hint="default" w:ascii="Times New Roman" w:hAnsi="Times New Roman" w:cs="Times New Roman"/>
                      <w:color w:val="auto"/>
                      <w:kern w:val="2"/>
                      <w:sz w:val="21"/>
                      <w:szCs w:val="21"/>
                    </w:rPr>
                    <w:t>、汽车制造业36”之下的</w:t>
                  </w:r>
                  <w:r>
                    <w:rPr>
                      <w:rFonts w:hint="eastAsia"/>
                      <w:color w:val="auto"/>
                      <w:kern w:val="2"/>
                      <w:sz w:val="21"/>
                      <w:szCs w:val="21"/>
                    </w:rPr>
                    <w:t>“</w:t>
                  </w:r>
                  <w:r>
                    <w:rPr>
                      <w:rFonts w:hint="default" w:ascii="Times New Roman" w:hAnsi="Times New Roman" w:cs="Times New Roman"/>
                      <w:color w:val="auto"/>
                      <w:kern w:val="2"/>
                      <w:sz w:val="21"/>
                      <w:szCs w:val="21"/>
                    </w:rPr>
                    <w:t>85汽车零部件及配件制造367”的登记管理项：</w:t>
                  </w:r>
                  <w:r>
                    <w:rPr>
                      <w:rFonts w:hint="eastAsia"/>
                      <w:color w:val="auto"/>
                      <w:kern w:val="2"/>
                      <w:sz w:val="21"/>
                      <w:szCs w:val="21"/>
                    </w:rPr>
                    <w:t>“其他”</w:t>
                  </w:r>
                  <w:r>
                    <w:rPr>
                      <w:rFonts w:hint="default" w:ascii="Times New Roman" w:hAnsi="Times New Roman" w:cs="Times New Roman"/>
                      <w:color w:val="auto"/>
                      <w:kern w:val="2"/>
                      <w:sz w:val="21"/>
                      <w:szCs w:val="21"/>
                    </w:rPr>
                    <w:t>，因此项目的排污许可填报管理类别应为</w:t>
                  </w:r>
                  <w:r>
                    <w:rPr>
                      <w:rFonts w:hint="eastAsia"/>
                      <w:color w:val="auto"/>
                      <w:kern w:val="2"/>
                      <w:sz w:val="21"/>
                      <w:szCs w:val="21"/>
                    </w:rPr>
                    <w:t>“登记管理”</w:t>
                  </w:r>
                  <w:r>
                    <w:rPr>
                      <w:rFonts w:hint="default" w:ascii="Times New Roman" w:hAnsi="Times New Roman" w:cs="Times New Roman"/>
                      <w:color w:val="auto"/>
                      <w:kern w:val="2"/>
                      <w:sz w:val="21"/>
                      <w:szCs w:val="21"/>
                    </w:rPr>
                    <w:t>。</w:t>
                  </w:r>
                  <w:r>
                    <w:rPr>
                      <w:rStyle w:val="28"/>
                      <w:rFonts w:hint="eastAsia"/>
                      <w:color w:val="auto"/>
                      <w:kern w:val="2"/>
                    </w:rPr>
                    <w:t>项目建成后应及时进行排污许可登记，同时按照相关规范要求开展自行监测，本项目的建设和运行将设置专门的安环部门负责环境管理。</w:t>
                  </w:r>
                </w:p>
              </w:tc>
              <w:tc>
                <w:tcPr>
                  <w:tcW w:w="952" w:type="dxa"/>
                  <w:vAlign w:val="center"/>
                </w:tcPr>
                <w:p w14:paraId="342E9AC7">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bl>
          <w:p w14:paraId="2A4F2857">
            <w:pPr>
              <w:keepNext w:val="0"/>
              <w:keepLines w:val="0"/>
              <w:widowControl/>
              <w:suppressLineNumbers w:val="0"/>
              <w:spacing w:before="0" w:beforeAutospacing="0" w:after="0" w:afterAutospacing="0" w:line="336"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对照</w:t>
            </w:r>
            <w:r>
              <w:rPr>
                <w:rFonts w:hint="eastAsia" w:ascii="Times New Roman" w:hAnsi="Times New Roman"/>
                <w:color w:val="auto"/>
                <w:kern w:val="2"/>
              </w:rPr>
              <w:t>《安徽凤台经济开发区总体发展规划（2024-2035年）（调区）环境影响报告书》生态环境</w:t>
            </w:r>
            <w:r>
              <w:rPr>
                <w:rFonts w:hint="default" w:ascii="Times New Roman" w:hAnsi="Times New Roman"/>
                <w:color w:val="auto"/>
                <w:kern w:val="2"/>
              </w:rPr>
              <w:t>准入清单分析如下：</w:t>
            </w:r>
          </w:p>
          <w:p w14:paraId="7337AAD6">
            <w:pPr>
              <w:keepNext w:val="0"/>
              <w:keepLines w:val="0"/>
              <w:widowControl/>
              <w:suppressLineNumbers w:val="0"/>
              <w:spacing w:before="0" w:beforeAutospacing="0" w:after="0" w:afterAutospacing="0"/>
              <w:ind w:left="0" w:right="0"/>
              <w:jc w:val="center"/>
              <w:rPr>
                <w:rFonts w:hint="default" w:ascii="Times New Roman" w:hAnsi="Times New Roman" w:eastAsia="黑体"/>
                <w:color w:val="auto"/>
                <w:kern w:val="24"/>
              </w:rPr>
            </w:pPr>
            <w:r>
              <w:rPr>
                <w:rFonts w:hint="default" w:ascii="Times New Roman" w:hAnsi="Times New Roman" w:eastAsia="黑体"/>
                <w:color w:val="auto"/>
                <w:kern w:val="24"/>
              </w:rPr>
              <w:t>表1-</w:t>
            </w:r>
            <w:r>
              <w:rPr>
                <w:rFonts w:hint="eastAsia" w:ascii="Times New Roman" w:hAnsi="Times New Roman" w:eastAsia="黑体"/>
                <w:color w:val="auto"/>
                <w:kern w:val="24"/>
              </w:rPr>
              <w:t>3</w:t>
            </w:r>
            <w:r>
              <w:rPr>
                <w:rFonts w:hint="default" w:ascii="Times New Roman" w:hAnsi="Times New Roman" w:eastAsia="黑体"/>
                <w:color w:val="auto"/>
                <w:kern w:val="24"/>
              </w:rPr>
              <w:t>生态环境准入清单</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1515"/>
              <w:gridCol w:w="4445"/>
            </w:tblGrid>
            <w:tr w14:paraId="7665D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Align w:val="center"/>
                </w:tcPr>
                <w:p w14:paraId="62BCEED0">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类别</w:t>
                  </w:r>
                </w:p>
              </w:tc>
              <w:tc>
                <w:tcPr>
                  <w:tcW w:w="925" w:type="dxa"/>
                  <w:vAlign w:val="center"/>
                </w:tcPr>
                <w:p w14:paraId="00438C34">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主导产业</w:t>
                  </w:r>
                </w:p>
              </w:tc>
              <w:tc>
                <w:tcPr>
                  <w:tcW w:w="2713" w:type="dxa"/>
                  <w:vAlign w:val="center"/>
                </w:tcPr>
                <w:p w14:paraId="78682F43">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行业类别</w:t>
                  </w:r>
                </w:p>
              </w:tc>
            </w:tr>
            <w:tr w14:paraId="3FDE2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restart"/>
                  <w:vAlign w:val="center"/>
                </w:tcPr>
                <w:p w14:paraId="3B64B343">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产业定位</w:t>
                  </w:r>
                </w:p>
              </w:tc>
              <w:tc>
                <w:tcPr>
                  <w:tcW w:w="925" w:type="dxa"/>
                  <w:vAlign w:val="center"/>
                </w:tcPr>
                <w:p w14:paraId="3004B976">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38电气机械制造业</w:t>
                  </w:r>
                </w:p>
              </w:tc>
              <w:tc>
                <w:tcPr>
                  <w:tcW w:w="2713" w:type="dxa"/>
                  <w:vAlign w:val="center"/>
                </w:tcPr>
                <w:p w14:paraId="7F292161">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381电机制造</w:t>
                  </w:r>
                </w:p>
                <w:p w14:paraId="0AABCFA3">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382输配电及控制设备制造</w:t>
                  </w:r>
                </w:p>
                <w:p w14:paraId="1507A61D">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383电线、电缆、光缆及电工器材制造</w:t>
                  </w:r>
                </w:p>
                <w:p w14:paraId="4CB5FE9B">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384电池制造</w:t>
                  </w:r>
                </w:p>
                <w:p w14:paraId="593AEA0F">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386非电力家用器具制造</w:t>
                  </w:r>
                </w:p>
                <w:p w14:paraId="74757FAF">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387照明器具制造</w:t>
                  </w:r>
                </w:p>
                <w:p w14:paraId="77EC6A5F">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389其他电气机械及器材制造</w:t>
                  </w:r>
                </w:p>
              </w:tc>
            </w:tr>
            <w:tr w14:paraId="3FB86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vAlign w:val="center"/>
                </w:tcPr>
                <w:p w14:paraId="1E9923C9">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p>
              </w:tc>
              <w:tc>
                <w:tcPr>
                  <w:tcW w:w="925" w:type="dxa"/>
                  <w:vAlign w:val="center"/>
                </w:tcPr>
                <w:p w14:paraId="403E984C">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36汽车制造业</w:t>
                  </w:r>
                </w:p>
              </w:tc>
              <w:tc>
                <w:tcPr>
                  <w:tcW w:w="2713" w:type="dxa"/>
                  <w:vAlign w:val="center"/>
                </w:tcPr>
                <w:p w14:paraId="100DA42C">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362汽车用发动机制造</w:t>
                  </w:r>
                </w:p>
                <w:p w14:paraId="10123B9D">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363改装汽车制造</w:t>
                  </w:r>
                </w:p>
                <w:p w14:paraId="1CE99BF7">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366汽车车身、挂车制造</w:t>
                  </w:r>
                </w:p>
                <w:p w14:paraId="5A66AA22">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b/>
                      <w:bCs/>
                      <w:color w:val="auto"/>
                      <w:kern w:val="2"/>
                      <w:sz w:val="21"/>
                      <w:szCs w:val="21"/>
                    </w:rPr>
                    <w:t>367汽车零部件及配件制造</w:t>
                  </w:r>
                </w:p>
              </w:tc>
            </w:tr>
            <w:tr w14:paraId="1E49A5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vAlign w:val="center"/>
                </w:tcPr>
                <w:p w14:paraId="7346C3D3">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p>
              </w:tc>
              <w:tc>
                <w:tcPr>
                  <w:tcW w:w="925" w:type="dxa"/>
                  <w:vAlign w:val="center"/>
                </w:tcPr>
                <w:p w14:paraId="54C16D74">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30非金属矿物制品业</w:t>
                  </w:r>
                </w:p>
              </w:tc>
              <w:tc>
                <w:tcPr>
                  <w:tcW w:w="2713" w:type="dxa"/>
                  <w:vAlign w:val="center"/>
                </w:tcPr>
                <w:p w14:paraId="29159ADC">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302石膏、水泥制品及类似制品制造</w:t>
                  </w:r>
                </w:p>
                <w:p w14:paraId="0F9A9179">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303砖瓦、石材等建筑材料制造</w:t>
                  </w:r>
                </w:p>
                <w:p w14:paraId="7552521F">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304玻璃制造</w:t>
                  </w:r>
                </w:p>
                <w:p w14:paraId="3982179E">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305玻璃制品制造</w:t>
                  </w:r>
                </w:p>
                <w:p w14:paraId="22FFDA14">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306玻璃纤维和玻璃纤维增强塑料制品制造</w:t>
                  </w:r>
                </w:p>
                <w:p w14:paraId="0E937C5A">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308耐火材料制品制造</w:t>
                  </w:r>
                </w:p>
                <w:p w14:paraId="4061C4ED">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309石墨及其他非金属矿物制品制造</w:t>
                  </w:r>
                </w:p>
              </w:tc>
            </w:tr>
            <w:tr w14:paraId="1A31E8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restart"/>
                  <w:vAlign w:val="center"/>
                </w:tcPr>
                <w:p w14:paraId="47576661">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优先引入</w:t>
                  </w:r>
                </w:p>
              </w:tc>
              <w:tc>
                <w:tcPr>
                  <w:tcW w:w="3638" w:type="dxa"/>
                  <w:gridSpan w:val="2"/>
                  <w:vAlign w:val="center"/>
                </w:tcPr>
                <w:p w14:paraId="271C780F">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符合产业定位且属于国家发展和改革委《产业结构调整指导目录（2024年本）》、《鼓励外商投资产业目录》（2022年版）、《产业转移指导目录》（2018年版）、《战略性新兴产业重点产品和服务指导目录（2016版）》等产业政策文件中属于鼓励类和重点发展中的产品、工艺和技术。</w:t>
                  </w:r>
                </w:p>
              </w:tc>
            </w:tr>
            <w:tr w14:paraId="3C8ED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vAlign w:val="center"/>
                </w:tcPr>
                <w:p w14:paraId="74B9B6C5">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p>
              </w:tc>
              <w:tc>
                <w:tcPr>
                  <w:tcW w:w="3638" w:type="dxa"/>
                  <w:gridSpan w:val="2"/>
                  <w:vAlign w:val="center"/>
                </w:tcPr>
                <w:p w14:paraId="07896AD4">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鼓励依托产业定位发展上下游关联度强、技术水平高、绿色安全环保的企业和项目，进一步补链、延链、强链。</w:t>
                  </w:r>
                </w:p>
              </w:tc>
            </w:tr>
            <w:tr w14:paraId="018062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Align w:val="center"/>
                </w:tcPr>
                <w:p w14:paraId="6D44B313">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有条件引入</w:t>
                  </w:r>
                </w:p>
              </w:tc>
              <w:tc>
                <w:tcPr>
                  <w:tcW w:w="3638" w:type="dxa"/>
                  <w:gridSpan w:val="2"/>
                  <w:vAlign w:val="center"/>
                </w:tcPr>
                <w:p w14:paraId="27F755EA">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与主导产业链配套的其他相关产业，且经过充分的环境影响论证。</w:t>
                  </w:r>
                </w:p>
              </w:tc>
            </w:tr>
            <w:tr w14:paraId="1A409D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restart"/>
                  <w:vAlign w:val="center"/>
                </w:tcPr>
                <w:p w14:paraId="4A98741B">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限制引入类项目</w:t>
                  </w:r>
                </w:p>
              </w:tc>
              <w:tc>
                <w:tcPr>
                  <w:tcW w:w="3638" w:type="dxa"/>
                  <w:gridSpan w:val="2"/>
                  <w:vAlign w:val="center"/>
                </w:tcPr>
                <w:p w14:paraId="0D820566">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限制发展能源、资源消耗量或排污量较大但效益相对较好的企业，主要为规划外非禁止类项目，具体项目引入需经充分环境影响论证；</w:t>
                  </w:r>
                </w:p>
              </w:tc>
            </w:tr>
            <w:tr w14:paraId="19B89B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vAlign w:val="center"/>
                </w:tcPr>
                <w:p w14:paraId="7CDB8F78">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p>
              </w:tc>
              <w:tc>
                <w:tcPr>
                  <w:tcW w:w="3638" w:type="dxa"/>
                  <w:gridSpan w:val="2"/>
                  <w:vAlign w:val="center"/>
                </w:tcPr>
                <w:p w14:paraId="36EEA301">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限制新增与主导产业无关的、污染物排放量大的产业项目；</w:t>
                  </w:r>
                </w:p>
              </w:tc>
            </w:tr>
            <w:tr w14:paraId="5D6DA0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vAlign w:val="center"/>
                </w:tcPr>
                <w:p w14:paraId="367136C0">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p>
              </w:tc>
              <w:tc>
                <w:tcPr>
                  <w:tcW w:w="3638" w:type="dxa"/>
                  <w:gridSpan w:val="2"/>
                  <w:vAlign w:val="center"/>
                </w:tcPr>
                <w:p w14:paraId="3F03F96E">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与主导产业相关</w:t>
                  </w:r>
                  <w:r>
                    <w:rPr>
                      <w:rFonts w:hint="eastAsia"/>
                      <w:color w:val="auto"/>
                      <w:kern w:val="2"/>
                      <w:sz w:val="21"/>
                      <w:szCs w:val="21"/>
                    </w:rPr>
                    <w:t>的“两高”</w:t>
                  </w:r>
                  <w:r>
                    <w:rPr>
                      <w:rFonts w:hint="default" w:ascii="Times New Roman" w:hAnsi="Times New Roman"/>
                      <w:color w:val="auto"/>
                      <w:kern w:val="2"/>
                      <w:sz w:val="21"/>
                      <w:szCs w:val="21"/>
                    </w:rPr>
                    <w:t>类项目需按照国家及安徽省相关政策要求严格控制引入，并经过环境影响充分论证。</w:t>
                  </w:r>
                </w:p>
              </w:tc>
            </w:tr>
            <w:tr w14:paraId="58366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Align w:val="center"/>
                </w:tcPr>
                <w:p w14:paraId="250C4168">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禁止类</w:t>
                  </w:r>
                </w:p>
              </w:tc>
              <w:tc>
                <w:tcPr>
                  <w:tcW w:w="3638" w:type="dxa"/>
                  <w:gridSpan w:val="2"/>
                  <w:vAlign w:val="center"/>
                </w:tcPr>
                <w:p w14:paraId="2093A90B">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1）禁止引入《产业结构调整指导目录（2024年本）》《外商投资准入特别管理措施（负面清单）（2021年版）》《市场准入负面清单（2020年版）》和《国家长江经济带市场准入禁止限制目录》等相关产业政策中禁止或淘汰类项目、产品、工艺和设备；</w:t>
                  </w:r>
                </w:p>
                <w:p w14:paraId="36DC5A42">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（2）禁止引入专门从事印染、制革、电镀等生产的项目，禁止引入与主导产业不相符的“两高”类项目；</w:t>
                  </w:r>
                </w:p>
                <w:p w14:paraId="12DCE913">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（3）禁止新建、扩建法律法规和相关政策明令禁止的落后产能项目；</w:t>
                  </w:r>
                </w:p>
                <w:p w14:paraId="1550D952">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（4）禁止新建、扩建不符合国家产能置换要求的严重过剩产能行业的项目；</w:t>
                  </w:r>
                </w:p>
                <w:p w14:paraId="64945C4D">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（5）区内部分紧邻居民点等环境敏感目标的工业用地，严格限制设计使用危险化学品的企业入驻。</w:t>
                  </w:r>
                </w:p>
              </w:tc>
            </w:tr>
            <w:tr w14:paraId="2CCBD4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Align w:val="center"/>
                </w:tcPr>
                <w:p w14:paraId="7DCCE9B2">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空间布局约束</w:t>
                  </w:r>
                </w:p>
              </w:tc>
              <w:tc>
                <w:tcPr>
                  <w:tcW w:w="3638" w:type="dxa"/>
                  <w:gridSpan w:val="2"/>
                  <w:vAlign w:val="center"/>
                </w:tcPr>
                <w:p w14:paraId="27E081A6">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新建项目不得占用规划生态廊道和绿地区域。</w:t>
                  </w:r>
                </w:p>
              </w:tc>
            </w:tr>
            <w:tr w14:paraId="20582A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Align w:val="center"/>
                </w:tcPr>
                <w:p w14:paraId="52F5D4DF">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环境质量</w:t>
                  </w:r>
                </w:p>
              </w:tc>
              <w:tc>
                <w:tcPr>
                  <w:tcW w:w="3638" w:type="dxa"/>
                  <w:gridSpan w:val="2"/>
                  <w:vAlign w:val="center"/>
                </w:tcPr>
                <w:p w14:paraId="57214159">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大气环境质量达到《环境空气质量标准》二级标准、《环境影响评价技术导则大气环境》（HJ2.2-2018）附录D其他污染物空气质量浓度参考限值等。淮河地表水达到《地表水环境质量标准》Ⅲ类标准；架河达到《地表水环境质量标准》IV类标准。土壤达到《土壤环境质量建设用地土壤污染风险管控标准（试行）》（GB36600-2018）中第二类用地筛选值，规划区域居住用地土壤达到《土壤环境质量建设用地土壤污染风险管控标准（试行）》（GB36600-2018）中第一类用地筛选值，规划区域农田土壤达到《土壤环境质量农用地土壤污染风险管控标准》（试行）中筛选值。</w:t>
                  </w:r>
                </w:p>
              </w:tc>
            </w:tr>
            <w:tr w14:paraId="0512F1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Align w:val="center"/>
                </w:tcPr>
                <w:p w14:paraId="27708761">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总量控制</w:t>
                  </w:r>
                </w:p>
              </w:tc>
              <w:tc>
                <w:tcPr>
                  <w:tcW w:w="3638" w:type="dxa"/>
                  <w:gridSpan w:val="2"/>
                  <w:vAlign w:val="center"/>
                </w:tcPr>
                <w:p w14:paraId="03216F7E">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大气污染物：规划期末SO</w:t>
                  </w:r>
                  <w:r>
                    <w:rPr>
                      <w:rFonts w:hint="default" w:ascii="Times New Roman" w:hAnsi="Times New Roman"/>
                      <w:color w:val="auto"/>
                      <w:kern w:val="2"/>
                      <w:sz w:val="21"/>
                      <w:szCs w:val="21"/>
                      <w:vertAlign w:val="subscript"/>
                    </w:rPr>
                    <w:t>2</w:t>
                  </w:r>
                  <w:r>
                    <w:rPr>
                      <w:rFonts w:hint="default" w:ascii="Times New Roman" w:hAnsi="Times New Roman"/>
                      <w:color w:val="auto"/>
                      <w:kern w:val="2"/>
                      <w:sz w:val="21"/>
                      <w:szCs w:val="21"/>
                    </w:rPr>
                    <w:t>：0.785t/a、NOx：27.133t/a、颗粒物：55.408t/a、VOCs：168.449t/a；废水污染物（外环境）：废水排放总量1638.288万t/a、COD：615.644t/a、氨氮：63.977t/a。</w:t>
                  </w:r>
                </w:p>
              </w:tc>
            </w:tr>
            <w:tr w14:paraId="5A1A6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restart"/>
                  <w:vAlign w:val="center"/>
                </w:tcPr>
                <w:p w14:paraId="68317B69">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环境风险防控</w:t>
                  </w:r>
                </w:p>
              </w:tc>
              <w:tc>
                <w:tcPr>
                  <w:tcW w:w="3638" w:type="dxa"/>
                  <w:gridSpan w:val="2"/>
                  <w:vAlign w:val="center"/>
                </w:tcPr>
                <w:p w14:paraId="0F2F540F">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完善园区环境风险防范预警系统，建立风险源动态数据库，加强对潜在风险源的管理，对易引发突发性环境污染事故的场所安装相应的监测和预警装置，实现快速应急响应。</w:t>
                  </w:r>
                </w:p>
              </w:tc>
            </w:tr>
            <w:tr w14:paraId="22F280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vAlign w:val="center"/>
                </w:tcPr>
                <w:p w14:paraId="3BF34648">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p>
              </w:tc>
              <w:tc>
                <w:tcPr>
                  <w:tcW w:w="3638" w:type="dxa"/>
                  <w:gridSpan w:val="2"/>
                  <w:vAlign w:val="center"/>
                </w:tcPr>
                <w:p w14:paraId="4C72AD7B">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对生产、使用、存储或释放风险物质的企业，开展突发环境事件风险评估，督促重点环境风险企业开展环境风险隐患排查整改。加强危险化学品运输管理。</w:t>
                  </w:r>
                </w:p>
              </w:tc>
            </w:tr>
            <w:tr w14:paraId="1ED59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Align w:val="center"/>
                </w:tcPr>
                <w:p w14:paraId="456B999B">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清洁生产要求</w:t>
                  </w:r>
                </w:p>
              </w:tc>
              <w:tc>
                <w:tcPr>
                  <w:tcW w:w="3638" w:type="dxa"/>
                  <w:gridSpan w:val="2"/>
                  <w:vAlign w:val="center"/>
                </w:tcPr>
                <w:p w14:paraId="74E0AA0E">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对标节能减排和碳达峰、碳中和目标，严格高耗能高排放项目准入，新建、改建、扩建项目应采取先进适用的工艺技术和装备，单位产品能耗、物耗和水耗等达到国内清洁生产先进水平。禁止引进低于国内先进水平的项目。</w:t>
                  </w:r>
                </w:p>
              </w:tc>
            </w:tr>
          </w:tbl>
          <w:p w14:paraId="6CB18584">
            <w:pPr>
              <w:keepNext w:val="0"/>
              <w:keepLines w:val="0"/>
              <w:widowControl/>
              <w:suppressLineNumbers w:val="0"/>
              <w:spacing w:before="0" w:beforeAutospacing="0" w:after="0" w:afterAutospacing="0"/>
              <w:ind w:left="0" w:right="0"/>
              <w:rPr>
                <w:rFonts w:hint="default" w:ascii="Times New Roman" w:hAnsi="Times New Roman" w:eastAsia="黑体"/>
                <w:color w:val="auto"/>
                <w:kern w:val="2"/>
                <w:sz w:val="21"/>
                <w:szCs w:val="21"/>
              </w:rPr>
            </w:pPr>
            <w:r>
              <w:rPr>
                <w:rFonts w:hint="default" w:ascii="Times New Roman" w:hAnsi="黑体" w:eastAsia="黑体"/>
                <w:color w:val="auto"/>
                <w:kern w:val="2"/>
                <w:sz w:val="21"/>
                <w:szCs w:val="21"/>
              </w:rPr>
              <w:t>注：安徽凤台开发区生态环境准入要求应同步满足安徽省生态环境准入清单、淮南市市级生态环境准入清单中所列的一般性管控要求，上述清单中所列要求此处不再重复。</w:t>
            </w:r>
          </w:p>
          <w:p w14:paraId="42EE87D7">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color w:val="auto"/>
                <w:kern w:val="2"/>
              </w:rPr>
            </w:pPr>
            <w:r>
              <w:rPr>
                <w:rFonts w:hint="eastAsia" w:ascii="Times New Roman" w:hAnsi="Times New Roman"/>
                <w:color w:val="auto"/>
                <w:kern w:val="2"/>
              </w:rPr>
              <w:t>本项目主要从事汽车零部件及配件制造，行业类别属于</w:t>
            </w:r>
            <w:r>
              <w:rPr>
                <w:rFonts w:hint="default" w:ascii="Times New Roman" w:hAnsi="Times New Roman"/>
                <w:color w:val="auto"/>
                <w:kern w:val="2"/>
              </w:rPr>
              <w:t>C3</w:t>
            </w:r>
            <w:r>
              <w:rPr>
                <w:rFonts w:hint="eastAsia" w:ascii="Times New Roman" w:hAnsi="Times New Roman"/>
                <w:color w:val="auto"/>
                <w:kern w:val="2"/>
              </w:rPr>
              <w:t>670汽车零部件及配件制造，属于开发区主导产业</w:t>
            </w:r>
            <w:r>
              <w:rPr>
                <w:rFonts w:hint="eastAsia" w:ascii="Times New Roman" w:hAnsi="Times New Roman"/>
                <w:color w:val="auto"/>
                <w:kern w:val="2"/>
                <w:lang w:val="en-US" w:eastAsia="zh-CN"/>
              </w:rPr>
              <w:t>且根据《产业结构调整指导目录（2024年本）》，本项目属于目录中鼓励类项目，故本项目属于园区优先引入类项目</w:t>
            </w:r>
            <w:r>
              <w:rPr>
                <w:rFonts w:hint="eastAsia" w:ascii="Times New Roman" w:hAnsi="Times New Roman"/>
                <w:color w:val="auto"/>
                <w:kern w:val="2"/>
              </w:rPr>
              <w:t>。本项目位于凤台经济开发区电子智能制造产业园内，</w:t>
            </w:r>
            <w:r>
              <w:rPr>
                <w:rFonts w:hint="eastAsia" w:ascii="Times New Roman" w:hAnsi="Times New Roman"/>
                <w:snapToGrid w:val="0"/>
                <w:color w:val="auto"/>
                <w:kern w:val="2"/>
              </w:rPr>
              <w:t>用地周边未</w:t>
            </w:r>
            <w:r>
              <w:rPr>
                <w:rFonts w:hint="default" w:ascii="Times New Roman" w:hAnsi="Times New Roman"/>
                <w:snapToGrid w:val="0"/>
                <w:color w:val="auto"/>
                <w:kern w:val="2"/>
              </w:rPr>
              <w:t>紧邻居民点</w:t>
            </w:r>
            <w:r>
              <w:rPr>
                <w:rFonts w:hint="eastAsia" w:ascii="Times New Roman" w:hAnsi="Times New Roman"/>
                <w:snapToGrid w:val="0"/>
                <w:color w:val="auto"/>
                <w:kern w:val="2"/>
              </w:rPr>
              <w:t>，无</w:t>
            </w:r>
            <w:r>
              <w:rPr>
                <w:rFonts w:hint="default" w:ascii="Times New Roman" w:hAnsi="Times New Roman"/>
                <w:snapToGrid w:val="0"/>
                <w:color w:val="auto"/>
                <w:kern w:val="2"/>
              </w:rPr>
              <w:t>环境敏感目标</w:t>
            </w:r>
            <w:r>
              <w:rPr>
                <w:rFonts w:hint="eastAsia" w:ascii="Times New Roman" w:hAnsi="Times New Roman"/>
                <w:color w:val="auto"/>
                <w:kern w:val="2"/>
              </w:rPr>
              <w:t>，选址符合规划要求。</w:t>
            </w:r>
          </w:p>
          <w:p w14:paraId="1254B9B4">
            <w:pPr>
              <w:pStyle w:val="12"/>
              <w:keepNext w:val="0"/>
              <w:keepLines w:val="0"/>
              <w:widowControl/>
              <w:suppressLineNumbers w:val="0"/>
              <w:spacing w:before="0" w:beforeAutospacing="0" w:after="0" w:afterAutospacing="0"/>
              <w:ind w:left="0" w:right="0" w:firstLine="480"/>
              <w:rPr>
                <w:rFonts w:hint="eastAsia"/>
                <w:color w:val="auto"/>
                <w:kern w:val="2"/>
              </w:rPr>
            </w:pPr>
          </w:p>
          <w:p w14:paraId="58A6F0B1">
            <w:pPr>
              <w:keepNext w:val="0"/>
              <w:keepLines w:val="0"/>
              <w:widowControl/>
              <w:suppressLineNumbers w:val="0"/>
              <w:spacing w:before="0" w:beforeAutospacing="0" w:after="0" w:afterAutospacing="0"/>
              <w:ind w:left="0" w:right="0"/>
              <w:rPr>
                <w:rFonts w:hint="eastAsia"/>
                <w:color w:val="auto"/>
                <w:kern w:val="2"/>
              </w:rPr>
            </w:pPr>
          </w:p>
          <w:p w14:paraId="296F133F">
            <w:pPr>
              <w:keepNext w:val="0"/>
              <w:keepLines w:val="0"/>
              <w:widowControl/>
              <w:suppressLineNumbers w:val="0"/>
              <w:spacing w:before="0" w:beforeAutospacing="0" w:after="0" w:afterAutospacing="0"/>
              <w:ind w:left="0" w:right="0"/>
              <w:rPr>
                <w:rFonts w:hint="eastAsia"/>
                <w:color w:val="auto"/>
                <w:kern w:val="2"/>
              </w:rPr>
            </w:pPr>
          </w:p>
          <w:p w14:paraId="6F0C323D">
            <w:pPr>
              <w:keepNext w:val="0"/>
              <w:keepLines w:val="0"/>
              <w:widowControl/>
              <w:suppressLineNumbers w:val="0"/>
              <w:spacing w:before="0" w:beforeAutospacing="0" w:after="0" w:afterAutospacing="0"/>
              <w:ind w:left="0" w:right="0"/>
              <w:rPr>
                <w:rFonts w:hint="eastAsia"/>
                <w:color w:val="auto"/>
                <w:kern w:val="2"/>
              </w:rPr>
            </w:pPr>
          </w:p>
          <w:p w14:paraId="60405344">
            <w:pPr>
              <w:pStyle w:val="12"/>
              <w:keepNext w:val="0"/>
              <w:keepLines w:val="0"/>
              <w:widowControl/>
              <w:suppressLineNumbers w:val="0"/>
              <w:spacing w:before="0" w:beforeAutospacing="0" w:after="0" w:afterAutospacing="0"/>
              <w:ind w:left="0" w:right="0"/>
              <w:rPr>
                <w:rFonts w:hint="eastAsia"/>
                <w:color w:val="auto"/>
                <w:kern w:val="2"/>
              </w:rPr>
            </w:pPr>
          </w:p>
          <w:p w14:paraId="1FB2D505">
            <w:pPr>
              <w:keepNext w:val="0"/>
              <w:keepLines w:val="0"/>
              <w:widowControl/>
              <w:suppressLineNumbers w:val="0"/>
              <w:spacing w:before="0" w:beforeAutospacing="0" w:after="0" w:afterAutospacing="0"/>
              <w:ind w:left="0" w:right="0"/>
              <w:rPr>
                <w:rFonts w:hint="eastAsia"/>
                <w:color w:val="auto"/>
                <w:kern w:val="2"/>
              </w:rPr>
            </w:pPr>
          </w:p>
          <w:p w14:paraId="5FD9559F">
            <w:pPr>
              <w:pStyle w:val="12"/>
              <w:keepNext w:val="0"/>
              <w:keepLines w:val="0"/>
              <w:widowControl/>
              <w:suppressLineNumbers w:val="0"/>
              <w:spacing w:before="0" w:beforeAutospacing="0" w:after="0" w:afterAutospacing="0"/>
              <w:ind w:left="0" w:leftChars="0" w:right="0" w:firstLine="0" w:firstLineChars="0"/>
              <w:rPr>
                <w:rFonts w:hint="default"/>
                <w:color w:val="auto"/>
                <w:kern w:val="2"/>
              </w:rPr>
            </w:pPr>
          </w:p>
        </w:tc>
      </w:tr>
      <w:tr w14:paraId="73CCE3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97" w:hRule="atLeast"/>
        </w:trPr>
        <w:tc>
          <w:tcPr>
            <w:tcW w:w="1483" w:type="dxa"/>
            <w:vAlign w:val="center"/>
          </w:tcPr>
          <w:p w14:paraId="77C0DEAE">
            <w:pPr>
              <w:keepNext w:val="0"/>
              <w:keepLines w:val="0"/>
              <w:widowControl/>
              <w:suppressLineNumbers w:val="0"/>
              <w:autoSpaceDE w:val="0"/>
              <w:autoSpaceDN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其他符合性</w:t>
            </w:r>
          </w:p>
          <w:p w14:paraId="2333BB76">
            <w:pPr>
              <w:keepNext w:val="0"/>
              <w:keepLines w:val="0"/>
              <w:widowControl/>
              <w:suppressLineNumbers w:val="0"/>
              <w:autoSpaceDE w:val="0"/>
              <w:autoSpaceDN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分析</w:t>
            </w:r>
          </w:p>
        </w:tc>
        <w:tc>
          <w:tcPr>
            <w:tcW w:w="7387" w:type="dxa"/>
            <w:gridSpan w:val="3"/>
            <w:vAlign w:val="center"/>
          </w:tcPr>
          <w:p w14:paraId="400FF852">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eastAsia" w:ascii="Times New Roman" w:hAnsi="Times New Roman"/>
                <w:b/>
                <w:color w:val="auto"/>
                <w:kern w:val="2"/>
              </w:rPr>
              <w:t>2</w:t>
            </w:r>
            <w:r>
              <w:rPr>
                <w:rFonts w:hint="default" w:ascii="Times New Roman" w:hAnsi="Times New Roman"/>
                <w:b/>
                <w:color w:val="auto"/>
                <w:kern w:val="2"/>
              </w:rPr>
              <w:t>、产业政策符合性分析</w:t>
            </w:r>
          </w:p>
          <w:p w14:paraId="42DE0B97">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eastAsia" w:ascii="Times New Roman" w:hAnsi="Times New Roman"/>
                <w:bCs/>
                <w:color w:val="auto"/>
                <w:kern w:val="2"/>
              </w:rPr>
              <w:t>本项目主要从事</w:t>
            </w:r>
            <w:r>
              <w:rPr>
                <w:rFonts w:hint="eastAsia" w:ascii="Times New Roman" w:hAnsi="Times New Roman"/>
                <w:color w:val="auto"/>
                <w:kern w:val="2"/>
              </w:rPr>
              <w:t>汽车零部件及配件制造</w:t>
            </w:r>
            <w:r>
              <w:rPr>
                <w:rFonts w:hint="eastAsia" w:ascii="Times New Roman" w:hAnsi="Times New Roman"/>
                <w:bCs/>
                <w:color w:val="auto"/>
                <w:kern w:val="2"/>
              </w:rPr>
              <w:t>，行业类别为</w:t>
            </w:r>
            <w:r>
              <w:rPr>
                <w:rFonts w:hint="default" w:ascii="Times New Roman" w:hAnsi="Times New Roman"/>
                <w:color w:val="auto"/>
                <w:kern w:val="2"/>
              </w:rPr>
              <w:t>C3</w:t>
            </w:r>
            <w:r>
              <w:rPr>
                <w:rFonts w:hint="eastAsia" w:ascii="Times New Roman" w:hAnsi="Times New Roman"/>
                <w:color w:val="auto"/>
                <w:kern w:val="2"/>
              </w:rPr>
              <w:t>670汽车零部件及配件制造</w:t>
            </w:r>
            <w:r>
              <w:rPr>
                <w:rFonts w:hint="default" w:ascii="Times New Roman" w:hAnsi="Times New Roman"/>
                <w:bCs/>
                <w:color w:val="auto"/>
                <w:kern w:val="2"/>
              </w:rPr>
              <w:t>，</w:t>
            </w:r>
            <w:r>
              <w:rPr>
                <w:rFonts w:hint="default" w:ascii="Times New Roman" w:hAnsi="Times New Roman" w:cs="Times New Roman"/>
                <w:bCs/>
                <w:color w:val="auto"/>
                <w:kern w:val="2"/>
              </w:rPr>
              <w:t>对照《产业结构调整指导目录》（2024年本），本项目属于其中第一类</w:t>
            </w:r>
            <w:r>
              <w:rPr>
                <w:rFonts w:hint="eastAsia"/>
                <w:bCs/>
                <w:color w:val="auto"/>
                <w:kern w:val="2"/>
              </w:rPr>
              <w:t>“</w:t>
            </w:r>
            <w:r>
              <w:rPr>
                <w:rFonts w:hint="default" w:ascii="Times New Roman" w:hAnsi="Times New Roman" w:cs="Times New Roman"/>
                <w:bCs/>
                <w:color w:val="auto"/>
                <w:kern w:val="2"/>
              </w:rPr>
              <w:t>鼓励类</w:t>
            </w:r>
            <w:r>
              <w:rPr>
                <w:rFonts w:hint="eastAsia"/>
                <w:bCs/>
                <w:color w:val="auto"/>
                <w:kern w:val="2"/>
              </w:rPr>
              <w:t>”</w:t>
            </w:r>
            <w:r>
              <w:rPr>
                <w:rFonts w:hint="default" w:ascii="Times New Roman" w:hAnsi="Times New Roman" w:cs="Times New Roman"/>
                <w:bCs/>
                <w:color w:val="auto"/>
                <w:kern w:val="2"/>
              </w:rPr>
              <w:t>中的</w:t>
            </w:r>
            <w:r>
              <w:rPr>
                <w:rFonts w:hint="eastAsia"/>
                <w:bCs/>
                <w:color w:val="auto"/>
                <w:kern w:val="2"/>
              </w:rPr>
              <w:t>“</w:t>
            </w:r>
            <w:r>
              <w:rPr>
                <w:rFonts w:hint="default" w:ascii="Times New Roman" w:hAnsi="Times New Roman" w:cs="Times New Roman"/>
                <w:bCs/>
                <w:color w:val="auto"/>
                <w:kern w:val="2"/>
              </w:rPr>
              <w:t>十</w:t>
            </w:r>
            <w:r>
              <w:rPr>
                <w:rFonts w:hint="eastAsia" w:ascii="Times New Roman" w:hAnsi="Times New Roman" w:cs="Times New Roman"/>
                <w:bCs/>
                <w:color w:val="auto"/>
                <w:kern w:val="2"/>
              </w:rPr>
              <w:t>六</w:t>
            </w:r>
            <w:r>
              <w:rPr>
                <w:rFonts w:hint="default" w:ascii="Times New Roman" w:hAnsi="Times New Roman" w:cs="Times New Roman"/>
                <w:bCs/>
                <w:color w:val="auto"/>
                <w:kern w:val="2"/>
              </w:rPr>
              <w:t>、</w:t>
            </w:r>
            <w:r>
              <w:rPr>
                <w:rFonts w:hint="eastAsia" w:ascii="Times New Roman" w:hAnsi="Times New Roman" w:cs="Times New Roman"/>
                <w:bCs/>
                <w:color w:val="auto"/>
                <w:kern w:val="2"/>
              </w:rPr>
              <w:t>汽车3</w:t>
            </w:r>
            <w:r>
              <w:rPr>
                <w:rFonts w:hint="eastAsia"/>
                <w:bCs/>
                <w:color w:val="auto"/>
                <w:kern w:val="2"/>
              </w:rPr>
              <w:t>.新能源汽车关键零部件</w:t>
            </w:r>
            <w:r>
              <w:rPr>
                <w:rFonts w:hint="default" w:ascii="Times New Roman" w:hAnsi="Times New Roman" w:cs="Times New Roman"/>
                <w:bCs/>
                <w:color w:val="auto"/>
                <w:kern w:val="2"/>
              </w:rPr>
              <w:t>：插电式混合动力机电耦合驱动系统</w:t>
            </w:r>
            <w:r>
              <w:rPr>
                <w:rFonts w:hint="eastAsia"/>
                <w:bCs/>
                <w:color w:val="auto"/>
                <w:kern w:val="2"/>
              </w:rPr>
              <w:t>”</w:t>
            </w:r>
            <w:r>
              <w:rPr>
                <w:rFonts w:hint="default" w:ascii="Times New Roman" w:hAnsi="Times New Roman" w:cs="Times New Roman"/>
                <w:bCs/>
                <w:color w:val="auto"/>
                <w:kern w:val="2"/>
              </w:rPr>
              <w:t>，因此本项目为《产业结构调整指导目录》（2024年本）中的鼓励类项目，符合国家产业政策要求。</w:t>
            </w:r>
          </w:p>
          <w:p w14:paraId="78C7B20B">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default" w:ascii="Times New Roman" w:hAnsi="Times New Roman"/>
                <w:bCs/>
                <w:color w:val="auto"/>
                <w:kern w:val="2"/>
              </w:rPr>
              <w:t>本项目已</w:t>
            </w:r>
            <w:r>
              <w:rPr>
                <w:rFonts w:hint="eastAsia" w:ascii="Times New Roman" w:hAnsi="Times New Roman"/>
                <w:bCs/>
                <w:color w:val="auto"/>
                <w:kern w:val="2"/>
              </w:rPr>
              <w:t>取得凤台县经济和信息化局</w:t>
            </w:r>
            <w:r>
              <w:rPr>
                <w:rFonts w:hint="eastAsia" w:ascii="Times New Roman" w:hAnsi="Times New Roman" w:eastAsia="宋体"/>
                <w:bCs/>
                <w:color w:val="auto"/>
                <w:kern w:val="2"/>
                <w:lang w:eastAsia="zh-CN"/>
              </w:rPr>
              <w:t>（</w:t>
            </w:r>
            <w:r>
              <w:rPr>
                <w:rFonts w:hint="eastAsia" w:ascii="Times New Roman" w:hAnsi="Times New Roman"/>
                <w:bCs/>
                <w:color w:val="auto"/>
                <w:kern w:val="2"/>
              </w:rPr>
              <w:t>凤台县商务投资促进局</w:t>
            </w:r>
            <w:r>
              <w:rPr>
                <w:rFonts w:hint="eastAsia" w:ascii="Times New Roman" w:hAnsi="Times New Roman" w:eastAsia="宋体"/>
                <w:bCs/>
                <w:color w:val="auto"/>
                <w:kern w:val="2"/>
                <w:lang w:eastAsia="zh-CN"/>
              </w:rPr>
              <w:t>）</w:t>
            </w:r>
            <w:r>
              <w:rPr>
                <w:rFonts w:hint="default" w:ascii="Times New Roman" w:hAnsi="Times New Roman"/>
                <w:bCs/>
                <w:color w:val="auto"/>
                <w:kern w:val="2"/>
              </w:rPr>
              <w:t>备案，项目代码为2510-340421-07-02-656800。</w:t>
            </w:r>
          </w:p>
          <w:p w14:paraId="1A5999A1">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Cs/>
                <w:color w:val="auto"/>
                <w:kern w:val="2"/>
              </w:rPr>
            </w:pPr>
            <w:r>
              <w:rPr>
                <w:rFonts w:hint="eastAsia" w:ascii="Times New Roman" w:hAnsi="Times New Roman"/>
                <w:b/>
                <w:color w:val="auto"/>
                <w:kern w:val="2"/>
              </w:rPr>
              <w:t>3</w:t>
            </w:r>
            <w:r>
              <w:rPr>
                <w:rFonts w:hint="default" w:ascii="Times New Roman" w:hAnsi="Times New Roman"/>
                <w:b/>
                <w:color w:val="auto"/>
                <w:kern w:val="2"/>
              </w:rPr>
              <w:t>、</w:t>
            </w:r>
            <w:r>
              <w:rPr>
                <w:rFonts w:hint="eastAsia" w:ascii="Times New Roman" w:hAnsi="Times New Roman"/>
                <w:b/>
                <w:color w:val="auto"/>
                <w:kern w:val="2"/>
              </w:rPr>
              <w:t>环境相容性</w:t>
            </w:r>
            <w:r>
              <w:rPr>
                <w:rFonts w:hint="default" w:ascii="Times New Roman" w:hAnsi="Times New Roman"/>
                <w:b/>
                <w:color w:val="auto"/>
                <w:kern w:val="2"/>
              </w:rPr>
              <w:t>分析</w:t>
            </w:r>
          </w:p>
          <w:p w14:paraId="2BCD635C">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default" w:ascii="Times New Roman" w:hAnsi="Times New Roman"/>
                <w:bCs/>
                <w:color w:val="auto"/>
                <w:kern w:val="2"/>
              </w:rPr>
              <w:t>本项目位于</w:t>
            </w:r>
            <w:r>
              <w:rPr>
                <w:rFonts w:hint="default" w:ascii="Times New Roman" w:hAnsi="Times New Roman"/>
                <w:color w:val="auto"/>
                <w:kern w:val="2"/>
              </w:rPr>
              <w:t>安徽省淮南市</w:t>
            </w:r>
            <w:r>
              <w:rPr>
                <w:rFonts w:hint="eastAsia" w:ascii="Times New Roman" w:hAnsi="Times New Roman"/>
                <w:color w:val="auto"/>
                <w:kern w:val="2"/>
              </w:rPr>
              <w:t>凤台经济开发区电子智能制造产业园内</w:t>
            </w:r>
            <w:r>
              <w:rPr>
                <w:rFonts w:hint="default" w:ascii="Times New Roman" w:hAnsi="Times New Roman"/>
                <w:bCs/>
                <w:color w:val="auto"/>
                <w:kern w:val="2"/>
              </w:rPr>
              <w:t>。</w:t>
            </w:r>
            <w:r>
              <w:rPr>
                <w:rFonts w:hint="default" w:ascii="Times New Roman" w:hAnsi="Times New Roman"/>
                <w:bCs/>
                <w:color w:val="auto"/>
                <w:kern w:val="2"/>
                <w:highlight w:val="none"/>
              </w:rPr>
              <w:t>项目</w:t>
            </w:r>
            <w:r>
              <w:rPr>
                <w:rFonts w:hint="eastAsia" w:ascii="Times New Roman" w:hAnsi="Times New Roman"/>
                <w:bCs/>
                <w:color w:val="auto"/>
                <w:kern w:val="2"/>
                <w:highlight w:val="none"/>
              </w:rPr>
              <w:t>东侧隔置二路为</w:t>
            </w:r>
            <w:r>
              <w:rPr>
                <w:rFonts w:hint="eastAsia" w:ascii="Times New Roman" w:hAnsi="Times New Roman" w:cs="Times New Roman"/>
                <w:color w:val="auto"/>
                <w:kern w:val="2"/>
                <w:highlight w:val="none"/>
              </w:rPr>
              <w:t>已建62-70#孵化中心</w:t>
            </w:r>
            <w:r>
              <w:rPr>
                <w:rFonts w:hint="eastAsia" w:ascii="Times New Roman" w:hAnsi="Times New Roman" w:cs="Times New Roman"/>
                <w:color w:val="auto"/>
                <w:kern w:val="2"/>
                <w:highlight w:val="none"/>
                <w:lang w:eastAsia="zh-CN"/>
              </w:rPr>
              <w:t>（</w:t>
            </w:r>
            <w:r>
              <w:rPr>
                <w:rFonts w:hint="eastAsia" w:ascii="Times New Roman" w:hAnsi="Times New Roman" w:cs="Times New Roman"/>
                <w:color w:val="auto"/>
                <w:kern w:val="2"/>
                <w:highlight w:val="none"/>
                <w:lang w:val="en-US" w:eastAsia="zh-CN"/>
              </w:rPr>
              <w:t>暂未入驻企业）</w:t>
            </w:r>
            <w:r>
              <w:rPr>
                <w:rFonts w:hint="eastAsia" w:ascii="Times New Roman" w:hAnsi="Times New Roman" w:cs="Times New Roman"/>
                <w:color w:val="auto"/>
                <w:kern w:val="2"/>
                <w:highlight w:val="none"/>
              </w:rPr>
              <w:t>，南侧为已建39-44#孵化中心</w:t>
            </w:r>
            <w:r>
              <w:rPr>
                <w:rFonts w:hint="eastAsia" w:ascii="Times New Roman" w:hAnsi="Times New Roman" w:cs="Times New Roman"/>
                <w:color w:val="auto"/>
                <w:kern w:val="2"/>
                <w:highlight w:val="none"/>
                <w:lang w:eastAsia="zh-CN"/>
              </w:rPr>
              <w:t>（</w:t>
            </w:r>
            <w:r>
              <w:rPr>
                <w:rFonts w:hint="eastAsia" w:ascii="Times New Roman" w:hAnsi="Times New Roman" w:cs="Times New Roman"/>
                <w:color w:val="auto"/>
                <w:kern w:val="2"/>
                <w:highlight w:val="none"/>
                <w:lang w:val="en-US" w:eastAsia="zh-CN"/>
              </w:rPr>
              <w:t>暂未入驻企业）</w:t>
            </w:r>
            <w:r>
              <w:rPr>
                <w:rFonts w:hint="eastAsia" w:ascii="Times New Roman" w:hAnsi="Times New Roman" w:cs="Times New Roman"/>
                <w:color w:val="auto"/>
                <w:kern w:val="2"/>
                <w:highlight w:val="none"/>
              </w:rPr>
              <w:t>，西侧、北侧为</w:t>
            </w:r>
            <w:r>
              <w:rPr>
                <w:rFonts w:hint="eastAsia" w:ascii="Times New Roman" w:hAnsi="Times New Roman" w:cs="Times New Roman"/>
                <w:color w:val="auto"/>
                <w:kern w:val="2"/>
                <w:highlight w:val="none"/>
                <w:lang w:val="en-US" w:eastAsia="zh-CN"/>
              </w:rPr>
              <w:t>空地</w:t>
            </w:r>
            <w:r>
              <w:rPr>
                <w:rFonts w:hint="default" w:ascii="Times New Roman" w:hAnsi="Times New Roman"/>
                <w:bCs/>
                <w:color w:val="auto"/>
                <w:kern w:val="2"/>
              </w:rPr>
              <w:t>。项目周边关系图见附图2。项目投入运行且经采取有效的防治措施后对周围环境影响较小。因此，本项目</w:t>
            </w:r>
            <w:r>
              <w:rPr>
                <w:rFonts w:hint="eastAsia" w:ascii="Times New Roman" w:hAnsi="Times New Roman"/>
                <w:bCs/>
                <w:color w:val="auto"/>
                <w:kern w:val="2"/>
              </w:rPr>
              <w:t>与周边</w:t>
            </w:r>
            <w:r>
              <w:rPr>
                <w:rFonts w:hint="default" w:ascii="Times New Roman" w:hAnsi="Times New Roman"/>
                <w:bCs/>
                <w:color w:val="auto"/>
                <w:kern w:val="2"/>
              </w:rPr>
              <w:t>环境相容。</w:t>
            </w:r>
          </w:p>
          <w:p w14:paraId="278822F2">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p>
          <w:p w14:paraId="44921570">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p>
          <w:p w14:paraId="6086B909">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p>
          <w:p w14:paraId="339593BB">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p>
          <w:p w14:paraId="2822A4E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p>
          <w:p w14:paraId="7EB1DBC3">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p>
          <w:p w14:paraId="3873A027">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p>
          <w:p w14:paraId="3857C19A">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p>
          <w:p w14:paraId="5E750D73">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p>
          <w:p w14:paraId="7D4BC45D">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p>
          <w:p w14:paraId="79D1870C">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p>
          <w:p w14:paraId="6228E095">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p>
          <w:p w14:paraId="35F9843F">
            <w:pPr>
              <w:keepNext w:val="0"/>
              <w:keepLines w:val="0"/>
              <w:widowControl/>
              <w:suppressLineNumbers w:val="0"/>
              <w:spacing w:before="0" w:beforeAutospacing="0" w:after="0" w:afterAutospacing="0" w:line="360" w:lineRule="auto"/>
              <w:ind w:left="0" w:right="0"/>
              <w:rPr>
                <w:rFonts w:hint="default" w:ascii="Times New Roman" w:hAnsi="Times New Roman"/>
                <w:bCs/>
                <w:color w:val="auto"/>
                <w:kern w:val="2"/>
              </w:rPr>
            </w:pPr>
          </w:p>
          <w:p w14:paraId="128486B4">
            <w:pPr>
              <w:keepNext w:val="0"/>
              <w:keepLines w:val="0"/>
              <w:widowControl/>
              <w:numPr>
                <w:ilvl w:val="0"/>
                <w:numId w:val="1"/>
              </w:numPr>
              <w:suppressLineNumbers w:val="0"/>
              <w:wordWrap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default" w:ascii="Times New Roman" w:hAnsi="Times New Roman"/>
                <w:b/>
                <w:color w:val="auto"/>
                <w:kern w:val="2"/>
              </w:rPr>
              <w:t>与《重点行业挥发性有机物综合治理方案》（环大气〔2019〕53号）相符性分析</w:t>
            </w:r>
          </w:p>
          <w:p w14:paraId="711B5952">
            <w:pPr>
              <w:keepNext w:val="0"/>
              <w:keepLines w:val="0"/>
              <w:widowControl/>
              <w:suppressLineNumbers w:val="0"/>
              <w:spacing w:before="0" w:beforeAutospacing="0" w:after="0" w:afterAutospacing="0" w:line="360" w:lineRule="auto"/>
              <w:ind w:left="0" w:right="0"/>
              <w:jc w:val="center"/>
              <w:rPr>
                <w:rFonts w:hint="default"/>
                <w:color w:val="auto"/>
                <w:kern w:val="2"/>
              </w:rPr>
            </w:pPr>
            <w:r>
              <w:rPr>
                <w:rFonts w:hint="default" w:ascii="Times New Roman" w:hAnsi="Times New Roman" w:eastAsia="黑体"/>
                <w:color w:val="auto"/>
                <w:kern w:val="2"/>
              </w:rPr>
              <w:t>表1-</w:t>
            </w:r>
            <w:r>
              <w:rPr>
                <w:rFonts w:hint="eastAsia" w:ascii="Times New Roman" w:hAnsi="Times New Roman" w:eastAsia="黑体"/>
                <w:color w:val="auto"/>
                <w:kern w:val="2"/>
              </w:rPr>
              <w:t>4</w:t>
            </w:r>
            <w:r>
              <w:rPr>
                <w:rFonts w:hint="default" w:ascii="Times New Roman" w:hAnsi="Times New Roman" w:eastAsia="黑体"/>
                <w:color w:val="auto"/>
                <w:kern w:val="2"/>
              </w:rPr>
              <w:t xml:space="preserve">  项目与《重点行业挥发性有机物综合治理方案》</w:t>
            </w:r>
            <w:r>
              <w:rPr>
                <w:rFonts w:hint="default" w:ascii="Times New Roman" w:hAnsi="Times New Roman"/>
                <w:color w:val="auto"/>
                <w:kern w:val="2"/>
              </w:rPr>
              <w:t>（</w:t>
            </w:r>
            <w:r>
              <w:rPr>
                <w:rFonts w:hint="default" w:ascii="Times New Roman" w:hAnsi="Times New Roman" w:eastAsia="黑体"/>
                <w:color w:val="auto"/>
                <w:kern w:val="2"/>
              </w:rPr>
              <w:t>环大气〔2019〕53号</w:t>
            </w:r>
            <w:r>
              <w:rPr>
                <w:rFonts w:hint="default" w:ascii="Times New Roman" w:hAnsi="Times New Roman"/>
                <w:color w:val="auto"/>
                <w:kern w:val="2"/>
              </w:rPr>
              <w:t>）</w:t>
            </w:r>
            <w:r>
              <w:rPr>
                <w:rFonts w:hint="default" w:ascii="Times New Roman" w:hAnsi="Times New Roman" w:eastAsia="黑体"/>
                <w:color w:val="auto"/>
                <w:kern w:val="2"/>
              </w:rPr>
              <w:t>符合性分析</w:t>
            </w:r>
          </w:p>
          <w:tbl>
            <w:tblPr>
              <w:tblStyle w:val="23"/>
              <w:tblW w:w="0" w:type="auto"/>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77"/>
              <w:gridCol w:w="2693"/>
              <w:gridCol w:w="1984"/>
              <w:gridCol w:w="1378"/>
            </w:tblGrid>
            <w:tr w14:paraId="27DC536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77" w:type="dxa"/>
                  <w:tcBorders>
                    <w:top w:val="single" w:color="auto" w:sz="12" w:space="0"/>
                    <w:left w:val="nil"/>
                    <w:bottom w:val="single" w:color="000000" w:sz="4" w:space="0"/>
                    <w:right w:val="single" w:color="000000" w:sz="4" w:space="0"/>
                  </w:tcBorders>
                  <w:vAlign w:val="center"/>
                </w:tcPr>
                <w:p w14:paraId="39430F85">
                  <w:pPr>
                    <w:keepNext w:val="0"/>
                    <w:keepLines w:val="0"/>
                    <w:widowControl/>
                    <w:suppressLineNumbers w:val="0"/>
                    <w:wordWrap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序号</w:t>
                  </w:r>
                </w:p>
              </w:tc>
              <w:tc>
                <w:tcPr>
                  <w:tcW w:w="2693" w:type="dxa"/>
                  <w:tcBorders>
                    <w:top w:val="single" w:color="auto" w:sz="12" w:space="0"/>
                    <w:left w:val="single" w:color="000000" w:sz="4" w:space="0"/>
                    <w:bottom w:val="single" w:color="000000" w:sz="4" w:space="0"/>
                    <w:right w:val="single" w:color="000000" w:sz="4" w:space="0"/>
                  </w:tcBorders>
                  <w:vAlign w:val="center"/>
                </w:tcPr>
                <w:p w14:paraId="5935867F">
                  <w:pPr>
                    <w:keepNext w:val="0"/>
                    <w:keepLines w:val="0"/>
                    <w:widowControl/>
                    <w:suppressLineNumbers w:val="0"/>
                    <w:wordWrap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相关要求</w:t>
                  </w:r>
                </w:p>
              </w:tc>
              <w:tc>
                <w:tcPr>
                  <w:tcW w:w="1984" w:type="dxa"/>
                  <w:tcBorders>
                    <w:top w:val="single" w:color="auto" w:sz="12" w:space="0"/>
                    <w:left w:val="single" w:color="000000" w:sz="4" w:space="0"/>
                    <w:bottom w:val="single" w:color="000000" w:sz="4" w:space="0"/>
                    <w:right w:val="single" w:color="000000" w:sz="4" w:space="0"/>
                  </w:tcBorders>
                  <w:vAlign w:val="center"/>
                </w:tcPr>
                <w:p w14:paraId="34587074">
                  <w:pPr>
                    <w:keepNext w:val="0"/>
                    <w:keepLines w:val="0"/>
                    <w:widowControl/>
                    <w:suppressLineNumbers w:val="0"/>
                    <w:wordWrap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本项目情况</w:t>
                  </w:r>
                </w:p>
              </w:tc>
              <w:tc>
                <w:tcPr>
                  <w:tcW w:w="1378" w:type="dxa"/>
                  <w:tcBorders>
                    <w:top w:val="single" w:color="auto" w:sz="12" w:space="0"/>
                    <w:left w:val="single" w:color="000000" w:sz="4" w:space="0"/>
                    <w:bottom w:val="single" w:color="000000" w:sz="4" w:space="0"/>
                    <w:right w:val="nil"/>
                  </w:tcBorders>
                  <w:vAlign w:val="center"/>
                </w:tcPr>
                <w:p w14:paraId="7635550F">
                  <w:pPr>
                    <w:keepNext w:val="0"/>
                    <w:keepLines w:val="0"/>
                    <w:widowControl/>
                    <w:suppressLineNumbers w:val="0"/>
                    <w:wordWrap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符合性分析</w:t>
                  </w:r>
                </w:p>
              </w:tc>
            </w:tr>
            <w:tr w14:paraId="22148CE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77" w:type="dxa"/>
                  <w:tcBorders>
                    <w:top w:val="single" w:color="000000" w:sz="4" w:space="0"/>
                    <w:left w:val="nil"/>
                    <w:bottom w:val="single" w:color="auto" w:sz="12" w:space="0"/>
                    <w:right w:val="single" w:color="000000" w:sz="4" w:space="0"/>
                  </w:tcBorders>
                  <w:vAlign w:val="center"/>
                </w:tcPr>
                <w:p w14:paraId="031D49D8">
                  <w:pPr>
                    <w:keepNext w:val="0"/>
                    <w:keepLines w:val="0"/>
                    <w:widowControl/>
                    <w:suppressLineNumbers w:val="0"/>
                    <w:wordWrap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3</w:t>
                  </w:r>
                </w:p>
              </w:tc>
              <w:tc>
                <w:tcPr>
                  <w:tcW w:w="2693" w:type="dxa"/>
                  <w:tcBorders>
                    <w:top w:val="single" w:color="000000" w:sz="4" w:space="0"/>
                    <w:left w:val="single" w:color="000000" w:sz="4" w:space="0"/>
                    <w:bottom w:val="single" w:color="auto" w:sz="12" w:space="0"/>
                    <w:right w:val="single" w:color="000000" w:sz="4" w:space="0"/>
                  </w:tcBorders>
                  <w:vAlign w:val="center"/>
                </w:tcPr>
                <w:p w14:paraId="64E46C30">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w:t>
                  </w:r>
                  <w:r>
                    <w:rPr>
                      <w:rFonts w:hint="eastAsia" w:ascii="Times New Roman" w:hAnsi="Times New Roman"/>
                      <w:color w:val="auto"/>
                      <w:kern w:val="2"/>
                      <w:sz w:val="21"/>
                      <w:szCs w:val="21"/>
                    </w:rPr>
                    <w:t>表面热处理</w:t>
                  </w:r>
                  <w:r>
                    <w:rPr>
                      <w:rFonts w:hint="default" w:ascii="Times New Roman" w:hAnsi="Times New Roman"/>
                      <w:color w:val="auto"/>
                      <w:kern w:val="2"/>
                      <w:sz w:val="21"/>
                      <w:szCs w:val="21"/>
                    </w:rPr>
                    <w:t>、催化燃烧等技术。油气（溶剂）回收宜采用冷凝+吸附、吸附+吸收、膜分离+吸附等技术。低温等离子、光催化、光氧化技术主要适用于恶臭异味等治理；生物法主要适用于低浓度VOCs废气治理和恶臭异味治理。非水溶性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tc>
              <w:tc>
                <w:tcPr>
                  <w:tcW w:w="1984" w:type="dxa"/>
                  <w:tcBorders>
                    <w:top w:val="single" w:color="000000" w:sz="4" w:space="0"/>
                    <w:left w:val="single" w:color="000000" w:sz="4" w:space="0"/>
                    <w:bottom w:val="single" w:color="auto" w:sz="12" w:space="0"/>
                    <w:right w:val="single" w:color="000000" w:sz="4" w:space="0"/>
                  </w:tcBorders>
                  <w:vAlign w:val="center"/>
                </w:tcPr>
                <w:p w14:paraId="70D2BC14">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bCs/>
                      <w:color w:val="auto"/>
                      <w:kern w:val="2"/>
                      <w:sz w:val="21"/>
                      <w:szCs w:val="21"/>
                    </w:rPr>
                    <w:t>本项目</w:t>
                  </w:r>
                  <w:r>
                    <w:rPr>
                      <w:rFonts w:hint="eastAsia" w:ascii="Times New Roman" w:hAnsi="Times New Roman"/>
                      <w:color w:val="auto"/>
                      <w:kern w:val="2"/>
                      <w:sz w:val="21"/>
                      <w:szCs w:val="21"/>
                    </w:rPr>
                    <w:t>清洗废气（G</w:t>
                  </w:r>
                  <w:r>
                    <w:rPr>
                      <w:rFonts w:hint="eastAsia" w:ascii="Times New Roman" w:hAnsi="Times New Roman"/>
                      <w:color w:val="auto"/>
                      <w:kern w:val="2"/>
                      <w:sz w:val="21"/>
                      <w:szCs w:val="21"/>
                      <w:vertAlign w:val="subscript"/>
                      <w:lang w:val="en-US" w:eastAsia="zh-CN"/>
                    </w:rPr>
                    <w:t>3</w:t>
                  </w:r>
                  <w:r>
                    <w:rPr>
                      <w:rFonts w:hint="eastAsia" w:ascii="Times New Roman" w:hAnsi="Times New Roman"/>
                      <w:color w:val="auto"/>
                      <w:kern w:val="2"/>
                      <w:sz w:val="21"/>
                      <w:szCs w:val="21"/>
                    </w:rPr>
                    <w:t>）</w:t>
                  </w:r>
                  <w:r>
                    <w:rPr>
                      <w:rFonts w:hint="eastAsia" w:ascii="Times New Roman" w:hAnsi="Times New Roman"/>
                      <w:color w:val="auto"/>
                      <w:kern w:val="2"/>
                      <w:sz w:val="21"/>
                      <w:szCs w:val="21"/>
                      <w:lang w:eastAsia="zh-CN"/>
                    </w:rPr>
                    <w:t>、</w:t>
                  </w:r>
                  <w:r>
                    <w:rPr>
                      <w:rFonts w:hint="eastAsia" w:ascii="Times New Roman" w:hAnsi="Times New Roman"/>
                      <w:color w:val="auto"/>
                      <w:kern w:val="2"/>
                      <w:sz w:val="21"/>
                      <w:szCs w:val="21"/>
                      <w:lang w:val="en-US" w:eastAsia="zh-CN"/>
                    </w:rPr>
                    <w:t>蒸馏再生废气</w:t>
                  </w:r>
                  <w:r>
                    <w:rPr>
                      <w:rFonts w:hint="eastAsia" w:ascii="Times New Roman" w:hAnsi="Times New Roman"/>
                      <w:color w:val="auto"/>
                      <w:kern w:val="2"/>
                      <w:sz w:val="21"/>
                      <w:szCs w:val="21"/>
                    </w:rPr>
                    <w:t>（G</w:t>
                  </w:r>
                  <w:r>
                    <w:rPr>
                      <w:rFonts w:hint="eastAsia" w:ascii="Times New Roman" w:hAnsi="Times New Roman"/>
                      <w:color w:val="auto"/>
                      <w:kern w:val="2"/>
                      <w:sz w:val="21"/>
                      <w:szCs w:val="21"/>
                      <w:vertAlign w:val="subscript"/>
                      <w:lang w:val="en-US" w:eastAsia="zh-CN"/>
                    </w:rPr>
                    <w:t>4</w:t>
                  </w:r>
                  <w:r>
                    <w:rPr>
                      <w:rFonts w:hint="eastAsia" w:ascii="Times New Roman" w:hAnsi="Times New Roman"/>
                      <w:color w:val="auto"/>
                      <w:kern w:val="2"/>
                      <w:sz w:val="21"/>
                      <w:szCs w:val="21"/>
                    </w:rPr>
                    <w:t>）经密闭管道收集后进入“二级活性炭吸附装置”（TA001）处理后经15m高排气筒（DA001）排放</w:t>
                  </w:r>
                  <w:r>
                    <w:rPr>
                      <w:rFonts w:hint="eastAsia" w:ascii="Times New Roman" w:hAnsi="Times New Roman"/>
                      <w:bCs/>
                      <w:color w:val="auto"/>
                      <w:kern w:val="2"/>
                      <w:sz w:val="21"/>
                      <w:szCs w:val="21"/>
                    </w:rPr>
                    <w:t>。</w:t>
                  </w:r>
                  <w:r>
                    <w:rPr>
                      <w:rFonts w:hint="eastAsia"/>
                      <w:color w:val="auto"/>
                      <w:kern w:val="2"/>
                      <w:sz w:val="21"/>
                      <w:szCs w:val="21"/>
                    </w:rPr>
                    <w:t>根据工程分析，项目清洗工序的废气为低浓度</w:t>
                  </w:r>
                  <w:r>
                    <w:rPr>
                      <w:rFonts w:hint="default" w:ascii="Times New Roman" w:hAnsi="Times New Roman"/>
                      <w:color w:val="auto"/>
                      <w:kern w:val="2"/>
                      <w:sz w:val="21"/>
                      <w:szCs w:val="21"/>
                    </w:rPr>
                    <w:t>VOCs废气</w:t>
                  </w:r>
                  <w:r>
                    <w:rPr>
                      <w:rFonts w:hint="eastAsia"/>
                      <w:color w:val="auto"/>
                      <w:kern w:val="2"/>
                      <w:sz w:val="21"/>
                      <w:szCs w:val="21"/>
                    </w:rPr>
                    <w:t>。</w:t>
                  </w:r>
                  <w:r>
                    <w:rPr>
                      <w:rFonts w:hint="eastAsia"/>
                      <w:color w:val="auto"/>
                      <w:kern w:val="2"/>
                      <w:sz w:val="21"/>
                      <w:szCs w:val="21"/>
                      <w:lang w:val="en-US" w:eastAsia="zh-CN"/>
                    </w:rPr>
                    <w:t>本项目活性炭的更换周期为</w:t>
                  </w:r>
                  <w:r>
                    <w:rPr>
                      <w:rFonts w:hint="eastAsia"/>
                      <w:color w:val="auto"/>
                      <w:kern w:val="2"/>
                      <w:sz w:val="21"/>
                      <w:szCs w:val="21"/>
                      <w:highlight w:val="none"/>
                      <w:lang w:val="en-US" w:eastAsia="zh-CN"/>
                    </w:rPr>
                    <w:t>一季度</w:t>
                  </w:r>
                  <w:r>
                    <w:rPr>
                      <w:rFonts w:hint="eastAsia"/>
                      <w:color w:val="auto"/>
                      <w:kern w:val="2"/>
                      <w:sz w:val="21"/>
                      <w:szCs w:val="21"/>
                      <w:lang w:val="en-US" w:eastAsia="zh-CN"/>
                    </w:rPr>
                    <w:t>更换一次，</w:t>
                  </w:r>
                  <w:r>
                    <w:rPr>
                      <w:rFonts w:hint="eastAsia"/>
                      <w:color w:val="auto"/>
                      <w:kern w:val="2"/>
                      <w:sz w:val="21"/>
                      <w:szCs w:val="21"/>
                    </w:rPr>
                    <w:t>收集后暂存于危废暂存间，委托有资质单位定期处置</w:t>
                  </w:r>
                </w:p>
              </w:tc>
              <w:tc>
                <w:tcPr>
                  <w:tcW w:w="1378" w:type="dxa"/>
                  <w:tcBorders>
                    <w:top w:val="single" w:color="000000" w:sz="4" w:space="0"/>
                    <w:left w:val="single" w:color="000000" w:sz="4" w:space="0"/>
                    <w:bottom w:val="single" w:color="auto" w:sz="12" w:space="0"/>
                    <w:right w:val="nil"/>
                  </w:tcBorders>
                  <w:vAlign w:val="center"/>
                </w:tcPr>
                <w:p w14:paraId="65BCA788">
                  <w:pPr>
                    <w:keepNext w:val="0"/>
                    <w:keepLines w:val="0"/>
                    <w:widowControl/>
                    <w:suppressLineNumbers w:val="0"/>
                    <w:wordWrap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bl>
          <w:p w14:paraId="0D01DD7C">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eastAsia="黑体"/>
                <w:color w:val="auto"/>
                <w:kern w:val="2"/>
              </w:rPr>
            </w:pPr>
            <w:r>
              <w:rPr>
                <w:rFonts w:hint="eastAsia" w:ascii="Times New Roman" w:hAnsi="Times New Roman"/>
                <w:b/>
                <w:color w:val="auto"/>
                <w:kern w:val="2"/>
              </w:rPr>
              <w:t>5</w:t>
            </w:r>
            <w:r>
              <w:rPr>
                <w:rFonts w:hint="default" w:ascii="Times New Roman" w:hAnsi="Times New Roman"/>
                <w:b/>
                <w:color w:val="auto"/>
                <w:kern w:val="2"/>
              </w:rPr>
              <w:t>、与关于印发《安徽省低挥发性有机物含量原辅材料替代工作方案》（皖环发〔2024〕1号）的通知相符性分析</w:t>
            </w:r>
          </w:p>
          <w:p w14:paraId="44339091">
            <w:pPr>
              <w:keepNext w:val="0"/>
              <w:keepLines w:val="0"/>
              <w:widowControl/>
              <w:suppressLineNumbers w:val="0"/>
              <w:spacing w:before="0" w:beforeAutospacing="0" w:after="0" w:afterAutospacing="0" w:line="360" w:lineRule="auto"/>
              <w:ind w:left="0" w:right="0" w:firstLine="480" w:firstLineChars="200"/>
              <w:jc w:val="center"/>
              <w:rPr>
                <w:rFonts w:hint="default" w:ascii="Times New Roman" w:hAnsi="Times New Roman" w:eastAsia="黑体"/>
                <w:color w:val="auto"/>
                <w:kern w:val="2"/>
              </w:rPr>
            </w:pPr>
            <w:r>
              <w:rPr>
                <w:rFonts w:hint="default" w:ascii="Times New Roman" w:hAnsi="Times New Roman" w:eastAsia="黑体"/>
                <w:color w:val="auto"/>
                <w:kern w:val="2"/>
              </w:rPr>
              <w:t>表1-</w:t>
            </w:r>
            <w:r>
              <w:rPr>
                <w:rFonts w:hint="eastAsia" w:ascii="Times New Roman" w:hAnsi="Times New Roman" w:eastAsia="黑体"/>
                <w:color w:val="auto"/>
                <w:kern w:val="2"/>
              </w:rPr>
              <w:t>5</w:t>
            </w:r>
            <w:r>
              <w:rPr>
                <w:rFonts w:hint="default" w:ascii="Times New Roman" w:hAnsi="Times New Roman" w:eastAsia="黑体"/>
                <w:color w:val="auto"/>
                <w:kern w:val="2"/>
              </w:rPr>
              <w:t xml:space="preserve">  与关于印发《安徽省低挥发性有机物含量原辅材料替代工作方案》（皖环发〔2024〕1号</w:t>
            </w:r>
            <w:r>
              <w:rPr>
                <w:rFonts w:hint="default" w:ascii="Times New Roman" w:hAnsi="Times New Roman"/>
                <w:color w:val="auto"/>
                <w:kern w:val="2"/>
              </w:rPr>
              <w:t>）</w:t>
            </w:r>
            <w:r>
              <w:rPr>
                <w:rFonts w:hint="default" w:ascii="Times New Roman" w:hAnsi="Times New Roman" w:eastAsia="黑体"/>
                <w:color w:val="auto"/>
                <w:kern w:val="2"/>
              </w:rPr>
              <w:t>的通知相符性分析</w:t>
            </w:r>
          </w:p>
          <w:tbl>
            <w:tblPr>
              <w:tblStyle w:val="23"/>
              <w:tblW w:w="0" w:type="auto"/>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77"/>
              <w:gridCol w:w="2465"/>
              <w:gridCol w:w="2638"/>
              <w:gridCol w:w="952"/>
            </w:tblGrid>
            <w:tr w14:paraId="211D6B12">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77" w:type="dxa"/>
                  <w:vAlign w:val="center"/>
                </w:tcPr>
                <w:p w14:paraId="4123415C">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序号</w:t>
                  </w:r>
                </w:p>
              </w:tc>
              <w:tc>
                <w:tcPr>
                  <w:tcW w:w="2465" w:type="dxa"/>
                  <w:vAlign w:val="center"/>
                </w:tcPr>
                <w:p w14:paraId="7FA5F4AF">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相关要求</w:t>
                  </w:r>
                </w:p>
              </w:tc>
              <w:tc>
                <w:tcPr>
                  <w:tcW w:w="2638" w:type="dxa"/>
                  <w:vAlign w:val="center"/>
                </w:tcPr>
                <w:p w14:paraId="48B6D897">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本项目情况</w:t>
                  </w:r>
                </w:p>
              </w:tc>
              <w:tc>
                <w:tcPr>
                  <w:tcW w:w="952" w:type="dxa"/>
                  <w:vAlign w:val="center"/>
                </w:tcPr>
                <w:p w14:paraId="6E909168">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相符性</w:t>
                  </w:r>
                </w:p>
              </w:tc>
            </w:tr>
            <w:tr w14:paraId="52C935B3">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77" w:type="dxa"/>
                  <w:vAlign w:val="center"/>
                </w:tcPr>
                <w:p w14:paraId="5D0449D2">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1</w:t>
                  </w:r>
                </w:p>
              </w:tc>
              <w:tc>
                <w:tcPr>
                  <w:tcW w:w="2465" w:type="dxa"/>
                  <w:vAlign w:val="center"/>
                </w:tcPr>
                <w:p w14:paraId="69F10F67">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加强替代管理。工业涂装、包装印刷、竹木加工、家具制造、汽车修理与维护、鞋和皮革制品制造等重点行业企业，要按照《低挥发性有机物含量原辅材料源头替代技术指引（试行）》要求，开展低VOCs原辅材料和生产方式替代，优化管控台账及档案管理，持续提升环境管理水平</w:t>
                  </w:r>
                </w:p>
              </w:tc>
              <w:tc>
                <w:tcPr>
                  <w:tcW w:w="2638" w:type="dxa"/>
                  <w:vMerge w:val="restart"/>
                  <w:vAlign w:val="center"/>
                </w:tcPr>
                <w:p w14:paraId="7764EA52">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本项目主要从事汽车零部件及配件制造，属于C3670汽车零部件及配件制造，</w:t>
                  </w:r>
                  <w:r>
                    <w:rPr>
                      <w:rFonts w:hint="eastAsia" w:ascii="Times New Roman" w:hAnsi="Times New Roman"/>
                      <w:color w:val="auto"/>
                      <w:kern w:val="2"/>
                      <w:sz w:val="21"/>
                      <w:szCs w:val="21"/>
                    </w:rPr>
                    <w:t>根据</w:t>
                  </w:r>
                  <w:r>
                    <w:rPr>
                      <w:rFonts w:hint="default" w:ascii="Times New Roman" w:hAnsi="Times New Roman"/>
                      <w:color w:val="auto"/>
                      <w:kern w:val="2"/>
                      <w:sz w:val="21"/>
                      <w:szCs w:val="21"/>
                    </w:rPr>
                    <w:t>碳氢清洗剂</w:t>
                  </w:r>
                  <w:r>
                    <w:rPr>
                      <w:rFonts w:hint="eastAsia" w:ascii="Times New Roman" w:hAnsi="Times New Roman"/>
                      <w:color w:val="auto"/>
                      <w:kern w:val="2"/>
                      <w:sz w:val="21"/>
                      <w:szCs w:val="21"/>
                    </w:rPr>
                    <w:t>MSDS，</w:t>
                  </w:r>
                  <w:r>
                    <w:rPr>
                      <w:rFonts w:hint="default" w:ascii="Times New Roman" w:hAnsi="Times New Roman"/>
                      <w:color w:val="auto"/>
                      <w:kern w:val="2"/>
                      <w:sz w:val="21"/>
                      <w:szCs w:val="21"/>
                    </w:rPr>
                    <w:t>本项目碳氢清洗剂密度0.65g/cm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，其中挥发性有机物含量99%，挥发性有机物含量为0.65</w:t>
                  </w:r>
                  <w:r>
                    <w:rPr>
                      <w:rFonts w:hint="eastAsia" w:ascii="Times New Roman" w:hAnsi="Times New Roman"/>
                      <w:color w:val="auto"/>
                      <w:kern w:val="2"/>
                      <w:sz w:val="21"/>
                      <w:szCs w:val="21"/>
                    </w:rPr>
                    <w:t>×</w:t>
                  </w:r>
                  <w:r>
                    <w:rPr>
                      <w:rFonts w:hint="default" w:ascii="Times New Roman" w:hAnsi="Times New Roman"/>
                      <w:color w:val="auto"/>
                      <w:kern w:val="2"/>
                      <w:sz w:val="21"/>
                      <w:szCs w:val="21"/>
                    </w:rPr>
                    <w:t>99%=0.6435g/cm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=643.5g/L≤900g/L，符合《清洗剂挥发性有机化合物含量限值》（GB38508-2020）表1清洗剂VOC含量及特定挥发性有机物限制要求，满足有机溶剂清洗剂VOC含量≤900g/L。</w:t>
                  </w:r>
                  <w:r>
                    <w:rPr>
                      <w:rFonts w:hint="eastAsia" w:ascii="Times New Roman" w:hAnsi="Times New Roman"/>
                      <w:color w:val="auto"/>
                      <w:kern w:val="2"/>
                      <w:sz w:val="21"/>
                      <w:szCs w:val="21"/>
                    </w:rPr>
                    <w:t>根据</w:t>
                  </w:r>
                  <w:r>
                    <w:rPr>
                      <w:rFonts w:hint="default" w:ascii="Times New Roman" w:hAnsi="Times New Roman"/>
                      <w:color w:val="auto"/>
                      <w:kern w:val="2"/>
                      <w:sz w:val="21"/>
                      <w:szCs w:val="21"/>
                    </w:rPr>
                    <w:t>密封胶</w:t>
                  </w:r>
                  <w:r>
                    <w:rPr>
                      <w:rFonts w:hint="eastAsia" w:ascii="Times New Roman" w:hAnsi="Times New Roman"/>
                      <w:color w:val="auto"/>
                      <w:kern w:val="2"/>
                      <w:sz w:val="21"/>
                      <w:szCs w:val="21"/>
                    </w:rPr>
                    <w:t>MSDS</w:t>
                  </w:r>
                  <w:r>
                    <w:rPr>
                      <w:rFonts w:hint="eastAsia" w:ascii="Times New Roman" w:hAnsi="Times New Roman"/>
                      <w:color w:val="auto"/>
                      <w:kern w:val="2"/>
                      <w:sz w:val="21"/>
                      <w:szCs w:val="21"/>
                      <w:lang w:eastAsia="zh-CN"/>
                    </w:rPr>
                    <w:t>、</w:t>
                  </w:r>
                  <w:r>
                    <w:rPr>
                      <w:rFonts w:hint="eastAsia" w:ascii="Times New Roman" w:hAnsi="Times New Roman"/>
                      <w:color w:val="auto"/>
                      <w:kern w:val="2"/>
                      <w:sz w:val="21"/>
                      <w:szCs w:val="21"/>
                      <w:lang w:val="en-US" w:eastAsia="zh-CN"/>
                    </w:rPr>
                    <w:t>VOC检测报告</w:t>
                  </w:r>
                  <w:r>
                    <w:rPr>
                      <w:rFonts w:hint="eastAsia" w:ascii="Times New Roman" w:hAnsi="Times New Roman"/>
                      <w:color w:val="auto"/>
                      <w:kern w:val="2"/>
                      <w:sz w:val="21"/>
                      <w:szCs w:val="21"/>
                    </w:rPr>
                    <w:t>，</w:t>
                  </w:r>
                  <w:r>
                    <w:rPr>
                      <w:rFonts w:hint="default" w:ascii="Times New Roman" w:hAnsi="Times New Roman"/>
                      <w:color w:val="auto"/>
                      <w:kern w:val="2"/>
                      <w:sz w:val="21"/>
                      <w:szCs w:val="21"/>
                    </w:rPr>
                    <w:t>密封胶密度1.1g/cm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，其中挥发性有机物含量</w:t>
                  </w:r>
                  <w:r>
                    <w:rPr>
                      <w:rFonts w:hint="eastAsia" w:ascii="Times New Roman" w:hAnsi="Times New Roman"/>
                      <w:color w:val="auto"/>
                      <w:kern w:val="2"/>
                      <w:sz w:val="21"/>
                      <w:szCs w:val="21"/>
                      <w:lang w:eastAsia="zh-CN"/>
                    </w:rPr>
                    <w:t>为</w:t>
                  </w:r>
                  <w:r>
                    <w:rPr>
                      <w:rFonts w:hint="eastAsia" w:ascii="Times New Roman" w:hAnsi="Times New Roman"/>
                      <w:color w:val="auto"/>
                      <w:kern w:val="2"/>
                      <w:sz w:val="21"/>
                      <w:szCs w:val="21"/>
                      <w:lang w:val="en-US" w:eastAsia="zh-CN"/>
                    </w:rPr>
                    <w:t>7g/kg</w:t>
                  </w:r>
                  <w:r>
                    <w:rPr>
                      <w:rFonts w:hint="default" w:ascii="Times New Roman" w:hAnsi="Times New Roman"/>
                      <w:color w:val="auto"/>
                      <w:kern w:val="2"/>
                      <w:sz w:val="21"/>
                      <w:szCs w:val="21"/>
                    </w:rPr>
                    <w:t>=0.0</w:t>
                  </w:r>
                  <w:r>
                    <w:rPr>
                      <w:rFonts w:hint="eastAsia" w:ascii="Times New Roman" w:hAnsi="Times New Roman"/>
                      <w:color w:val="auto"/>
                      <w:kern w:val="2"/>
                      <w:sz w:val="21"/>
                      <w:szCs w:val="21"/>
                      <w:lang w:val="en-US" w:eastAsia="zh-CN"/>
                    </w:rPr>
                    <w:t>077</w:t>
                  </w:r>
                  <w:r>
                    <w:rPr>
                      <w:rFonts w:hint="default" w:ascii="Times New Roman" w:hAnsi="Times New Roman"/>
                      <w:color w:val="auto"/>
                      <w:kern w:val="2"/>
                      <w:sz w:val="21"/>
                      <w:szCs w:val="21"/>
                    </w:rPr>
                    <w:t>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w:t>
                  </w:r>
                  <w:r>
                    <w:rPr>
                      <w:rFonts w:hint="eastAsia" w:ascii="Times New Roman" w:hAnsi="Times New Roman"/>
                      <w:color w:val="auto"/>
                      <w:kern w:val="2"/>
                      <w:sz w:val="21"/>
                      <w:szCs w:val="21"/>
                      <w:lang w:val="en-US" w:eastAsia="zh-CN"/>
                    </w:rPr>
                    <w:t>7.7</w:t>
                  </w:r>
                  <w:r>
                    <w:rPr>
                      <w:rFonts w:hint="default" w:ascii="Times New Roman" w:hAnsi="Times New Roman"/>
                      <w:color w:val="auto"/>
                      <w:kern w:val="2"/>
                      <w:sz w:val="21"/>
                      <w:szCs w:val="21"/>
                    </w:rPr>
                    <w:t>g/L≤50g/L，符合《胶粘剂挥发性有机化合物限量》（GB 33372-2020）表3本体型胶粘剂中环氧树脂类VOC含量的要求≤50g/L</w:t>
                  </w:r>
                  <w:r>
                    <w:rPr>
                      <w:rFonts w:hint="eastAsia"/>
                      <w:color w:val="auto"/>
                      <w:kern w:val="2"/>
                      <w:sz w:val="21"/>
                      <w:szCs w:val="21"/>
                    </w:rPr>
                    <w:t>，符合</w:t>
                  </w:r>
                  <w:r>
                    <w:rPr>
                      <w:rFonts w:hint="default" w:ascii="Times New Roman" w:hAnsi="Times New Roman"/>
                      <w:color w:val="auto"/>
                      <w:kern w:val="2"/>
                      <w:sz w:val="21"/>
                      <w:szCs w:val="21"/>
                    </w:rPr>
                    <w:t>《低挥发性有机物含量原辅材料源头替代技术指引（试行）》要求</w:t>
                  </w:r>
                </w:p>
              </w:tc>
              <w:tc>
                <w:tcPr>
                  <w:tcW w:w="952" w:type="dxa"/>
                  <w:vAlign w:val="center"/>
                </w:tcPr>
                <w:p w14:paraId="37F50C7B">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r w14:paraId="00F88594">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777" w:type="dxa"/>
                  <w:vAlign w:val="center"/>
                </w:tcPr>
                <w:p w14:paraId="51F07E4C">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2</w:t>
                  </w:r>
                </w:p>
              </w:tc>
              <w:tc>
                <w:tcPr>
                  <w:tcW w:w="2465" w:type="dxa"/>
                  <w:vAlign w:val="center"/>
                </w:tcPr>
                <w:p w14:paraId="2F9033F3">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禁止建设生产和使用高VOCs含量的溶剂型涂料、油墨、胶黏剂等项目，全省工业涂装、包装印刷等重点行业和涂料、油墨等生产企业的新（改、扩）建项目需满足低（无）VOCs含量限值要求</w:t>
                  </w:r>
                </w:p>
              </w:tc>
              <w:tc>
                <w:tcPr>
                  <w:tcW w:w="2638" w:type="dxa"/>
                  <w:vMerge w:val="continue"/>
                  <w:vAlign w:val="center"/>
                </w:tcPr>
                <w:p w14:paraId="64E4D842">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p>
              </w:tc>
              <w:tc>
                <w:tcPr>
                  <w:tcW w:w="952" w:type="dxa"/>
                  <w:vAlign w:val="center"/>
                </w:tcPr>
                <w:p w14:paraId="4FC0D452">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bl>
          <w:p w14:paraId="76FAA2FC">
            <w:pPr>
              <w:keepNext w:val="0"/>
              <w:keepLines w:val="0"/>
              <w:widowControl/>
              <w:numPr>
                <w:ilvl w:val="0"/>
                <w:numId w:val="1"/>
              </w:numPr>
              <w:suppressLineNumbers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default" w:ascii="Times New Roman" w:hAnsi="Times New Roman"/>
                <w:b/>
                <w:color w:val="auto"/>
                <w:kern w:val="2"/>
              </w:rPr>
              <w:t>与《安徽省生态环境厅关于全面推进挥发性有机物综合治理工作的通知》（各类领导小组发文[2019]201号）相符性分析</w:t>
            </w:r>
          </w:p>
          <w:p w14:paraId="201ACC11">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color w:val="auto"/>
                <w:kern w:val="2"/>
              </w:rPr>
            </w:pPr>
            <w:r>
              <w:rPr>
                <w:rFonts w:hint="default" w:ascii="Times New Roman" w:hAnsi="Times New Roman" w:eastAsia="黑体"/>
                <w:color w:val="auto"/>
                <w:kern w:val="2"/>
              </w:rPr>
              <w:t>表1-</w:t>
            </w:r>
            <w:r>
              <w:rPr>
                <w:rFonts w:hint="eastAsia" w:ascii="Times New Roman" w:hAnsi="Times New Roman" w:eastAsia="黑体"/>
                <w:color w:val="auto"/>
                <w:kern w:val="2"/>
              </w:rPr>
              <w:t>6</w:t>
            </w:r>
            <w:r>
              <w:rPr>
                <w:rFonts w:hint="default" w:ascii="Times New Roman" w:hAnsi="Times New Roman" w:eastAsia="黑体"/>
                <w:color w:val="auto"/>
                <w:kern w:val="2"/>
              </w:rPr>
              <w:t xml:space="preserve">  与《安徽省生态环境厅关于全面推进挥发性有机物综合治理工作的通知》（类领导小组发文[2019]201号</w:t>
            </w:r>
            <w:r>
              <w:rPr>
                <w:rFonts w:hint="default" w:ascii="Times New Roman" w:hAnsi="Times New Roman"/>
                <w:color w:val="auto"/>
                <w:kern w:val="2"/>
              </w:rPr>
              <w:t>）</w:t>
            </w:r>
            <w:r>
              <w:rPr>
                <w:rFonts w:hint="default" w:ascii="Times New Roman" w:hAnsi="Times New Roman" w:eastAsia="黑体"/>
                <w:color w:val="auto"/>
                <w:kern w:val="2"/>
              </w:rPr>
              <w:t>各相符性分析</w:t>
            </w:r>
          </w:p>
          <w:tbl>
            <w:tblPr>
              <w:tblStyle w:val="23"/>
              <w:tblW w:w="4998"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15"/>
              <w:gridCol w:w="3733"/>
              <w:gridCol w:w="1473"/>
              <w:gridCol w:w="1147"/>
            </w:tblGrid>
            <w:tr w14:paraId="5BDED35A">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pct"/>
                  <w:tcBorders>
                    <w:top w:val="single" w:color="auto" w:sz="12" w:space="0"/>
                    <w:left w:val="nil"/>
                    <w:bottom w:val="single" w:color="000000" w:sz="4" w:space="0"/>
                    <w:right w:val="single" w:color="000000" w:sz="4" w:space="0"/>
                  </w:tcBorders>
                  <w:vAlign w:val="center"/>
                </w:tcPr>
                <w:p w14:paraId="3608FBC1">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序号</w:t>
                  </w:r>
                </w:p>
              </w:tc>
              <w:tc>
                <w:tcPr>
                  <w:tcW w:w="2603" w:type="pct"/>
                  <w:tcBorders>
                    <w:top w:val="single" w:color="auto" w:sz="12" w:space="0"/>
                    <w:left w:val="single" w:color="000000" w:sz="4" w:space="0"/>
                    <w:bottom w:val="single" w:color="000000" w:sz="4" w:space="0"/>
                    <w:right w:val="single" w:color="000000" w:sz="4" w:space="0"/>
                  </w:tcBorders>
                  <w:vAlign w:val="center"/>
                </w:tcPr>
                <w:p w14:paraId="5DCDE61B">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相关要求</w:t>
                  </w:r>
                </w:p>
              </w:tc>
              <w:tc>
                <w:tcPr>
                  <w:tcW w:w="1027" w:type="pct"/>
                  <w:tcBorders>
                    <w:top w:val="single" w:color="auto" w:sz="12" w:space="0"/>
                    <w:left w:val="single" w:color="000000" w:sz="4" w:space="0"/>
                    <w:bottom w:val="single" w:color="000000" w:sz="4" w:space="0"/>
                    <w:right w:val="single" w:color="000000" w:sz="4" w:space="0"/>
                  </w:tcBorders>
                  <w:vAlign w:val="center"/>
                </w:tcPr>
                <w:p w14:paraId="3D79D23D">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本项目情况</w:t>
                  </w:r>
                </w:p>
              </w:tc>
              <w:tc>
                <w:tcPr>
                  <w:tcW w:w="800" w:type="pct"/>
                  <w:tcBorders>
                    <w:top w:val="single" w:color="auto" w:sz="12" w:space="0"/>
                    <w:left w:val="single" w:color="000000" w:sz="4" w:space="0"/>
                    <w:bottom w:val="single" w:color="000000" w:sz="4" w:space="0"/>
                    <w:right w:val="nil"/>
                  </w:tcBorders>
                  <w:vAlign w:val="center"/>
                </w:tcPr>
                <w:p w14:paraId="42581023">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相符性</w:t>
                  </w:r>
                </w:p>
              </w:tc>
            </w:tr>
            <w:tr w14:paraId="6843DEB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pct"/>
                  <w:tcBorders>
                    <w:top w:val="single" w:color="000000" w:sz="4" w:space="0"/>
                    <w:left w:val="nil"/>
                    <w:bottom w:val="single" w:color="000000" w:sz="4" w:space="0"/>
                    <w:right w:val="single" w:color="000000" w:sz="4" w:space="0"/>
                  </w:tcBorders>
                  <w:vAlign w:val="center"/>
                </w:tcPr>
                <w:p w14:paraId="2D6D92B8">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1</w:t>
                  </w:r>
                </w:p>
              </w:tc>
              <w:tc>
                <w:tcPr>
                  <w:tcW w:w="2603" w:type="pct"/>
                  <w:tcBorders>
                    <w:top w:val="single" w:color="000000" w:sz="4" w:space="0"/>
                    <w:left w:val="single" w:color="000000" w:sz="4" w:space="0"/>
                    <w:bottom w:val="single" w:color="000000" w:sz="4" w:space="0"/>
                    <w:right w:val="single" w:color="000000" w:sz="4" w:space="0"/>
                  </w:tcBorders>
                  <w:vAlign w:val="center"/>
                </w:tcPr>
                <w:p w14:paraId="25F12CE4">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推动产业结构调整，源头削减VOCs产生。严格环境项目准入，严控新增VOCs排放量，各地要严格限制石化、化工、包装印刷、工业涂装等高VOCs排放建设项目，不得新建未纳入《石化产业规划布局方案》的炼化项目，新建VOCs企业应进入园区。实行区域内VOCs排放等量、倍量削减替代，将替代方案落实到企业排污许可证中，纳入环境执法管理。新改扩建涉VOCs排放项目，应使用低VOCs含量的原辅材料</w:t>
                  </w:r>
                </w:p>
              </w:tc>
              <w:tc>
                <w:tcPr>
                  <w:tcW w:w="1027" w:type="pct"/>
                  <w:tcBorders>
                    <w:top w:val="single" w:color="000000" w:sz="4" w:space="0"/>
                    <w:left w:val="single" w:color="000000" w:sz="4" w:space="0"/>
                    <w:bottom w:val="single" w:color="000000" w:sz="4" w:space="0"/>
                    <w:right w:val="single" w:color="000000" w:sz="4" w:space="0"/>
                  </w:tcBorders>
                  <w:vAlign w:val="center"/>
                </w:tcPr>
                <w:p w14:paraId="52922084">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w:t>
                  </w:r>
                  <w:r>
                    <w:rPr>
                      <w:rFonts w:hint="eastAsia" w:ascii="Times New Roman" w:hAnsi="Times New Roman"/>
                      <w:color w:val="auto"/>
                      <w:kern w:val="2"/>
                      <w:sz w:val="21"/>
                      <w:szCs w:val="21"/>
                    </w:rPr>
                    <w:t>位于安徽省淮南市凤台经济开发区电子智能制造产业园内，</w:t>
                  </w:r>
                  <w:r>
                    <w:rPr>
                      <w:rFonts w:hint="default" w:ascii="Times New Roman" w:hAnsi="Times New Roman"/>
                      <w:color w:val="auto"/>
                      <w:kern w:val="2"/>
                      <w:sz w:val="21"/>
                      <w:szCs w:val="21"/>
                    </w:rPr>
                    <w:t>符合区域生态环境准入要求。生产过程不涉及使用高VOCs含量的原辅料</w:t>
                  </w:r>
                </w:p>
              </w:tc>
              <w:tc>
                <w:tcPr>
                  <w:tcW w:w="800" w:type="pct"/>
                  <w:tcBorders>
                    <w:top w:val="single" w:color="000000" w:sz="4" w:space="0"/>
                    <w:left w:val="single" w:color="000000" w:sz="4" w:space="0"/>
                    <w:bottom w:val="single" w:color="000000" w:sz="4" w:space="0"/>
                    <w:right w:val="nil"/>
                  </w:tcBorders>
                  <w:vAlign w:val="center"/>
                </w:tcPr>
                <w:p w14:paraId="5F1E4510">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r w14:paraId="3F15B9D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68" w:type="pct"/>
                  <w:tcBorders>
                    <w:top w:val="single" w:color="000000" w:sz="4" w:space="0"/>
                    <w:left w:val="nil"/>
                    <w:bottom w:val="single" w:color="auto" w:sz="12" w:space="0"/>
                    <w:right w:val="single" w:color="000000" w:sz="4" w:space="0"/>
                  </w:tcBorders>
                  <w:vAlign w:val="center"/>
                </w:tcPr>
                <w:p w14:paraId="5DC033E1">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2</w:t>
                  </w:r>
                </w:p>
              </w:tc>
              <w:tc>
                <w:tcPr>
                  <w:tcW w:w="2603" w:type="pct"/>
                  <w:tcBorders>
                    <w:top w:val="single" w:color="000000" w:sz="4" w:space="0"/>
                    <w:left w:val="single" w:color="000000" w:sz="4" w:space="0"/>
                    <w:bottom w:val="single" w:color="auto" w:sz="12" w:space="0"/>
                    <w:right w:val="single" w:color="000000" w:sz="4" w:space="0"/>
                  </w:tcBorders>
                  <w:vAlign w:val="center"/>
                </w:tcPr>
                <w:p w14:paraId="74232932">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督促工业企业落实VOCs减排主体责任。2020年底前，石化、现代煤化工行业全面开展泄漏检测与修复（LDAR），并建立健全管理制度，有机液体装卸必须采取全</w:t>
                  </w:r>
                  <w:r>
                    <w:rPr>
                      <w:rFonts w:hint="eastAsia" w:ascii="Times New Roman" w:hAnsi="Times New Roman"/>
                      <w:color w:val="auto"/>
                      <w:kern w:val="2"/>
                      <w:sz w:val="21"/>
                      <w:szCs w:val="21"/>
                    </w:rPr>
                    <w:t>封闭</w:t>
                  </w:r>
                  <w:r>
                    <w:rPr>
                      <w:rFonts w:hint="default" w:ascii="Times New Roman" w:hAnsi="Times New Roman"/>
                      <w:color w:val="auto"/>
                      <w:kern w:val="2"/>
                      <w:sz w:val="21"/>
                      <w:szCs w:val="21"/>
                    </w:rPr>
                    <w:t>底部装载、顶部浸没式装载等方式；集装箱制造行业涂装工序全面使用水性涂料；整车制造企业有机废气收集率不低于90%，其他汽车制造企业不低于80%；木质家具制造行业水性、紫外光固化涂料替代比例达到60%，全面使用水性胶粘剂，有机废气收集效率不低于80%；船舶制造行业60%以上的涂装作业实现</w:t>
                  </w:r>
                  <w:r>
                    <w:rPr>
                      <w:rFonts w:hint="eastAsia" w:ascii="Times New Roman" w:hAnsi="Times New Roman"/>
                      <w:color w:val="auto"/>
                      <w:kern w:val="2"/>
                      <w:sz w:val="21"/>
                      <w:szCs w:val="21"/>
                    </w:rPr>
                    <w:t>封闭</w:t>
                  </w:r>
                  <w:r>
                    <w:rPr>
                      <w:rFonts w:hint="default" w:ascii="Times New Roman" w:hAnsi="Times New Roman"/>
                      <w:color w:val="auto"/>
                      <w:kern w:val="2"/>
                      <w:sz w:val="21"/>
                      <w:szCs w:val="21"/>
                    </w:rPr>
                    <w:t>喷涂施工，有机废气收集率不低于80%；工程机械制造行业高固体分、粉末涂料使用比例不低于30%，有机废气收集率不低于80%；钢结构制造行业高固体分涂料使用比例不低于50%；卷材制造行业有机废气收集率不低于90%；包装印刷行业低VOCs含量绿色原辅材料替代比例不低于70%，塑料软包装领域无溶剂、水性胶等环境友好型复合技术替代比例不低于70%，油墨、胶粘剂等有机原辅材料调配和使用环节有机废气收集率不低于70%</w:t>
                  </w:r>
                </w:p>
              </w:tc>
              <w:tc>
                <w:tcPr>
                  <w:tcW w:w="1027" w:type="pct"/>
                  <w:tcBorders>
                    <w:top w:val="single" w:color="000000" w:sz="4" w:space="0"/>
                    <w:left w:val="single" w:color="000000" w:sz="4" w:space="0"/>
                    <w:bottom w:val="single" w:color="auto" w:sz="12" w:space="0"/>
                    <w:right w:val="single" w:color="000000" w:sz="4" w:space="0"/>
                  </w:tcBorders>
                  <w:vAlign w:val="center"/>
                </w:tcPr>
                <w:p w14:paraId="77AA7A93">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color w:val="auto"/>
                      <w:kern w:val="2"/>
                      <w:sz w:val="21"/>
                      <w:szCs w:val="21"/>
                    </w:rPr>
                    <w:t>清洗</w:t>
                  </w:r>
                  <w:r>
                    <w:rPr>
                      <w:rFonts w:hint="default" w:ascii="Times New Roman"/>
                      <w:color w:val="auto"/>
                      <w:kern w:val="2"/>
                      <w:sz w:val="21"/>
                      <w:szCs w:val="21"/>
                    </w:rPr>
                    <w:t>废气（G</w:t>
                  </w:r>
                  <w:r>
                    <w:rPr>
                      <w:rFonts w:hint="eastAsia" w:ascii="Times New Roman"/>
                      <w:color w:val="auto"/>
                      <w:kern w:val="2"/>
                      <w:sz w:val="21"/>
                      <w:szCs w:val="21"/>
                      <w:vertAlign w:val="subscript"/>
                    </w:rPr>
                    <w:t>3</w:t>
                  </w:r>
                  <w:r>
                    <w:rPr>
                      <w:rFonts w:hint="default" w:ascii="Times New Roman"/>
                      <w:color w:val="auto"/>
                      <w:kern w:val="2"/>
                      <w:sz w:val="21"/>
                      <w:szCs w:val="21"/>
                    </w:rPr>
                    <w:t>）</w:t>
                  </w:r>
                  <w:r>
                    <w:rPr>
                      <w:rFonts w:hint="eastAsia" w:ascii="Times New Roman"/>
                      <w:color w:val="auto"/>
                      <w:kern w:val="2"/>
                      <w:sz w:val="21"/>
                      <w:szCs w:val="21"/>
                      <w:lang w:eastAsia="zh-CN"/>
                    </w:rPr>
                    <w:t>、</w:t>
                  </w:r>
                  <w:r>
                    <w:rPr>
                      <w:rFonts w:hint="eastAsia" w:ascii="Times New Roman"/>
                      <w:color w:val="auto"/>
                      <w:kern w:val="2"/>
                      <w:sz w:val="21"/>
                      <w:szCs w:val="21"/>
                      <w:lang w:val="en-US" w:eastAsia="zh-CN"/>
                    </w:rPr>
                    <w:t>蒸馏再生废气</w:t>
                  </w:r>
                  <w:r>
                    <w:rPr>
                      <w:rFonts w:hint="default" w:ascii="Times New Roman"/>
                      <w:color w:val="auto"/>
                      <w:kern w:val="2"/>
                      <w:sz w:val="21"/>
                      <w:szCs w:val="21"/>
                    </w:rPr>
                    <w:t>（G</w:t>
                  </w:r>
                  <w:r>
                    <w:rPr>
                      <w:rFonts w:hint="eastAsia" w:ascii="Times New Roman"/>
                      <w:color w:val="auto"/>
                      <w:kern w:val="2"/>
                      <w:sz w:val="21"/>
                      <w:szCs w:val="21"/>
                      <w:vertAlign w:val="subscript"/>
                      <w:lang w:val="en-US" w:eastAsia="zh-CN"/>
                    </w:rPr>
                    <w:t>4</w:t>
                  </w:r>
                  <w:r>
                    <w:rPr>
                      <w:rFonts w:hint="default" w:ascii="Times New Roman"/>
                      <w:color w:val="auto"/>
                      <w:kern w:val="2"/>
                      <w:sz w:val="21"/>
                      <w:szCs w:val="21"/>
                    </w:rPr>
                    <w:t>）</w:t>
                  </w:r>
                  <w:r>
                    <w:rPr>
                      <w:rFonts w:hint="eastAsia" w:ascii="Times New Roman" w:hAnsi="Times New Roman"/>
                      <w:bCs/>
                      <w:color w:val="auto"/>
                      <w:kern w:val="2"/>
                      <w:sz w:val="21"/>
                      <w:szCs w:val="21"/>
                    </w:rPr>
                    <w:t>经密闭管道收集，</w:t>
                  </w:r>
                  <w:r>
                    <w:rPr>
                      <w:rFonts w:hint="default" w:ascii="Times New Roman" w:hAnsi="Times New Roman"/>
                      <w:color w:val="auto"/>
                      <w:kern w:val="2"/>
                      <w:sz w:val="21"/>
                      <w:szCs w:val="21"/>
                    </w:rPr>
                    <w:t>收集效率可达</w:t>
                  </w:r>
                  <w:r>
                    <w:rPr>
                      <w:rFonts w:hint="eastAsia" w:ascii="Times New Roman" w:hAnsi="Times New Roman"/>
                      <w:color w:val="auto"/>
                      <w:kern w:val="2"/>
                      <w:sz w:val="21"/>
                      <w:szCs w:val="21"/>
                    </w:rPr>
                    <w:t>100</w:t>
                  </w:r>
                  <w:r>
                    <w:rPr>
                      <w:rFonts w:hint="default" w:ascii="Times New Roman" w:hAnsi="Times New Roman"/>
                      <w:color w:val="auto"/>
                      <w:kern w:val="2"/>
                      <w:sz w:val="21"/>
                      <w:szCs w:val="21"/>
                    </w:rPr>
                    <w:t>%</w:t>
                  </w:r>
                </w:p>
              </w:tc>
              <w:tc>
                <w:tcPr>
                  <w:tcW w:w="800" w:type="pct"/>
                  <w:tcBorders>
                    <w:top w:val="single" w:color="000000" w:sz="4" w:space="0"/>
                    <w:left w:val="single" w:color="000000" w:sz="4" w:space="0"/>
                    <w:bottom w:val="single" w:color="auto" w:sz="12" w:space="0"/>
                    <w:right w:val="nil"/>
                  </w:tcBorders>
                  <w:vAlign w:val="center"/>
                </w:tcPr>
                <w:p w14:paraId="0168157D">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bl>
          <w:p w14:paraId="27642E57">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eastAsia="黑体"/>
                <w:color w:val="auto"/>
                <w:kern w:val="2"/>
              </w:rPr>
            </w:pPr>
            <w:r>
              <w:rPr>
                <w:rFonts w:hint="default" w:ascii="Times New Roman" w:hAnsi="Times New Roman"/>
                <w:b/>
                <w:color w:val="auto"/>
                <w:kern w:val="2"/>
              </w:rPr>
              <w:t>7、</w:t>
            </w:r>
            <w:r>
              <w:rPr>
                <w:rFonts w:hint="eastAsia" w:ascii="Times New Roman" w:hAnsi="Times New Roman"/>
                <w:b/>
                <w:color w:val="auto"/>
                <w:kern w:val="2"/>
              </w:rPr>
              <w:t>与《长江经济带发展负面清单指南（试行）》</w:t>
            </w:r>
            <w:r>
              <w:rPr>
                <w:rFonts w:hint="default" w:ascii="Times New Roman" w:hAnsi="Times New Roman"/>
                <w:b/>
                <w:color w:val="auto"/>
                <w:kern w:val="2"/>
              </w:rPr>
              <w:t>相符性分析</w:t>
            </w:r>
          </w:p>
          <w:p w14:paraId="4927F247">
            <w:pPr>
              <w:keepNext w:val="0"/>
              <w:keepLines w:val="0"/>
              <w:widowControl/>
              <w:suppressLineNumbers w:val="0"/>
              <w:spacing w:before="0" w:beforeAutospacing="0" w:after="0" w:afterAutospacing="0" w:line="360" w:lineRule="auto"/>
              <w:ind w:left="0" w:right="0"/>
              <w:jc w:val="center"/>
              <w:rPr>
                <w:rFonts w:hint="default" w:ascii="Times New Roman" w:hAnsi="Times New Roman"/>
                <w:color w:val="auto"/>
                <w:kern w:val="2"/>
              </w:rPr>
            </w:pPr>
            <w:r>
              <w:rPr>
                <w:rFonts w:hint="default" w:ascii="Times New Roman" w:hAnsi="Times New Roman" w:eastAsia="黑体"/>
                <w:color w:val="auto"/>
                <w:kern w:val="2"/>
              </w:rPr>
              <w:t>表1-</w:t>
            </w:r>
            <w:r>
              <w:rPr>
                <w:rFonts w:hint="eastAsia" w:ascii="Times New Roman" w:hAnsi="Times New Roman" w:eastAsia="黑体"/>
                <w:color w:val="auto"/>
                <w:kern w:val="2"/>
              </w:rPr>
              <w:t>7</w:t>
            </w:r>
            <w:r>
              <w:rPr>
                <w:rFonts w:hint="default" w:ascii="Times New Roman" w:hAnsi="Times New Roman" w:eastAsia="黑体"/>
                <w:color w:val="auto"/>
                <w:kern w:val="2"/>
              </w:rPr>
              <w:t xml:space="preserve">  与</w:t>
            </w:r>
            <w:r>
              <w:rPr>
                <w:rFonts w:hint="eastAsia" w:ascii="Times New Roman" w:hAnsi="Times New Roman" w:eastAsia="黑体"/>
                <w:color w:val="auto"/>
                <w:kern w:val="2"/>
              </w:rPr>
              <w:t>《长江经济带发展负面清单指南（试行）》</w:t>
            </w:r>
            <w:r>
              <w:rPr>
                <w:rFonts w:hint="default" w:ascii="Times New Roman" w:hAnsi="Times New Roman" w:eastAsia="黑体"/>
                <w:color w:val="auto"/>
                <w:kern w:val="2"/>
              </w:rPr>
              <w:t>相符性分析</w:t>
            </w:r>
          </w:p>
          <w:tbl>
            <w:tblPr>
              <w:tblStyle w:val="23"/>
              <w:tblW w:w="4999" w:type="pct"/>
              <w:jc w:val="center"/>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72"/>
              <w:gridCol w:w="2648"/>
              <w:gridCol w:w="2899"/>
              <w:gridCol w:w="1151"/>
            </w:tblGrid>
            <w:tr w14:paraId="16808EF4">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29" w:type="pct"/>
                  <w:vAlign w:val="center"/>
                </w:tcPr>
                <w:p w14:paraId="6A5D9789">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序号</w:t>
                  </w:r>
                </w:p>
              </w:tc>
              <w:tc>
                <w:tcPr>
                  <w:tcW w:w="1846" w:type="pct"/>
                  <w:vAlign w:val="center"/>
                </w:tcPr>
                <w:p w14:paraId="25DAD26E">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相关规范情况</w:t>
                  </w:r>
                </w:p>
              </w:tc>
              <w:tc>
                <w:tcPr>
                  <w:tcW w:w="2021" w:type="pct"/>
                  <w:vAlign w:val="center"/>
                </w:tcPr>
                <w:p w14:paraId="6ED75886">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本项目情况</w:t>
                  </w:r>
                </w:p>
              </w:tc>
              <w:tc>
                <w:tcPr>
                  <w:tcW w:w="802" w:type="pct"/>
                  <w:vAlign w:val="center"/>
                </w:tcPr>
                <w:p w14:paraId="6384D936">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相符性分析</w:t>
                  </w:r>
                </w:p>
              </w:tc>
            </w:tr>
            <w:tr w14:paraId="4CF8C331">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29" w:type="pct"/>
                  <w:vAlign w:val="center"/>
                </w:tcPr>
                <w:p w14:paraId="04AEFF0E">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1</w:t>
                  </w:r>
                </w:p>
              </w:tc>
              <w:tc>
                <w:tcPr>
                  <w:tcW w:w="1846" w:type="pct"/>
                  <w:vAlign w:val="center"/>
                </w:tcPr>
                <w:p w14:paraId="09FF01C8">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color w:val="auto"/>
                      <w:kern w:val="2"/>
                      <w:sz w:val="21"/>
                      <w:szCs w:val="21"/>
                    </w:rPr>
                    <w:t>禁止在自然保护区核心区、缓冲区的岸线和河段范围内投资建设旅游和生产经营项目。禁止在风景名胜区核心景区的岸线和河段范围内投资建设与风景名胜资源无关的项目</w:t>
                  </w:r>
                </w:p>
              </w:tc>
              <w:tc>
                <w:tcPr>
                  <w:tcW w:w="2021" w:type="pct"/>
                  <w:vAlign w:val="center"/>
                </w:tcPr>
                <w:p w14:paraId="078579EF">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color w:val="auto"/>
                      <w:kern w:val="2"/>
                      <w:sz w:val="21"/>
                      <w:szCs w:val="21"/>
                    </w:rPr>
                    <w:t>本项目</w:t>
                  </w:r>
                  <w:r>
                    <w:rPr>
                      <w:rFonts w:hint="eastAsia" w:ascii="Times New Roman"/>
                      <w:color w:val="auto"/>
                      <w:kern w:val="2"/>
                      <w:sz w:val="21"/>
                      <w:szCs w:val="21"/>
                    </w:rPr>
                    <w:t>位于</w:t>
                  </w:r>
                  <w:r>
                    <w:rPr>
                      <w:rFonts w:hint="default" w:ascii="Times New Roman"/>
                      <w:color w:val="auto"/>
                      <w:kern w:val="2"/>
                      <w:sz w:val="21"/>
                      <w:szCs w:val="21"/>
                    </w:rPr>
                    <w:t>凤台经济开发区园区内，不</w:t>
                  </w:r>
                  <w:r>
                    <w:rPr>
                      <w:rFonts w:hint="eastAsia" w:ascii="Times New Roman"/>
                      <w:color w:val="auto"/>
                      <w:kern w:val="2"/>
                      <w:sz w:val="21"/>
                      <w:szCs w:val="21"/>
                    </w:rPr>
                    <w:t>涉及</w:t>
                  </w:r>
                  <w:r>
                    <w:rPr>
                      <w:rFonts w:hint="default" w:ascii="Times New Roman"/>
                      <w:color w:val="auto"/>
                      <w:kern w:val="2"/>
                      <w:sz w:val="21"/>
                      <w:szCs w:val="21"/>
                    </w:rPr>
                    <w:t>自然保护区和风景名胜区</w:t>
                  </w:r>
                </w:p>
              </w:tc>
              <w:tc>
                <w:tcPr>
                  <w:tcW w:w="802" w:type="pct"/>
                  <w:vAlign w:val="center"/>
                </w:tcPr>
                <w:p w14:paraId="5B4CAD99">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bCs/>
                      <w:color w:val="auto"/>
                      <w:kern w:val="2"/>
                      <w:sz w:val="21"/>
                      <w:szCs w:val="21"/>
                    </w:rPr>
                    <w:t>符合</w:t>
                  </w:r>
                </w:p>
              </w:tc>
            </w:tr>
            <w:tr w14:paraId="0316DC41">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29" w:type="pct"/>
                  <w:vAlign w:val="center"/>
                </w:tcPr>
                <w:p w14:paraId="3AFF7947">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2</w:t>
                  </w:r>
                </w:p>
              </w:tc>
              <w:tc>
                <w:tcPr>
                  <w:tcW w:w="1846" w:type="pct"/>
                  <w:vAlign w:val="center"/>
                </w:tcPr>
                <w:p w14:paraId="475027A6">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color w:val="auto"/>
                      <w:kern w:val="2"/>
                      <w:sz w:val="21"/>
                      <w:szCs w:val="21"/>
                    </w:rPr>
                    <w:t>禁止在饮用水水源一级保护区的岸线和河段范围内新建、改建、扩建与供水设施和保护水源无关的项目，以及网箱养殖、旅游等可能污染饮用水体的投资建设项目。禁止在饮用水源二级保护区的岸线和河段范围内新建、改建、扩建排放污染物的投资建设项目</w:t>
                  </w:r>
                </w:p>
              </w:tc>
              <w:tc>
                <w:tcPr>
                  <w:tcW w:w="2021" w:type="pct"/>
                  <w:vAlign w:val="center"/>
                </w:tcPr>
                <w:p w14:paraId="450DFF67">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color w:val="auto"/>
                      <w:kern w:val="2"/>
                      <w:sz w:val="21"/>
                      <w:szCs w:val="21"/>
                    </w:rPr>
                    <w:t>本项目</w:t>
                  </w:r>
                  <w:r>
                    <w:rPr>
                      <w:rFonts w:hint="eastAsia" w:ascii="Times New Roman"/>
                      <w:color w:val="auto"/>
                      <w:kern w:val="2"/>
                      <w:sz w:val="21"/>
                      <w:szCs w:val="21"/>
                    </w:rPr>
                    <w:t>位于</w:t>
                  </w:r>
                  <w:r>
                    <w:rPr>
                      <w:rFonts w:hint="default" w:ascii="Times New Roman"/>
                      <w:color w:val="auto"/>
                      <w:kern w:val="2"/>
                      <w:sz w:val="21"/>
                      <w:szCs w:val="21"/>
                    </w:rPr>
                    <w:t>凤台经济开发区园区内，不</w:t>
                  </w:r>
                  <w:r>
                    <w:rPr>
                      <w:rFonts w:hint="eastAsia" w:ascii="Times New Roman"/>
                      <w:color w:val="auto"/>
                      <w:kern w:val="2"/>
                      <w:sz w:val="21"/>
                      <w:szCs w:val="21"/>
                    </w:rPr>
                    <w:t>涉及</w:t>
                  </w:r>
                  <w:r>
                    <w:rPr>
                      <w:rFonts w:hint="default" w:ascii="Times New Roman"/>
                      <w:color w:val="auto"/>
                      <w:kern w:val="2"/>
                      <w:sz w:val="21"/>
                      <w:szCs w:val="21"/>
                    </w:rPr>
                    <w:t>饮用水水源保护区</w:t>
                  </w:r>
                </w:p>
              </w:tc>
              <w:tc>
                <w:tcPr>
                  <w:tcW w:w="802" w:type="pct"/>
                  <w:vAlign w:val="center"/>
                </w:tcPr>
                <w:p w14:paraId="75070A7A">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符合</w:t>
                  </w:r>
                </w:p>
              </w:tc>
            </w:tr>
            <w:tr w14:paraId="2FF4697F">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29" w:type="pct"/>
                  <w:vAlign w:val="center"/>
                </w:tcPr>
                <w:p w14:paraId="0DDB477A">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3</w:t>
                  </w:r>
                </w:p>
              </w:tc>
              <w:tc>
                <w:tcPr>
                  <w:tcW w:w="1846" w:type="pct"/>
                  <w:vAlign w:val="center"/>
                </w:tcPr>
                <w:p w14:paraId="4AF704F0">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color w:val="auto"/>
                      <w:kern w:val="2"/>
                      <w:sz w:val="21"/>
                      <w:szCs w:val="21"/>
                    </w:rPr>
                    <w:t>禁止在生态保护红线和永久基本农田范围内投资建设除国家重大战略资源勘查项目、生态保护修复和环境治理项目、重大基础设施项目、军事国防项目以及农牧民基本生产生活等必要的民生以外的项目</w:t>
                  </w:r>
                </w:p>
              </w:tc>
              <w:tc>
                <w:tcPr>
                  <w:tcW w:w="2021" w:type="pct"/>
                  <w:vAlign w:val="center"/>
                </w:tcPr>
                <w:p w14:paraId="250DE0D5">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color w:val="auto"/>
                      <w:kern w:val="2"/>
                      <w:sz w:val="21"/>
                      <w:szCs w:val="21"/>
                    </w:rPr>
                    <w:t>本项目</w:t>
                  </w:r>
                  <w:r>
                    <w:rPr>
                      <w:rFonts w:hint="eastAsia" w:ascii="Times New Roman"/>
                      <w:color w:val="auto"/>
                      <w:kern w:val="2"/>
                      <w:sz w:val="21"/>
                      <w:szCs w:val="21"/>
                    </w:rPr>
                    <w:t>位于</w:t>
                  </w:r>
                  <w:r>
                    <w:rPr>
                      <w:rFonts w:hint="default" w:ascii="Times New Roman"/>
                      <w:color w:val="auto"/>
                      <w:kern w:val="2"/>
                      <w:sz w:val="21"/>
                      <w:szCs w:val="21"/>
                    </w:rPr>
                    <w:t>凤台经济开发区园区内，不在生态保护红线和永久基本农田范围内</w:t>
                  </w:r>
                </w:p>
              </w:tc>
              <w:tc>
                <w:tcPr>
                  <w:tcW w:w="802" w:type="pct"/>
                  <w:vAlign w:val="center"/>
                </w:tcPr>
                <w:p w14:paraId="162F2F97">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符合</w:t>
                  </w:r>
                </w:p>
              </w:tc>
            </w:tr>
            <w:tr w14:paraId="35C0FEA5">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29" w:type="pct"/>
                  <w:vAlign w:val="center"/>
                </w:tcPr>
                <w:p w14:paraId="4544E113">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4</w:t>
                  </w:r>
                </w:p>
              </w:tc>
              <w:tc>
                <w:tcPr>
                  <w:tcW w:w="1846" w:type="pct"/>
                  <w:vAlign w:val="center"/>
                </w:tcPr>
                <w:p w14:paraId="02EFED1B">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color w:val="auto"/>
                      <w:kern w:val="2"/>
                      <w:sz w:val="21"/>
                      <w:szCs w:val="21"/>
                    </w:rPr>
                    <w:t>禁止在长江干支流</w:t>
                  </w:r>
                  <w:r>
                    <w:rPr>
                      <w:rFonts w:hint="default" w:ascii="Times New Roman" w:hAnsi="Times New Roman"/>
                      <w:color w:val="auto"/>
                      <w:kern w:val="2"/>
                      <w:sz w:val="21"/>
                      <w:szCs w:val="21"/>
                    </w:rPr>
                    <w:t>1</w:t>
                  </w:r>
                  <w:r>
                    <w:rPr>
                      <w:rFonts w:hint="default" w:ascii="Times New Roman"/>
                      <w:color w:val="auto"/>
                      <w:kern w:val="2"/>
                      <w:sz w:val="21"/>
                      <w:szCs w:val="21"/>
                    </w:rPr>
                    <w:t>公里范围内新建、扩建化工园区和化工项目，禁止在合规园区外新建、扩建钢铁、石化、化工、焦化、建材、有色等高污染项目</w:t>
                  </w:r>
                </w:p>
              </w:tc>
              <w:tc>
                <w:tcPr>
                  <w:tcW w:w="2021" w:type="pct"/>
                  <w:vAlign w:val="center"/>
                </w:tcPr>
                <w:p w14:paraId="139A67AA">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color w:val="auto"/>
                      <w:kern w:val="2"/>
                      <w:sz w:val="21"/>
                      <w:szCs w:val="21"/>
                    </w:rPr>
                    <w:t>本项目建设地</w:t>
                  </w:r>
                  <w:r>
                    <w:rPr>
                      <w:rFonts w:hint="eastAsia" w:ascii="Times New Roman"/>
                      <w:color w:val="auto"/>
                      <w:kern w:val="2"/>
                      <w:sz w:val="21"/>
                      <w:szCs w:val="21"/>
                    </w:rPr>
                    <w:t>距离</w:t>
                  </w:r>
                  <w:r>
                    <w:rPr>
                      <w:rFonts w:hint="default" w:ascii="Times New Roman"/>
                      <w:color w:val="auto"/>
                      <w:kern w:val="2"/>
                      <w:sz w:val="21"/>
                      <w:szCs w:val="21"/>
                    </w:rPr>
                    <w:t>长江干支流</w:t>
                  </w:r>
                  <w:r>
                    <w:rPr>
                      <w:rStyle w:val="28"/>
                      <w:rFonts w:hint="eastAsia" w:ascii="Times New Roman" w:hAnsi="Times New Roman"/>
                      <w:color w:val="auto"/>
                      <w:kern w:val="2"/>
                    </w:rPr>
                    <w:t>约</w:t>
                  </w:r>
                  <w:r>
                    <w:rPr>
                      <w:rFonts w:hint="eastAsia" w:ascii="Times New Roman" w:hAnsi="Times New Roman"/>
                      <w:color w:val="auto"/>
                      <w:kern w:val="2"/>
                      <w:sz w:val="21"/>
                      <w:szCs w:val="21"/>
                    </w:rPr>
                    <w:t>199公里</w:t>
                  </w:r>
                </w:p>
              </w:tc>
              <w:tc>
                <w:tcPr>
                  <w:tcW w:w="802" w:type="pct"/>
                  <w:vAlign w:val="center"/>
                </w:tcPr>
                <w:p w14:paraId="76A71075">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符合</w:t>
                  </w:r>
                </w:p>
              </w:tc>
            </w:tr>
            <w:tr w14:paraId="269C87A0">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29" w:type="pct"/>
                  <w:vAlign w:val="center"/>
                </w:tcPr>
                <w:p w14:paraId="41DB0DE4">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5</w:t>
                  </w:r>
                </w:p>
              </w:tc>
              <w:tc>
                <w:tcPr>
                  <w:tcW w:w="1846" w:type="pct"/>
                  <w:vAlign w:val="center"/>
                </w:tcPr>
                <w:p w14:paraId="1219818D">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color w:val="auto"/>
                      <w:kern w:val="2"/>
                      <w:sz w:val="21"/>
                      <w:szCs w:val="21"/>
                    </w:rPr>
                    <w:t>禁止新建、扩建不符合国家石化、现代煤化工等产业布局规划的项目</w:t>
                  </w:r>
                </w:p>
              </w:tc>
              <w:tc>
                <w:tcPr>
                  <w:tcW w:w="2021" w:type="pct"/>
                  <w:vAlign w:val="center"/>
                </w:tcPr>
                <w:p w14:paraId="5A05A3CB">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color w:val="auto"/>
                      <w:kern w:val="2"/>
                      <w:sz w:val="21"/>
                      <w:szCs w:val="21"/>
                    </w:rPr>
                    <w:t>本项目与凤台经济开发区规划相符</w:t>
                  </w:r>
                </w:p>
              </w:tc>
              <w:tc>
                <w:tcPr>
                  <w:tcW w:w="802" w:type="pct"/>
                  <w:vAlign w:val="center"/>
                </w:tcPr>
                <w:p w14:paraId="77FAA50A">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符合</w:t>
                  </w:r>
                </w:p>
              </w:tc>
            </w:tr>
            <w:tr w14:paraId="2FAA9532">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29" w:type="pct"/>
                  <w:vAlign w:val="center"/>
                </w:tcPr>
                <w:p w14:paraId="1E3374DB">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6</w:t>
                  </w:r>
                </w:p>
              </w:tc>
              <w:tc>
                <w:tcPr>
                  <w:tcW w:w="1846" w:type="pct"/>
                  <w:vAlign w:val="center"/>
                </w:tcPr>
                <w:p w14:paraId="11A11F60">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color w:val="auto"/>
                      <w:kern w:val="2"/>
                      <w:sz w:val="21"/>
                      <w:szCs w:val="21"/>
                    </w:rPr>
                    <w:t>禁止新建、扩建法律法规和相关政策明令禁止的落后产能项目</w:t>
                  </w:r>
                </w:p>
              </w:tc>
              <w:tc>
                <w:tcPr>
                  <w:tcW w:w="2021" w:type="pct"/>
                  <w:vAlign w:val="center"/>
                </w:tcPr>
                <w:p w14:paraId="2F0C6D3A">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color w:val="auto"/>
                      <w:kern w:val="2"/>
                      <w:sz w:val="21"/>
                      <w:szCs w:val="21"/>
                    </w:rPr>
                    <w:t>本项目不属于落后产能项目，</w:t>
                  </w:r>
                  <w:r>
                    <w:rPr>
                      <w:rFonts w:hint="default" w:ascii="Times New Roman" w:hAnsi="Times New Roman"/>
                      <w:bCs/>
                      <w:color w:val="auto"/>
                      <w:kern w:val="2"/>
                      <w:sz w:val="21"/>
                      <w:szCs w:val="21"/>
                    </w:rPr>
                    <w:t>项目已取得凤台县经济和信息化局</w:t>
                  </w:r>
                  <w:r>
                    <w:rPr>
                      <w:rFonts w:hint="eastAsia" w:ascii="Times New Roman" w:hAnsi="Times New Roman" w:eastAsia="宋体"/>
                      <w:bCs/>
                      <w:color w:val="auto"/>
                      <w:kern w:val="2"/>
                      <w:sz w:val="21"/>
                      <w:szCs w:val="21"/>
                      <w:lang w:eastAsia="zh-CN"/>
                    </w:rPr>
                    <w:t>（</w:t>
                  </w:r>
                  <w:r>
                    <w:rPr>
                      <w:rFonts w:hint="default" w:ascii="Times New Roman" w:hAnsi="Times New Roman"/>
                      <w:bCs/>
                      <w:color w:val="auto"/>
                      <w:kern w:val="2"/>
                      <w:sz w:val="21"/>
                      <w:szCs w:val="21"/>
                    </w:rPr>
                    <w:t>凤台县商务投资促进局</w:t>
                  </w:r>
                  <w:r>
                    <w:rPr>
                      <w:rFonts w:hint="eastAsia" w:ascii="Times New Roman" w:hAnsi="Times New Roman" w:eastAsia="宋体"/>
                      <w:bCs/>
                      <w:color w:val="auto"/>
                      <w:kern w:val="2"/>
                      <w:sz w:val="21"/>
                      <w:szCs w:val="21"/>
                      <w:lang w:eastAsia="zh-CN"/>
                    </w:rPr>
                    <w:t>）</w:t>
                  </w:r>
                  <w:r>
                    <w:rPr>
                      <w:rFonts w:hint="default" w:ascii="Times New Roman" w:hAnsi="Times New Roman"/>
                      <w:bCs/>
                      <w:color w:val="auto"/>
                      <w:kern w:val="2"/>
                      <w:sz w:val="21"/>
                      <w:szCs w:val="21"/>
                    </w:rPr>
                    <w:t>备案，项目代码为2510-340421-07-02-656800</w:t>
                  </w:r>
                  <w:r>
                    <w:rPr>
                      <w:rFonts w:hint="default" w:ascii="Times New Roman"/>
                      <w:color w:val="auto"/>
                      <w:kern w:val="2"/>
                      <w:sz w:val="21"/>
                      <w:szCs w:val="21"/>
                    </w:rPr>
                    <w:t>，符合政策要求</w:t>
                  </w:r>
                </w:p>
              </w:tc>
              <w:tc>
                <w:tcPr>
                  <w:tcW w:w="802" w:type="pct"/>
                  <w:vAlign w:val="center"/>
                </w:tcPr>
                <w:p w14:paraId="13894A06">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符合</w:t>
                  </w:r>
                </w:p>
              </w:tc>
            </w:tr>
            <w:tr w14:paraId="49CC1BD3">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29" w:type="pct"/>
                  <w:vAlign w:val="center"/>
                </w:tcPr>
                <w:p w14:paraId="41722EB1">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7</w:t>
                  </w:r>
                </w:p>
              </w:tc>
              <w:tc>
                <w:tcPr>
                  <w:tcW w:w="1846" w:type="pct"/>
                  <w:vAlign w:val="center"/>
                </w:tcPr>
                <w:p w14:paraId="4A960290">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color w:val="auto"/>
                      <w:kern w:val="2"/>
                      <w:sz w:val="21"/>
                      <w:szCs w:val="21"/>
                    </w:rPr>
                    <w:t>禁止新建、扩建不符合国家产能置换要求的严重过剩产能行业的项目</w:t>
                  </w:r>
                </w:p>
              </w:tc>
              <w:tc>
                <w:tcPr>
                  <w:tcW w:w="2021" w:type="pct"/>
                  <w:vAlign w:val="center"/>
                </w:tcPr>
                <w:p w14:paraId="6B5EC558">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color w:val="auto"/>
                      <w:kern w:val="2"/>
                      <w:sz w:val="21"/>
                      <w:szCs w:val="21"/>
                    </w:rPr>
                    <w:t>本项目所需行业</w:t>
                  </w:r>
                  <w:r>
                    <w:rPr>
                      <w:rFonts w:hint="eastAsia" w:ascii="Times New Roman"/>
                      <w:color w:val="auto"/>
                      <w:kern w:val="2"/>
                      <w:sz w:val="21"/>
                      <w:szCs w:val="21"/>
                    </w:rPr>
                    <w:t>无需进行</w:t>
                  </w:r>
                  <w:r>
                    <w:rPr>
                      <w:rFonts w:hint="default" w:ascii="Times New Roman"/>
                      <w:color w:val="auto"/>
                      <w:kern w:val="2"/>
                      <w:sz w:val="21"/>
                      <w:szCs w:val="21"/>
                    </w:rPr>
                    <w:t>产能置换</w:t>
                  </w:r>
                </w:p>
              </w:tc>
              <w:tc>
                <w:tcPr>
                  <w:tcW w:w="802" w:type="pct"/>
                  <w:vAlign w:val="center"/>
                </w:tcPr>
                <w:p w14:paraId="5D180562">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符合</w:t>
                  </w:r>
                </w:p>
              </w:tc>
            </w:tr>
          </w:tbl>
          <w:p w14:paraId="3015CF6B">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eastAsia" w:ascii="Times New Roman" w:hAnsi="Times New Roman"/>
                <w:b/>
                <w:color w:val="auto"/>
                <w:kern w:val="2"/>
              </w:rPr>
              <w:t>8</w:t>
            </w:r>
            <w:r>
              <w:rPr>
                <w:rFonts w:hint="default" w:ascii="Times New Roman" w:hAnsi="Times New Roman"/>
                <w:b/>
                <w:color w:val="auto"/>
                <w:kern w:val="2"/>
              </w:rPr>
              <w:t>、与《安徽省淮河流域水污染防治条例》（2019年1月1日起施行）相符性分析</w:t>
            </w:r>
          </w:p>
          <w:p w14:paraId="0BD44CA4">
            <w:pPr>
              <w:keepNext w:val="0"/>
              <w:keepLines w:val="0"/>
              <w:widowControl/>
              <w:suppressLineNumbers w:val="0"/>
              <w:spacing w:before="0" w:beforeAutospacing="0" w:after="0" w:afterAutospacing="0" w:line="360" w:lineRule="auto"/>
              <w:ind w:left="0" w:right="0"/>
              <w:jc w:val="center"/>
              <w:rPr>
                <w:rFonts w:hint="default" w:ascii="Times New Roman" w:hAnsi="Times New Roman"/>
                <w:color w:val="auto"/>
                <w:kern w:val="2"/>
              </w:rPr>
            </w:pPr>
            <w:r>
              <w:rPr>
                <w:rFonts w:hint="default" w:ascii="Times New Roman" w:hAnsi="Times New Roman" w:eastAsia="黑体"/>
                <w:color w:val="auto"/>
                <w:kern w:val="2"/>
              </w:rPr>
              <w:t>表1-</w:t>
            </w:r>
            <w:r>
              <w:rPr>
                <w:rFonts w:hint="eastAsia" w:ascii="Times New Roman" w:hAnsi="Times New Roman" w:eastAsia="黑体"/>
                <w:color w:val="auto"/>
                <w:kern w:val="2"/>
              </w:rPr>
              <w:t>8</w:t>
            </w:r>
            <w:r>
              <w:rPr>
                <w:rFonts w:hint="default" w:ascii="Times New Roman" w:hAnsi="Times New Roman" w:eastAsia="黑体"/>
                <w:color w:val="auto"/>
                <w:kern w:val="2"/>
              </w:rPr>
              <w:t xml:space="preserve">  与《安徽省淮河流域水污染防治条例》（2019年1月1日起施行</w:t>
            </w:r>
            <w:r>
              <w:rPr>
                <w:rFonts w:hint="default" w:ascii="Times New Roman" w:hAnsi="Times New Roman"/>
                <w:color w:val="auto"/>
                <w:kern w:val="2"/>
              </w:rPr>
              <w:t>）</w:t>
            </w:r>
            <w:r>
              <w:rPr>
                <w:rFonts w:hint="default" w:ascii="Times New Roman" w:hAnsi="Times New Roman" w:eastAsia="黑体"/>
                <w:color w:val="auto"/>
                <w:kern w:val="2"/>
              </w:rPr>
              <w:t>相符性分析</w:t>
            </w:r>
          </w:p>
          <w:tbl>
            <w:tblPr>
              <w:tblStyle w:val="23"/>
              <w:tblW w:w="4998" w:type="pct"/>
              <w:jc w:val="center"/>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72"/>
              <w:gridCol w:w="2579"/>
              <w:gridCol w:w="3033"/>
              <w:gridCol w:w="1084"/>
            </w:tblGrid>
            <w:tr w14:paraId="33D9FD3A">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29" w:type="pct"/>
                  <w:vAlign w:val="center"/>
                </w:tcPr>
                <w:p w14:paraId="59F560F1">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序号</w:t>
                  </w:r>
                </w:p>
              </w:tc>
              <w:tc>
                <w:tcPr>
                  <w:tcW w:w="1798" w:type="pct"/>
                  <w:vAlign w:val="center"/>
                </w:tcPr>
                <w:p w14:paraId="19DC5C00">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相关规范情况</w:t>
                  </w:r>
                </w:p>
              </w:tc>
              <w:tc>
                <w:tcPr>
                  <w:tcW w:w="2115" w:type="pct"/>
                  <w:vAlign w:val="center"/>
                </w:tcPr>
                <w:p w14:paraId="0735010C">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本项目情况</w:t>
                  </w:r>
                </w:p>
              </w:tc>
              <w:tc>
                <w:tcPr>
                  <w:tcW w:w="756" w:type="pct"/>
                  <w:vAlign w:val="center"/>
                </w:tcPr>
                <w:p w14:paraId="6058D37E">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相符性分析</w:t>
                  </w:r>
                </w:p>
              </w:tc>
            </w:tr>
            <w:tr w14:paraId="687039A7">
              <w:tblPrEx>
                <w:tblBorders>
                  <w:top w:val="single" w:color="auto"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29" w:type="pct"/>
                  <w:vAlign w:val="center"/>
                </w:tcPr>
                <w:p w14:paraId="529A35C8">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1</w:t>
                  </w:r>
                </w:p>
              </w:tc>
              <w:tc>
                <w:tcPr>
                  <w:tcW w:w="1798" w:type="pct"/>
                  <w:vAlign w:val="center"/>
                </w:tcPr>
                <w:p w14:paraId="714A0417">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bCs/>
                      <w:color w:val="auto"/>
                      <w:kern w:val="2"/>
                      <w:sz w:val="21"/>
                      <w:szCs w:val="21"/>
                    </w:rPr>
                    <w:t>禁止在淮河流域新建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w:t>
                  </w:r>
                </w:p>
              </w:tc>
              <w:tc>
                <w:tcPr>
                  <w:tcW w:w="2115" w:type="pct"/>
                  <w:vAlign w:val="center"/>
                </w:tcPr>
                <w:p w14:paraId="3EE41F28">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本项目主要从事汽车零部件及配件制造，属于C3670汽车零部件及配件制造</w:t>
                  </w:r>
                  <w:r>
                    <w:rPr>
                      <w:rFonts w:hint="default" w:ascii="Times New Roman" w:hAnsi="Times New Roman"/>
                      <w:bCs/>
                      <w:color w:val="auto"/>
                      <w:kern w:val="2"/>
                      <w:sz w:val="21"/>
                      <w:szCs w:val="21"/>
                    </w:rPr>
                    <w:t>，不属于印染、制革、化工、电镀等类型项目，项目已取得凤台县经济和信息化局</w:t>
                  </w:r>
                  <w:r>
                    <w:rPr>
                      <w:rFonts w:hint="eastAsia" w:ascii="Times New Roman" w:hAnsi="Times New Roman" w:eastAsia="宋体"/>
                      <w:bCs/>
                      <w:color w:val="auto"/>
                      <w:kern w:val="2"/>
                      <w:sz w:val="21"/>
                      <w:szCs w:val="21"/>
                      <w:lang w:eastAsia="zh-CN"/>
                    </w:rPr>
                    <w:t>（</w:t>
                  </w:r>
                  <w:r>
                    <w:rPr>
                      <w:rFonts w:hint="default" w:ascii="Times New Roman" w:hAnsi="Times New Roman"/>
                      <w:bCs/>
                      <w:color w:val="auto"/>
                      <w:kern w:val="2"/>
                      <w:sz w:val="21"/>
                      <w:szCs w:val="21"/>
                    </w:rPr>
                    <w:t>凤台县商务投资促进局</w:t>
                  </w:r>
                  <w:r>
                    <w:rPr>
                      <w:rFonts w:hint="eastAsia" w:ascii="Times New Roman" w:hAnsi="Times New Roman" w:eastAsia="宋体"/>
                      <w:bCs/>
                      <w:color w:val="auto"/>
                      <w:kern w:val="2"/>
                      <w:sz w:val="21"/>
                      <w:szCs w:val="21"/>
                      <w:lang w:eastAsia="zh-CN"/>
                    </w:rPr>
                    <w:t>）</w:t>
                  </w:r>
                  <w:r>
                    <w:rPr>
                      <w:rFonts w:hint="default" w:ascii="Times New Roman" w:hAnsi="Times New Roman"/>
                      <w:bCs/>
                      <w:color w:val="auto"/>
                      <w:kern w:val="2"/>
                      <w:sz w:val="21"/>
                      <w:szCs w:val="21"/>
                    </w:rPr>
                    <w:t>备案，项目代码为2510-340421-07-02-656800</w:t>
                  </w:r>
                </w:p>
              </w:tc>
              <w:tc>
                <w:tcPr>
                  <w:tcW w:w="756" w:type="pct"/>
                  <w:vAlign w:val="center"/>
                </w:tcPr>
                <w:p w14:paraId="25D95DBE">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bCs/>
                      <w:color w:val="auto"/>
                      <w:kern w:val="2"/>
                      <w:sz w:val="21"/>
                      <w:szCs w:val="21"/>
                    </w:rPr>
                    <w:t>符合</w:t>
                  </w:r>
                </w:p>
              </w:tc>
            </w:tr>
          </w:tbl>
          <w:p w14:paraId="0C48219E">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eastAsia="黑体"/>
                <w:color w:val="auto"/>
                <w:kern w:val="2"/>
              </w:rPr>
            </w:pPr>
            <w:r>
              <w:rPr>
                <w:rFonts w:hint="eastAsia" w:ascii="Times New Roman" w:hAnsi="Times New Roman"/>
                <w:b/>
                <w:color w:val="auto"/>
                <w:kern w:val="2"/>
              </w:rPr>
              <w:t>9</w:t>
            </w:r>
            <w:r>
              <w:rPr>
                <w:rFonts w:hint="default" w:ascii="Times New Roman" w:hAnsi="Times New Roman"/>
                <w:b/>
                <w:color w:val="auto"/>
                <w:kern w:val="2"/>
              </w:rPr>
              <w:t>、</w:t>
            </w:r>
            <w:r>
              <w:rPr>
                <w:rFonts w:hint="eastAsia" w:ascii="Times New Roman" w:hAnsi="Times New Roman"/>
                <w:b/>
                <w:color w:val="auto"/>
                <w:kern w:val="2"/>
              </w:rPr>
              <w:t>与《安徽省空气质量持续改善行动方案》皖政〔2024〕36号相符性分析</w:t>
            </w:r>
          </w:p>
          <w:p w14:paraId="1E705E40">
            <w:pPr>
              <w:keepNext w:val="0"/>
              <w:keepLines w:val="0"/>
              <w:widowControl/>
              <w:suppressLineNumbers w:val="0"/>
              <w:spacing w:before="0" w:beforeAutospacing="0" w:after="0" w:afterAutospacing="0" w:line="360" w:lineRule="auto"/>
              <w:ind w:left="0" w:right="0"/>
              <w:jc w:val="center"/>
              <w:rPr>
                <w:rFonts w:hint="default" w:ascii="Times New Roman" w:hAnsi="Times New Roman"/>
                <w:color w:val="auto"/>
                <w:kern w:val="2"/>
              </w:rPr>
            </w:pPr>
            <w:r>
              <w:rPr>
                <w:rFonts w:hint="default" w:ascii="Times New Roman" w:hAnsi="Times New Roman" w:eastAsia="黑体"/>
                <w:color w:val="auto"/>
                <w:kern w:val="2"/>
              </w:rPr>
              <w:t>表1-</w:t>
            </w:r>
            <w:r>
              <w:rPr>
                <w:rFonts w:hint="eastAsia" w:ascii="Times New Roman" w:hAnsi="Times New Roman" w:eastAsia="黑体"/>
                <w:color w:val="auto"/>
                <w:kern w:val="2"/>
              </w:rPr>
              <w:t>9</w:t>
            </w:r>
            <w:r>
              <w:rPr>
                <w:rFonts w:hint="default" w:ascii="Times New Roman" w:hAnsi="Times New Roman" w:eastAsia="黑体"/>
                <w:color w:val="auto"/>
                <w:kern w:val="2"/>
              </w:rPr>
              <w:t xml:space="preserve">  与</w:t>
            </w:r>
            <w:r>
              <w:rPr>
                <w:rFonts w:hint="eastAsia" w:ascii="Times New Roman" w:hAnsi="Times New Roman" w:eastAsia="黑体"/>
                <w:color w:val="auto"/>
                <w:kern w:val="2"/>
              </w:rPr>
              <w:t>《安徽省空气质量持续改善行动方案》皖政〔2024〕36号</w:t>
            </w:r>
            <w:r>
              <w:rPr>
                <w:rFonts w:hint="default" w:ascii="Times New Roman" w:hAnsi="Times New Roman" w:eastAsia="黑体"/>
                <w:color w:val="auto"/>
                <w:kern w:val="2"/>
              </w:rPr>
              <w:t>相符性分析</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6"/>
              <w:gridCol w:w="2141"/>
              <w:gridCol w:w="3485"/>
              <w:gridCol w:w="1119"/>
            </w:tblGrid>
            <w:tr w14:paraId="446D85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297" w:type="pct"/>
                </w:tcPr>
                <w:p w14:paraId="09F144AE">
                  <w:pPr>
                    <w:keepNext w:val="0"/>
                    <w:keepLines w:val="0"/>
                    <w:widowControl/>
                    <w:suppressLineNumbers w:val="0"/>
                    <w:spacing w:before="0" w:beforeAutospacing="0" w:after="0" w:afterAutospacing="0"/>
                    <w:ind w:left="0" w:right="0"/>
                    <w:jc w:val="center"/>
                    <w:rPr>
                      <w:rFonts w:hint="default"/>
                      <w:b/>
                      <w:color w:val="auto"/>
                      <w:kern w:val="2"/>
                      <w:sz w:val="21"/>
                      <w:szCs w:val="21"/>
                    </w:rPr>
                  </w:pPr>
                  <w:r>
                    <w:rPr>
                      <w:rFonts w:hint="default"/>
                      <w:b/>
                      <w:color w:val="auto"/>
                      <w:kern w:val="2"/>
                      <w:sz w:val="21"/>
                      <w:szCs w:val="21"/>
                    </w:rPr>
                    <w:t>序号</w:t>
                  </w:r>
                </w:p>
              </w:tc>
              <w:tc>
                <w:tcPr>
                  <w:tcW w:w="1492" w:type="pct"/>
                  <w:vAlign w:val="center"/>
                </w:tcPr>
                <w:p w14:paraId="5EE86180">
                  <w:pPr>
                    <w:keepNext w:val="0"/>
                    <w:keepLines w:val="0"/>
                    <w:widowControl/>
                    <w:suppressLineNumbers w:val="0"/>
                    <w:spacing w:before="0" w:beforeAutospacing="0" w:after="0" w:afterAutospacing="0"/>
                    <w:ind w:left="0" w:right="0"/>
                    <w:jc w:val="center"/>
                    <w:rPr>
                      <w:rFonts w:hint="default" w:ascii="Times New Roman" w:hAnsi="Times New Roman"/>
                      <w:b/>
                      <w:color w:val="auto"/>
                      <w:kern w:val="2"/>
                      <w:sz w:val="21"/>
                      <w:szCs w:val="21"/>
                    </w:rPr>
                  </w:pPr>
                  <w:r>
                    <w:rPr>
                      <w:rFonts w:hint="default"/>
                      <w:b/>
                      <w:color w:val="auto"/>
                      <w:kern w:val="2"/>
                      <w:sz w:val="21"/>
                      <w:szCs w:val="21"/>
                    </w:rPr>
                    <w:t>规范要求</w:t>
                  </w:r>
                </w:p>
              </w:tc>
              <w:tc>
                <w:tcPr>
                  <w:tcW w:w="2429" w:type="pct"/>
                  <w:vAlign w:val="center"/>
                </w:tcPr>
                <w:p w14:paraId="3D0D26CD">
                  <w:pPr>
                    <w:keepNext w:val="0"/>
                    <w:keepLines w:val="0"/>
                    <w:widowControl/>
                    <w:suppressLineNumbers w:val="0"/>
                    <w:spacing w:before="0" w:beforeAutospacing="0" w:after="0" w:afterAutospacing="0"/>
                    <w:ind w:left="0" w:right="0"/>
                    <w:jc w:val="center"/>
                    <w:rPr>
                      <w:rFonts w:hint="default" w:ascii="Times New Roman" w:hAnsi="Times New Roman"/>
                      <w:b/>
                      <w:color w:val="auto"/>
                      <w:kern w:val="2"/>
                      <w:sz w:val="21"/>
                      <w:szCs w:val="21"/>
                    </w:rPr>
                  </w:pPr>
                  <w:r>
                    <w:rPr>
                      <w:rFonts w:hint="eastAsia"/>
                      <w:b/>
                      <w:color w:val="auto"/>
                      <w:kern w:val="2"/>
                      <w:sz w:val="21"/>
                      <w:szCs w:val="21"/>
                    </w:rPr>
                    <w:t>本项目</w:t>
                  </w:r>
                  <w:r>
                    <w:rPr>
                      <w:rFonts w:hint="default"/>
                      <w:b/>
                      <w:color w:val="auto"/>
                      <w:kern w:val="2"/>
                      <w:sz w:val="21"/>
                      <w:szCs w:val="21"/>
                    </w:rPr>
                    <w:t>情况</w:t>
                  </w:r>
                </w:p>
              </w:tc>
              <w:tc>
                <w:tcPr>
                  <w:tcW w:w="780" w:type="pct"/>
                  <w:vAlign w:val="center"/>
                </w:tcPr>
                <w:p w14:paraId="432CDB7A">
                  <w:pPr>
                    <w:keepNext w:val="0"/>
                    <w:keepLines w:val="0"/>
                    <w:widowControl/>
                    <w:suppressLineNumbers w:val="0"/>
                    <w:spacing w:before="0" w:beforeAutospacing="0" w:after="0" w:afterAutospacing="0"/>
                    <w:ind w:left="0" w:right="0"/>
                    <w:jc w:val="center"/>
                    <w:rPr>
                      <w:rFonts w:hint="default" w:ascii="Times New Roman" w:hAnsi="Times New Roman"/>
                      <w:b/>
                      <w:color w:val="auto"/>
                      <w:kern w:val="2"/>
                      <w:sz w:val="21"/>
                      <w:szCs w:val="21"/>
                    </w:rPr>
                  </w:pPr>
                  <w:r>
                    <w:rPr>
                      <w:rFonts w:hint="default"/>
                      <w:b/>
                      <w:color w:val="auto"/>
                      <w:kern w:val="2"/>
                      <w:sz w:val="21"/>
                      <w:szCs w:val="21"/>
                    </w:rPr>
                    <w:t>相符性</w:t>
                  </w:r>
                </w:p>
              </w:tc>
            </w:tr>
            <w:tr w14:paraId="44096B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297" w:type="pct"/>
                  <w:vAlign w:val="center"/>
                </w:tcPr>
                <w:p w14:paraId="1E037276">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1</w:t>
                  </w:r>
                </w:p>
              </w:tc>
              <w:tc>
                <w:tcPr>
                  <w:tcW w:w="1492" w:type="pct"/>
                  <w:vAlign w:val="center"/>
                </w:tcPr>
                <w:p w14:paraId="2591BD74">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color w:val="auto"/>
                      <w:kern w:val="2"/>
                      <w:sz w:val="21"/>
                      <w:szCs w:val="21"/>
                    </w:rPr>
                    <w:t>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源头管控低水平项目上马。制定实施安徽省加强生态环境分区管控方案。严格落实产能置换要求，不以任何名义、任何方式核准、备案产能严重过剩行业新增产能项目，被置换产能及</w:t>
                  </w:r>
                  <w:r>
                    <w:rPr>
                      <w:rFonts w:hint="default" w:ascii="Times New Roman" w:hAnsi="Times New Roman"/>
                      <w:color w:val="auto"/>
                      <w:kern w:val="2"/>
                      <w:sz w:val="21"/>
                      <w:szCs w:val="21"/>
                    </w:rPr>
                    <w:t>其配套设施关停后，新建项目方可投产。</w:t>
                  </w:r>
                </w:p>
              </w:tc>
              <w:tc>
                <w:tcPr>
                  <w:tcW w:w="2429" w:type="pct"/>
                  <w:vAlign w:val="center"/>
                </w:tcPr>
                <w:p w14:paraId="56FE82E0">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本项目主要从事汽车零部件及配件制造，属于C3670汽车零部件及配件制造，不属于产能严重过剩行业</w:t>
                  </w:r>
                </w:p>
              </w:tc>
              <w:tc>
                <w:tcPr>
                  <w:tcW w:w="780" w:type="pct"/>
                  <w:vAlign w:val="center"/>
                </w:tcPr>
                <w:p w14:paraId="2778645C">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r w14:paraId="5944C8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297" w:type="pct"/>
                  <w:vAlign w:val="center"/>
                </w:tcPr>
                <w:p w14:paraId="1020F0DA">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2</w:t>
                  </w:r>
                </w:p>
              </w:tc>
              <w:tc>
                <w:tcPr>
                  <w:tcW w:w="1492" w:type="pct"/>
                  <w:vAlign w:val="center"/>
                </w:tcPr>
                <w:p w14:paraId="12FCE6FB">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严格执行《产业结构调整指导目录》。综</w:t>
                  </w:r>
                  <w:r>
                    <w:rPr>
                      <w:rFonts w:hint="default"/>
                      <w:color w:val="auto"/>
                      <w:kern w:val="2"/>
                      <w:sz w:val="21"/>
                      <w:szCs w:val="21"/>
                    </w:rPr>
                    <w:t>合运用能耗、环保、质量、安全、技术等要求，依法依规推动落后产能退出，逐步退出限制类涉气行业工艺和装备。有序推动生产设施老旧、工艺水平落后、环境管理水平低下的独立焦化、烧结、球团、热轧企业和落后煤炭洗选企业退出市场。逐步淘汰步进式烧结机和球团竖炉以及半封闭式硅锰合金、镍铁、高碳铬铁、高碳锰铁电炉。严禁违规新增钢铁、水泥（熟料）、焦化、电解铝、平板玻璃（不含光伏压延玻璃）产能。鼓励钢铁行业龙头</w:t>
                  </w:r>
                  <w:r>
                    <w:rPr>
                      <w:rFonts w:hint="default" w:ascii="Times New Roman"/>
                      <w:color w:val="auto"/>
                      <w:kern w:val="2"/>
                      <w:sz w:val="21"/>
                      <w:szCs w:val="21"/>
                    </w:rPr>
                    <w:t>企业实施兼并重组，到</w:t>
                  </w:r>
                  <w:r>
                    <w:rPr>
                      <w:rFonts w:hint="default" w:ascii="Times New Roman" w:hAnsi="Times New Roman"/>
                      <w:color w:val="auto"/>
                      <w:kern w:val="2"/>
                      <w:sz w:val="21"/>
                      <w:szCs w:val="21"/>
                    </w:rPr>
                    <w:t>2025</w:t>
                  </w:r>
                  <w:r>
                    <w:rPr>
                      <w:rFonts w:hint="default" w:ascii="Times New Roman"/>
                      <w:color w:val="auto"/>
                      <w:kern w:val="2"/>
                      <w:sz w:val="21"/>
                      <w:szCs w:val="21"/>
                    </w:rPr>
                    <w:t>年，短流程炼钢产量占比达</w:t>
                  </w:r>
                  <w:r>
                    <w:rPr>
                      <w:rFonts w:hint="default" w:ascii="Times New Roman" w:hAnsi="Times New Roman"/>
                      <w:color w:val="auto"/>
                      <w:kern w:val="2"/>
                      <w:sz w:val="21"/>
                      <w:szCs w:val="21"/>
                    </w:rPr>
                    <w:t>15%</w:t>
                  </w:r>
                  <w:r>
                    <w:rPr>
                      <w:rFonts w:hint="default" w:ascii="Times New Roman"/>
                      <w:color w:val="auto"/>
                      <w:kern w:val="2"/>
                      <w:sz w:val="21"/>
                      <w:szCs w:val="21"/>
                    </w:rPr>
                    <w:t>。</w:t>
                  </w:r>
                </w:p>
              </w:tc>
              <w:tc>
                <w:tcPr>
                  <w:tcW w:w="2429" w:type="pct"/>
                  <w:vAlign w:val="center"/>
                </w:tcPr>
                <w:p w14:paraId="280CB2B1">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本项目对照《产业结构调整指导目录（2024年本）》属于鼓励类项目；不属于所列钢铁、水泥（熟料）、焦化、电解铝、平板玻璃行业</w:t>
                  </w:r>
                </w:p>
              </w:tc>
              <w:tc>
                <w:tcPr>
                  <w:tcW w:w="780" w:type="pct"/>
                  <w:vAlign w:val="center"/>
                </w:tcPr>
                <w:p w14:paraId="22DBF30A">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r w14:paraId="2B4C2C2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297" w:type="pct"/>
                  <w:vAlign w:val="center"/>
                </w:tcPr>
                <w:p w14:paraId="2144D97D">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3</w:t>
                  </w:r>
                </w:p>
              </w:tc>
              <w:tc>
                <w:tcPr>
                  <w:tcW w:w="1492" w:type="pct"/>
                  <w:vAlign w:val="center"/>
                </w:tcPr>
                <w:p w14:paraId="445B8843">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中小型传统制</w:t>
                  </w:r>
                  <w:r>
                    <w:rPr>
                      <w:rFonts w:hint="default"/>
                      <w:color w:val="auto"/>
                      <w:kern w:val="2"/>
                      <w:sz w:val="21"/>
                      <w:szCs w:val="21"/>
                    </w:rPr>
                    <w:t>造企业集中的涉气产业集群要制定发展规划。开展石灰岩、陶瓷等涉气产业集群排查及分类治理，“一群一策”制定整治提升方案，实施拉单挂账式管理，依法淘汰关停一批、搬迁入园一批、就地改造一批、做优做强一批。高水平打造皖北等承接产业转移集聚区，持续加强产业集群环境 治理。结合“绿岛”项目等因地制宜建设集中供热中心、集中涂装中心、有机溶剂集中回收中心、活性炭再生中心；推进建设钣喷共享中心，</w:t>
                  </w:r>
                  <w:r>
                    <w:rPr>
                      <w:rFonts w:hint="default" w:ascii="Times New Roman" w:hAnsi="Times New Roman"/>
                      <w:color w:val="auto"/>
                      <w:kern w:val="2"/>
                      <w:sz w:val="21"/>
                      <w:szCs w:val="21"/>
                    </w:rPr>
                    <w:t>配套建设适宜高效VOCs治理设施</w:t>
                  </w:r>
                </w:p>
              </w:tc>
              <w:tc>
                <w:tcPr>
                  <w:tcW w:w="2429" w:type="pct"/>
                  <w:vMerge w:val="restart"/>
                  <w:vAlign w:val="center"/>
                </w:tcPr>
                <w:p w14:paraId="328889C1">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highlight w:val="yellow"/>
                    </w:rPr>
                  </w:pPr>
                  <w:r>
                    <w:rPr>
                      <w:rFonts w:hint="default" w:ascii="Times New Roman" w:hAnsi="Times New Roman"/>
                      <w:color w:val="auto"/>
                      <w:kern w:val="2"/>
                      <w:sz w:val="21"/>
                      <w:szCs w:val="21"/>
                    </w:rPr>
                    <w:t>项目使用碳氢清洗剂</w:t>
                  </w:r>
                  <w:r>
                    <w:rPr>
                      <w:rFonts w:hint="eastAsia" w:ascii="Times New Roman" w:hAnsi="Times New Roman"/>
                      <w:color w:val="auto"/>
                      <w:kern w:val="2"/>
                      <w:sz w:val="21"/>
                      <w:szCs w:val="21"/>
                    </w:rPr>
                    <w:t>、</w:t>
                  </w:r>
                  <w:r>
                    <w:rPr>
                      <w:rFonts w:hint="default" w:ascii="Times New Roman" w:hAnsi="Times New Roman"/>
                      <w:color w:val="auto"/>
                      <w:kern w:val="2"/>
                      <w:sz w:val="21"/>
                      <w:szCs w:val="21"/>
                    </w:rPr>
                    <w:t>密封胶</w:t>
                  </w:r>
                  <w:r>
                    <w:rPr>
                      <w:rFonts w:hint="eastAsia" w:ascii="Times New Roman" w:hAnsi="Times New Roman"/>
                      <w:color w:val="auto"/>
                      <w:kern w:val="2"/>
                      <w:sz w:val="21"/>
                      <w:szCs w:val="21"/>
                    </w:rPr>
                    <w:t>，根据</w:t>
                  </w:r>
                  <w:r>
                    <w:rPr>
                      <w:rFonts w:hint="default" w:ascii="Times New Roman" w:hAnsi="Times New Roman"/>
                      <w:color w:val="auto"/>
                      <w:kern w:val="2"/>
                      <w:sz w:val="21"/>
                      <w:szCs w:val="21"/>
                    </w:rPr>
                    <w:t>碳氢清洗剂</w:t>
                  </w:r>
                  <w:r>
                    <w:rPr>
                      <w:rFonts w:hint="eastAsia" w:ascii="Times New Roman" w:hAnsi="Times New Roman"/>
                      <w:color w:val="auto"/>
                      <w:kern w:val="2"/>
                      <w:sz w:val="21"/>
                      <w:szCs w:val="21"/>
                    </w:rPr>
                    <w:t>MSDS，</w:t>
                  </w:r>
                  <w:r>
                    <w:rPr>
                      <w:rFonts w:hint="default" w:ascii="Times New Roman" w:hAnsi="Times New Roman"/>
                      <w:color w:val="auto"/>
                      <w:kern w:val="2"/>
                      <w:sz w:val="21"/>
                      <w:szCs w:val="21"/>
                    </w:rPr>
                    <w:t>本项目碳氢清洗剂密度0.65g/cm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，其中挥发性有机物含量99%，挥发性有机物含量为0.65</w:t>
                  </w:r>
                  <w:r>
                    <w:rPr>
                      <w:rFonts w:hint="eastAsia" w:ascii="Times New Roman" w:hAnsi="Times New Roman"/>
                      <w:color w:val="auto"/>
                      <w:kern w:val="2"/>
                      <w:sz w:val="21"/>
                      <w:szCs w:val="21"/>
                    </w:rPr>
                    <w:t>×</w:t>
                  </w:r>
                  <w:r>
                    <w:rPr>
                      <w:rFonts w:hint="default" w:ascii="Times New Roman" w:hAnsi="Times New Roman"/>
                      <w:color w:val="auto"/>
                      <w:kern w:val="2"/>
                      <w:sz w:val="21"/>
                      <w:szCs w:val="21"/>
                    </w:rPr>
                    <w:t>99%=0.6435g/cm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=643.5g/L≤900g/L，符合《清洗剂挥发性有机化合物含量限值》（GB38508-2020）表1清洗剂VOC含量及特定挥发性有机物限制要求，满足有机溶剂清洗剂VOC含量≤900g/L。</w:t>
                  </w:r>
                  <w:r>
                    <w:rPr>
                      <w:rFonts w:hint="eastAsia" w:ascii="Times New Roman" w:hAnsi="Times New Roman"/>
                      <w:color w:val="auto"/>
                      <w:kern w:val="2"/>
                      <w:sz w:val="21"/>
                      <w:szCs w:val="21"/>
                    </w:rPr>
                    <w:t>根据</w:t>
                  </w:r>
                  <w:r>
                    <w:rPr>
                      <w:rFonts w:hint="default" w:ascii="Times New Roman" w:hAnsi="Times New Roman"/>
                      <w:color w:val="auto"/>
                      <w:kern w:val="2"/>
                      <w:sz w:val="21"/>
                      <w:szCs w:val="21"/>
                    </w:rPr>
                    <w:t>密封胶</w:t>
                  </w:r>
                  <w:r>
                    <w:rPr>
                      <w:rFonts w:hint="eastAsia" w:ascii="Times New Roman" w:hAnsi="Times New Roman"/>
                      <w:color w:val="auto"/>
                      <w:kern w:val="2"/>
                      <w:sz w:val="21"/>
                      <w:szCs w:val="21"/>
                    </w:rPr>
                    <w:t>MSDS</w:t>
                  </w:r>
                  <w:r>
                    <w:rPr>
                      <w:rFonts w:hint="eastAsia" w:ascii="Times New Roman" w:hAnsi="Times New Roman"/>
                      <w:color w:val="auto"/>
                      <w:kern w:val="2"/>
                      <w:sz w:val="21"/>
                      <w:szCs w:val="21"/>
                      <w:lang w:eastAsia="zh-CN"/>
                    </w:rPr>
                    <w:t>、</w:t>
                  </w:r>
                  <w:r>
                    <w:rPr>
                      <w:rFonts w:hint="eastAsia" w:ascii="Times New Roman" w:hAnsi="Times New Roman"/>
                      <w:color w:val="auto"/>
                      <w:kern w:val="2"/>
                      <w:sz w:val="21"/>
                      <w:szCs w:val="21"/>
                      <w:lang w:val="en-US" w:eastAsia="zh-CN"/>
                    </w:rPr>
                    <w:t>VOC检测报告</w:t>
                  </w:r>
                  <w:r>
                    <w:rPr>
                      <w:rFonts w:hint="eastAsia" w:ascii="Times New Roman" w:hAnsi="Times New Roman"/>
                      <w:color w:val="auto"/>
                      <w:kern w:val="2"/>
                      <w:sz w:val="21"/>
                      <w:szCs w:val="21"/>
                    </w:rPr>
                    <w:t>，</w:t>
                  </w:r>
                  <w:r>
                    <w:rPr>
                      <w:rFonts w:hint="default" w:ascii="Times New Roman" w:hAnsi="Times New Roman"/>
                      <w:color w:val="auto"/>
                      <w:kern w:val="2"/>
                      <w:sz w:val="21"/>
                      <w:szCs w:val="21"/>
                    </w:rPr>
                    <w:t>密封胶密度1.1g/cm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，其中挥发性有机物含量</w:t>
                  </w:r>
                  <w:r>
                    <w:rPr>
                      <w:rFonts w:hint="eastAsia" w:ascii="Times New Roman" w:hAnsi="Times New Roman"/>
                      <w:color w:val="auto"/>
                      <w:kern w:val="2"/>
                      <w:sz w:val="21"/>
                      <w:szCs w:val="21"/>
                      <w:lang w:eastAsia="zh-CN"/>
                    </w:rPr>
                    <w:t>为</w:t>
                  </w:r>
                  <w:r>
                    <w:rPr>
                      <w:rFonts w:hint="eastAsia" w:ascii="Times New Roman" w:hAnsi="Times New Roman"/>
                      <w:color w:val="auto"/>
                      <w:kern w:val="2"/>
                      <w:sz w:val="21"/>
                      <w:szCs w:val="21"/>
                      <w:lang w:val="en-US" w:eastAsia="zh-CN"/>
                    </w:rPr>
                    <w:t>7g/kg</w:t>
                  </w:r>
                  <w:r>
                    <w:rPr>
                      <w:rFonts w:hint="default" w:ascii="Times New Roman" w:hAnsi="Times New Roman"/>
                      <w:color w:val="auto"/>
                      <w:kern w:val="2"/>
                      <w:sz w:val="21"/>
                      <w:szCs w:val="21"/>
                    </w:rPr>
                    <w:t>=0.0</w:t>
                  </w:r>
                  <w:r>
                    <w:rPr>
                      <w:rFonts w:hint="eastAsia" w:ascii="Times New Roman" w:hAnsi="Times New Roman"/>
                      <w:color w:val="auto"/>
                      <w:kern w:val="2"/>
                      <w:sz w:val="21"/>
                      <w:szCs w:val="21"/>
                      <w:lang w:val="en-US" w:eastAsia="zh-CN"/>
                    </w:rPr>
                    <w:t>077</w:t>
                  </w:r>
                  <w:r>
                    <w:rPr>
                      <w:rFonts w:hint="default" w:ascii="Times New Roman" w:hAnsi="Times New Roman"/>
                      <w:color w:val="auto"/>
                      <w:kern w:val="2"/>
                      <w:sz w:val="21"/>
                      <w:szCs w:val="21"/>
                    </w:rPr>
                    <w:t>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w:t>
                  </w:r>
                  <w:r>
                    <w:rPr>
                      <w:rFonts w:hint="eastAsia" w:ascii="Times New Roman" w:hAnsi="Times New Roman"/>
                      <w:color w:val="auto"/>
                      <w:kern w:val="2"/>
                      <w:sz w:val="21"/>
                      <w:szCs w:val="21"/>
                      <w:lang w:val="en-US" w:eastAsia="zh-CN"/>
                    </w:rPr>
                    <w:t>7.7</w:t>
                  </w:r>
                  <w:r>
                    <w:rPr>
                      <w:rFonts w:hint="default" w:ascii="Times New Roman" w:hAnsi="Times New Roman"/>
                      <w:color w:val="auto"/>
                      <w:kern w:val="2"/>
                      <w:sz w:val="21"/>
                      <w:szCs w:val="21"/>
                    </w:rPr>
                    <w:t>g/L≤50g/L，符合《胶粘剂挥发性有机化合物限量》（GB 33372-2020）表3本体型胶粘剂中环氧树脂类VOC含量的要求≤50g/L</w:t>
                  </w:r>
                  <w:r>
                    <w:rPr>
                      <w:rFonts w:hint="eastAsia"/>
                      <w:color w:val="auto"/>
                      <w:kern w:val="2"/>
                      <w:sz w:val="21"/>
                      <w:szCs w:val="21"/>
                    </w:rPr>
                    <w:t>，符合</w:t>
                  </w:r>
                  <w:r>
                    <w:rPr>
                      <w:rFonts w:hint="default" w:ascii="Times New Roman" w:hAnsi="Times New Roman"/>
                      <w:color w:val="auto"/>
                      <w:kern w:val="2"/>
                      <w:sz w:val="21"/>
                      <w:szCs w:val="21"/>
                    </w:rPr>
                    <w:t>《低挥发性有机物含量原辅材料源头替代技术指引（试行）》要求，生产过程中产生的VOCs通过</w:t>
                  </w:r>
                  <w:r>
                    <w:rPr>
                      <w:rFonts w:hint="eastAsia" w:ascii="Times New Roman" w:hAnsi="Times New Roman"/>
                      <w:color w:val="auto"/>
                      <w:kern w:val="2"/>
                      <w:sz w:val="21"/>
                      <w:szCs w:val="21"/>
                    </w:rPr>
                    <w:t>密闭管道</w:t>
                  </w:r>
                  <w:r>
                    <w:rPr>
                      <w:rFonts w:hint="default" w:ascii="Times New Roman" w:hAnsi="Times New Roman"/>
                      <w:color w:val="auto"/>
                      <w:kern w:val="2"/>
                      <w:sz w:val="21"/>
                      <w:szCs w:val="21"/>
                    </w:rPr>
                    <w:t>收集后经</w:t>
                  </w:r>
                  <w:r>
                    <w:rPr>
                      <w:rFonts w:hint="default"/>
                      <w:bCs/>
                      <w:color w:val="auto"/>
                      <w:kern w:val="2"/>
                      <w:sz w:val="21"/>
                      <w:szCs w:val="21"/>
                    </w:rPr>
                    <w:t>“</w:t>
                  </w:r>
                  <w:r>
                    <w:rPr>
                      <w:rFonts w:hint="eastAsia"/>
                      <w:bCs/>
                      <w:color w:val="auto"/>
                      <w:kern w:val="2"/>
                      <w:sz w:val="21"/>
                      <w:szCs w:val="21"/>
                    </w:rPr>
                    <w:t>二级活性炭吸附装置</w:t>
                  </w:r>
                  <w:r>
                    <w:rPr>
                      <w:rFonts w:hint="default"/>
                      <w:bCs/>
                      <w:color w:val="auto"/>
                      <w:kern w:val="2"/>
                      <w:sz w:val="21"/>
                      <w:szCs w:val="21"/>
                    </w:rPr>
                    <w:t>”</w:t>
                  </w:r>
                  <w:r>
                    <w:rPr>
                      <w:rFonts w:hint="default" w:ascii="Times New Roman" w:hAnsi="Times New Roman"/>
                      <w:color w:val="auto"/>
                      <w:kern w:val="2"/>
                      <w:sz w:val="21"/>
                      <w:szCs w:val="21"/>
                    </w:rPr>
                    <w:t>处理达标排放</w:t>
                  </w:r>
                </w:p>
              </w:tc>
              <w:tc>
                <w:tcPr>
                  <w:tcW w:w="780" w:type="pct"/>
                  <w:vAlign w:val="center"/>
                </w:tcPr>
                <w:p w14:paraId="63985067">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r w14:paraId="73313DC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jc w:val="center"/>
              </w:trPr>
              <w:tc>
                <w:tcPr>
                  <w:tcW w:w="297" w:type="pct"/>
                  <w:vAlign w:val="center"/>
                </w:tcPr>
                <w:p w14:paraId="6235A8B8">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4</w:t>
                  </w:r>
                </w:p>
              </w:tc>
              <w:tc>
                <w:tcPr>
                  <w:tcW w:w="1492" w:type="pct"/>
                  <w:vAlign w:val="center"/>
                </w:tcPr>
                <w:p w14:paraId="25AB1BE2">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严</w:t>
                  </w:r>
                  <w:r>
                    <w:rPr>
                      <w:rFonts w:hint="default"/>
                      <w:color w:val="auto"/>
                      <w:kern w:val="2"/>
                      <w:sz w:val="21"/>
                      <w:szCs w:val="21"/>
                    </w:rPr>
                    <w:t>格控制生产和使用高</w:t>
                  </w:r>
                  <w:r>
                    <w:rPr>
                      <w:rFonts w:hint="default" w:ascii="Times New Roman" w:hAnsi="Times New Roman"/>
                      <w:color w:val="auto"/>
                      <w:kern w:val="2"/>
                      <w:sz w:val="21"/>
                      <w:szCs w:val="21"/>
                    </w:rPr>
                    <w:t>VOCs</w:t>
                  </w:r>
                  <w:r>
                    <w:rPr>
                      <w:rFonts w:hint="default"/>
                      <w:color w:val="auto"/>
                      <w:kern w:val="2"/>
                      <w:sz w:val="21"/>
                      <w:szCs w:val="21"/>
                    </w:rPr>
                    <w:t>含量涂料、油墨、胶粘剂、清洗剂等建设项目。推动现有高</w:t>
                  </w:r>
                  <w:r>
                    <w:rPr>
                      <w:rFonts w:hint="default" w:ascii="Times New Roman" w:hAnsi="Times New Roman"/>
                      <w:color w:val="auto"/>
                      <w:kern w:val="2"/>
                      <w:sz w:val="21"/>
                      <w:szCs w:val="21"/>
                    </w:rPr>
                    <w:t>VOCs</w:t>
                  </w:r>
                  <w:r>
                    <w:rPr>
                      <w:rFonts w:hint="default"/>
                      <w:color w:val="auto"/>
                      <w:kern w:val="2"/>
                      <w:sz w:val="21"/>
                      <w:szCs w:val="21"/>
                    </w:rPr>
                    <w:t>含量产品生产企业加快产品升级转型，提高低（无）</w:t>
                  </w:r>
                  <w:r>
                    <w:rPr>
                      <w:rFonts w:hint="default" w:ascii="Times New Roman" w:hAnsi="Times New Roman"/>
                      <w:color w:val="auto"/>
                      <w:kern w:val="2"/>
                      <w:sz w:val="21"/>
                      <w:szCs w:val="21"/>
                    </w:rPr>
                    <w:t>VOCs含</w:t>
                  </w:r>
                  <w:r>
                    <w:rPr>
                      <w:rFonts w:hint="default"/>
                      <w:color w:val="auto"/>
                      <w:kern w:val="2"/>
                      <w:sz w:val="21"/>
                      <w:szCs w:val="21"/>
                    </w:rPr>
                    <w:t>量产品比重。加大工业涂装行业、包装印刷行业及电子行业低（无）</w:t>
                  </w:r>
                  <w:r>
                    <w:rPr>
                      <w:rFonts w:hint="default" w:ascii="Times New Roman" w:hAnsi="Times New Roman"/>
                      <w:color w:val="auto"/>
                      <w:kern w:val="2"/>
                      <w:sz w:val="21"/>
                      <w:szCs w:val="21"/>
                    </w:rPr>
                    <w:t>VOCs含</w:t>
                  </w:r>
                  <w:r>
                    <w:rPr>
                      <w:rFonts w:hint="default"/>
                      <w:color w:val="auto"/>
                      <w:kern w:val="2"/>
                      <w:sz w:val="21"/>
                      <w:szCs w:val="21"/>
                    </w:rPr>
                    <w:t>量原辅材料替 代力度。室外构筑物防护和城市道路交通标志推广 使用低（无）</w:t>
                  </w:r>
                  <w:r>
                    <w:rPr>
                      <w:rFonts w:hint="default" w:ascii="Times New Roman" w:hAnsi="Times New Roman"/>
                      <w:color w:val="auto"/>
                      <w:kern w:val="2"/>
                      <w:sz w:val="21"/>
                      <w:szCs w:val="21"/>
                    </w:rPr>
                    <w:t>VOCs含</w:t>
                  </w:r>
                  <w:r>
                    <w:rPr>
                      <w:rFonts w:hint="default"/>
                      <w:color w:val="auto"/>
                      <w:kern w:val="2"/>
                      <w:sz w:val="21"/>
                      <w:szCs w:val="21"/>
                    </w:rPr>
                    <w:t>量涂料。严格执行</w:t>
                  </w:r>
                  <w:r>
                    <w:rPr>
                      <w:rFonts w:hint="default" w:ascii="Times New Roman" w:hAnsi="Times New Roman"/>
                      <w:color w:val="auto"/>
                      <w:kern w:val="2"/>
                      <w:sz w:val="21"/>
                      <w:szCs w:val="21"/>
                    </w:rPr>
                    <w:t>VOCs含</w:t>
                  </w:r>
                  <w:r>
                    <w:rPr>
                      <w:rFonts w:hint="default"/>
                      <w:color w:val="auto"/>
                      <w:kern w:val="2"/>
                      <w:sz w:val="21"/>
                      <w:szCs w:val="21"/>
                    </w:rPr>
                    <w:t>量限值标准，确保生产、销售、进口、使用符合标准的产品。</w:t>
                  </w:r>
                </w:p>
              </w:tc>
              <w:tc>
                <w:tcPr>
                  <w:tcW w:w="2429" w:type="pct"/>
                  <w:vMerge w:val="continue"/>
                  <w:vAlign w:val="center"/>
                </w:tcPr>
                <w:p w14:paraId="25DD0199">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highlight w:val="yellow"/>
                    </w:rPr>
                  </w:pPr>
                </w:p>
              </w:tc>
              <w:tc>
                <w:tcPr>
                  <w:tcW w:w="780" w:type="pct"/>
                  <w:vAlign w:val="center"/>
                </w:tcPr>
                <w:p w14:paraId="191FF348">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bl>
          <w:p w14:paraId="0E4F0B37">
            <w:pPr>
              <w:keepNext w:val="0"/>
              <w:keepLines w:val="0"/>
              <w:widowControl/>
              <w:suppressLineNumbers w:val="0"/>
              <w:spacing w:before="0" w:beforeAutospacing="0" w:after="0" w:afterAutospacing="0" w:line="360" w:lineRule="auto"/>
              <w:ind w:left="0" w:right="0"/>
              <w:rPr>
                <w:rFonts w:hint="default" w:ascii="Times New Roman" w:hAnsi="Times New Roman" w:cs="Times New Roman"/>
                <w:color w:val="auto"/>
                <w:kern w:val="2"/>
              </w:rPr>
            </w:pPr>
          </w:p>
        </w:tc>
      </w:tr>
    </w:tbl>
    <w:p w14:paraId="5AEC0848">
      <w:pPr>
        <w:rPr>
          <w:rFonts w:ascii="Times New Roman" w:hAnsi="Times New Roman"/>
          <w:color w:val="auto"/>
        </w:rPr>
        <w:sectPr>
          <w:pgSz w:w="11906" w:h="16838"/>
          <w:pgMar w:top="1701" w:right="1531" w:bottom="1701" w:left="1531" w:header="851" w:footer="992" w:gutter="0"/>
          <w:cols w:space="720" w:num="1"/>
          <w:docGrid w:type="lines" w:linePitch="312" w:charSpace="0"/>
        </w:sectPr>
      </w:pPr>
    </w:p>
    <w:tbl>
      <w:tblPr>
        <w:tblStyle w:val="23"/>
        <w:tblW w:w="4895" w:type="pct"/>
        <w:jc w:val="center"/>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1983"/>
      </w:tblGrid>
      <w:tr w14:paraId="304698BB">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93" w:hRule="atLeast"/>
          <w:jc w:val="center"/>
        </w:trPr>
        <w:tc>
          <w:tcPr>
            <w:tcW w:w="517" w:type="pct"/>
            <w:vAlign w:val="center"/>
          </w:tcPr>
          <w:p w14:paraId="7196C2F2">
            <w:pPr>
              <w:keepNext w:val="0"/>
              <w:keepLines w:val="0"/>
              <w:widowControl/>
              <w:suppressLineNumbers w:val="0"/>
              <w:autoSpaceDE w:val="0"/>
              <w:autoSpaceDN w:val="0"/>
              <w:spacing w:before="0" w:beforeAutospacing="0" w:after="0" w:afterAutospacing="0" w:line="360" w:lineRule="auto"/>
              <w:ind w:left="0" w:right="0"/>
              <w:jc w:val="center"/>
              <w:rPr>
                <w:rFonts w:hint="default" w:ascii="Times New Roman" w:hAnsi="Times New Roman"/>
                <w:color w:val="auto"/>
                <w:kern w:val="2"/>
              </w:rPr>
            </w:pPr>
          </w:p>
        </w:tc>
        <w:tc>
          <w:tcPr>
            <w:tcW w:w="4483" w:type="pct"/>
            <w:vAlign w:val="center"/>
          </w:tcPr>
          <w:p w14:paraId="22D368F4">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eastAsia" w:ascii="Times New Roman" w:hAnsi="Times New Roman"/>
                <w:b/>
                <w:color w:val="auto"/>
                <w:kern w:val="2"/>
              </w:rPr>
              <w:t>11</w:t>
            </w:r>
            <w:r>
              <w:rPr>
                <w:rFonts w:hint="default" w:ascii="Times New Roman" w:hAnsi="Times New Roman"/>
                <w:b/>
                <w:color w:val="auto"/>
                <w:kern w:val="2"/>
              </w:rPr>
              <w:t>、与《淮南市涉气建设项目环评审批负面清单》相符性分析</w:t>
            </w:r>
          </w:p>
          <w:p w14:paraId="1E82B4EB">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color w:val="auto"/>
                <w:kern w:val="2"/>
              </w:rPr>
            </w:pPr>
            <w:r>
              <w:rPr>
                <w:rFonts w:hint="default" w:ascii="Times New Roman" w:hAnsi="Times New Roman" w:eastAsia="黑体"/>
                <w:color w:val="auto"/>
                <w:kern w:val="2"/>
              </w:rPr>
              <w:t>表1-</w:t>
            </w:r>
            <w:r>
              <w:rPr>
                <w:rFonts w:hint="eastAsia" w:ascii="Times New Roman" w:hAnsi="Times New Roman" w:eastAsia="黑体"/>
                <w:color w:val="auto"/>
                <w:kern w:val="2"/>
              </w:rPr>
              <w:t>11</w:t>
            </w:r>
            <w:r>
              <w:rPr>
                <w:rFonts w:hint="default" w:ascii="Times New Roman" w:hAnsi="Times New Roman" w:eastAsia="黑体"/>
                <w:color w:val="auto"/>
                <w:kern w:val="2"/>
              </w:rPr>
              <w:t xml:space="preserve">  与《淮南市涉气建设项目环评审批负面清单》相符性分析</w:t>
            </w:r>
          </w:p>
          <w:tbl>
            <w:tblPr>
              <w:tblStyle w:val="2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33"/>
              <w:gridCol w:w="1532"/>
              <w:gridCol w:w="2382"/>
              <w:gridCol w:w="2304"/>
              <w:gridCol w:w="4443"/>
              <w:gridCol w:w="673"/>
            </w:tblGrid>
            <w:tr w14:paraId="1A7264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4" w:type="pct"/>
                  <w:vAlign w:val="center"/>
                </w:tcPr>
                <w:p w14:paraId="2D847D7D">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序号</w:t>
                  </w:r>
                </w:p>
              </w:tc>
              <w:tc>
                <w:tcPr>
                  <w:tcW w:w="651" w:type="pct"/>
                  <w:vAlign w:val="center"/>
                </w:tcPr>
                <w:p w14:paraId="51BDFFA8">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重点工作任务</w:t>
                  </w:r>
                </w:p>
              </w:tc>
              <w:tc>
                <w:tcPr>
                  <w:tcW w:w="1012" w:type="pct"/>
                  <w:vAlign w:val="center"/>
                </w:tcPr>
                <w:p w14:paraId="1C0131F8">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推进举措</w:t>
                  </w:r>
                </w:p>
              </w:tc>
              <w:tc>
                <w:tcPr>
                  <w:tcW w:w="979" w:type="pct"/>
                  <w:vAlign w:val="center"/>
                </w:tcPr>
                <w:p w14:paraId="5831C71A">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环评审批的负面清单</w:t>
                  </w:r>
                </w:p>
              </w:tc>
              <w:tc>
                <w:tcPr>
                  <w:tcW w:w="1888" w:type="pct"/>
                  <w:vAlign w:val="center"/>
                </w:tcPr>
                <w:p w14:paraId="5D1FE2DE">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本项目情况</w:t>
                  </w:r>
                </w:p>
              </w:tc>
              <w:tc>
                <w:tcPr>
                  <w:tcW w:w="282" w:type="pct"/>
                  <w:vAlign w:val="center"/>
                </w:tcPr>
                <w:p w14:paraId="05929AB1">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符合性</w:t>
                  </w:r>
                </w:p>
              </w:tc>
            </w:tr>
            <w:tr w14:paraId="143343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vAlign w:val="center"/>
                </w:tcPr>
                <w:p w14:paraId="049D6DE3">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（一）坚决遏制高耗能、高排放、低水平项目盲目上马</w:t>
                  </w:r>
                </w:p>
              </w:tc>
            </w:tr>
            <w:tr w14:paraId="0C39C7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4" w:type="pct"/>
                  <w:vAlign w:val="center"/>
                </w:tcPr>
                <w:p w14:paraId="6E7DA5AD">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1</w:t>
                  </w:r>
                </w:p>
              </w:tc>
              <w:tc>
                <w:tcPr>
                  <w:tcW w:w="651" w:type="pct"/>
                  <w:vAlign w:val="center"/>
                </w:tcPr>
                <w:p w14:paraId="40A3DB55">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新改扩建项目严格落实国家产业政策要求，严把“两高”项目审批</w:t>
                  </w:r>
                </w:p>
              </w:tc>
              <w:tc>
                <w:tcPr>
                  <w:tcW w:w="1012" w:type="pct"/>
                  <w:vAlign w:val="center"/>
                </w:tcPr>
                <w:p w14:paraId="29DE2DF5">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严格论证项目建设必要性、可行性，推动行业集约发展和绿色转型</w:t>
                  </w:r>
                </w:p>
              </w:tc>
              <w:tc>
                <w:tcPr>
                  <w:tcW w:w="979" w:type="pct"/>
                  <w:vAlign w:val="center"/>
                </w:tcPr>
                <w:p w14:paraId="625E54BA">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1、新改扩建项目严格落实国家产业规划、产业政策、生态环境分区管控方案、规划环评、项目环评、节能审查、产能置换、重点污染物总量控制、污染物排放区域削减、碳排放达峰目标等相关要求；</w:t>
                  </w:r>
                </w:p>
                <w:p w14:paraId="671EE05B">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2、两高项目应实施部门联审</w:t>
                  </w:r>
                </w:p>
              </w:tc>
              <w:tc>
                <w:tcPr>
                  <w:tcW w:w="1888" w:type="pct"/>
                  <w:vAlign w:val="center"/>
                </w:tcPr>
                <w:p w14:paraId="5BAFD178">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本项目属于C3670汽车零部件及配件制造，查阅《产业结构调整指导目录（2024年本）》，本项目属于其中的鼓励类，本项目建设符合国家产业政策要求；对照《安徽省“两高”项目重点管理范围</w:t>
                  </w:r>
                  <w:r>
                    <w:rPr>
                      <w:rFonts w:hint="eastAsia" w:ascii="宋体" w:hAnsi="宋体" w:eastAsia="宋体" w:cs="宋体"/>
                      <w:color w:val="auto"/>
                      <w:kern w:val="2"/>
                      <w:sz w:val="21"/>
                      <w:szCs w:val="21"/>
                    </w:rPr>
                    <w:t>(</w:t>
                  </w:r>
                  <w:r>
                    <w:rPr>
                      <w:rFonts w:hint="default" w:ascii="Times New Roman" w:hAnsi="Times New Roman"/>
                      <w:color w:val="auto"/>
                      <w:kern w:val="2"/>
                      <w:sz w:val="21"/>
                      <w:szCs w:val="21"/>
                    </w:rPr>
                    <w:t>2025年</w:t>
                  </w:r>
                  <w:r>
                    <w:rPr>
                      <w:rFonts w:hint="eastAsia" w:ascii="宋体" w:hAnsi="宋体" w:eastAsia="宋体" w:cs="宋体"/>
                      <w:color w:val="auto"/>
                      <w:kern w:val="2"/>
                      <w:sz w:val="21"/>
                      <w:szCs w:val="21"/>
                    </w:rPr>
                    <w:t>版)》</w:t>
                  </w:r>
                  <w:r>
                    <w:rPr>
                      <w:rFonts w:hint="default" w:ascii="Times New Roman" w:hAnsi="Times New Roman"/>
                      <w:color w:val="auto"/>
                      <w:kern w:val="2"/>
                      <w:sz w:val="21"/>
                      <w:szCs w:val="21"/>
                    </w:rPr>
                    <w:t>，本项目不属于高耗能、高排放项目</w:t>
                  </w:r>
                </w:p>
              </w:tc>
              <w:tc>
                <w:tcPr>
                  <w:tcW w:w="282" w:type="pct"/>
                  <w:vAlign w:val="center"/>
                </w:tcPr>
                <w:p w14:paraId="217D5591">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r w14:paraId="701E20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4" w:type="pct"/>
                  <w:vMerge w:val="restart"/>
                  <w:vAlign w:val="center"/>
                </w:tcPr>
                <w:p w14:paraId="2B23002B">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2</w:t>
                  </w:r>
                </w:p>
              </w:tc>
              <w:tc>
                <w:tcPr>
                  <w:tcW w:w="651" w:type="pct"/>
                  <w:vMerge w:val="restart"/>
                  <w:vAlign w:val="center"/>
                </w:tcPr>
                <w:p w14:paraId="646275DF">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严格落实产能置换要求</w:t>
                  </w:r>
                </w:p>
              </w:tc>
              <w:tc>
                <w:tcPr>
                  <w:tcW w:w="1012" w:type="pct"/>
                  <w:vAlign w:val="center"/>
                </w:tcPr>
                <w:p w14:paraId="3BCB56F8">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推动产能过剩行业减量发展、优化布局。不以任何名义、任何方式核准、备案产能严重过剩行业新增产能项目</w:t>
                  </w:r>
                </w:p>
              </w:tc>
              <w:tc>
                <w:tcPr>
                  <w:tcW w:w="979" w:type="pct"/>
                  <w:vAlign w:val="center"/>
                </w:tcPr>
                <w:p w14:paraId="5F8C3EF8">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严重过剩行业新增产能项目环评不予审批</w:t>
                  </w:r>
                </w:p>
              </w:tc>
              <w:tc>
                <w:tcPr>
                  <w:tcW w:w="1888" w:type="pct"/>
                  <w:vAlign w:val="center"/>
                </w:tcPr>
                <w:p w14:paraId="6A68FA3E">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本项目不属于过剩行业</w:t>
                  </w:r>
                </w:p>
              </w:tc>
              <w:tc>
                <w:tcPr>
                  <w:tcW w:w="282" w:type="pct"/>
                  <w:vAlign w:val="center"/>
                </w:tcPr>
                <w:p w14:paraId="2BA41D09">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符合</w:t>
                  </w:r>
                </w:p>
              </w:tc>
            </w:tr>
            <w:tr w14:paraId="742D6A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4" w:type="pct"/>
                  <w:vMerge w:val="continue"/>
                  <w:vAlign w:val="center"/>
                </w:tcPr>
                <w:p w14:paraId="1B42A179">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p>
              </w:tc>
              <w:tc>
                <w:tcPr>
                  <w:tcW w:w="651" w:type="pct"/>
                  <w:vMerge w:val="continue"/>
                  <w:vAlign w:val="center"/>
                </w:tcPr>
                <w:p w14:paraId="5B9312EA">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p>
              </w:tc>
              <w:tc>
                <w:tcPr>
                  <w:tcW w:w="1012" w:type="pct"/>
                  <w:vAlign w:val="center"/>
                </w:tcPr>
                <w:p w14:paraId="1D806F3C">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被置换产能及其配套设施关停后，新建项目方可投产</w:t>
                  </w:r>
                </w:p>
              </w:tc>
              <w:tc>
                <w:tcPr>
                  <w:tcW w:w="979" w:type="pct"/>
                  <w:vAlign w:val="center"/>
                </w:tcPr>
                <w:p w14:paraId="1E7E1C36">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涉及产能置换项目环评阶段应取得置换产能</w:t>
                  </w:r>
                </w:p>
              </w:tc>
              <w:tc>
                <w:tcPr>
                  <w:tcW w:w="1888" w:type="pct"/>
                  <w:vAlign w:val="center"/>
                </w:tcPr>
                <w:p w14:paraId="4EFD8D80">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本项目不涉及产能置换</w:t>
                  </w:r>
                </w:p>
              </w:tc>
              <w:tc>
                <w:tcPr>
                  <w:tcW w:w="282" w:type="pct"/>
                  <w:vAlign w:val="center"/>
                </w:tcPr>
                <w:p w14:paraId="59515A24">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符合</w:t>
                  </w:r>
                </w:p>
              </w:tc>
            </w:tr>
            <w:tr w14:paraId="621A91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vAlign w:val="center"/>
                </w:tcPr>
                <w:p w14:paraId="7BFED8C6">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（二）有序推动落后产能淘汰</w:t>
                  </w:r>
                </w:p>
              </w:tc>
            </w:tr>
            <w:tr w14:paraId="5A6659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4" w:type="pct"/>
                  <w:vMerge w:val="restart"/>
                  <w:vAlign w:val="center"/>
                </w:tcPr>
                <w:p w14:paraId="126C5146">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5</w:t>
                  </w:r>
                </w:p>
              </w:tc>
              <w:tc>
                <w:tcPr>
                  <w:tcW w:w="651" w:type="pct"/>
                  <w:vMerge w:val="restart"/>
                  <w:vAlign w:val="center"/>
                </w:tcPr>
                <w:p w14:paraId="324189AB">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有序推动生产设施老旧、工艺水平落后、环境管理水平低下等企业退出市场</w:t>
                  </w:r>
                </w:p>
              </w:tc>
              <w:tc>
                <w:tcPr>
                  <w:tcW w:w="1012" w:type="pct"/>
                  <w:vAlign w:val="center"/>
                </w:tcPr>
                <w:p w14:paraId="2E9A3615">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逐步淘汰步进式烧结机和球团竖炉以及半封闭式硅锰合金、镍铁、高碳铬铁、高碳锰铁电炉。</w:t>
                  </w:r>
                </w:p>
                <w:p w14:paraId="5358C0AE">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有序推动落后煤炭洗选企业退出市场。</w:t>
                  </w:r>
                </w:p>
                <w:p w14:paraId="7A0B4134">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禁止铝加工（深井铸造）企业新改扩建项目采用固定式保温炉组、钢丝绳铸造机</w:t>
                  </w:r>
                </w:p>
              </w:tc>
              <w:tc>
                <w:tcPr>
                  <w:tcW w:w="979" w:type="pct"/>
                  <w:vAlign w:val="center"/>
                </w:tcPr>
                <w:p w14:paraId="7470D750">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采用步进式烧结机和球团竖炉以及半封闭式硅锰合金、镍铁、高碳铬铁、高碳锰铁电炉新建项目环评不予审批</w:t>
                  </w:r>
                </w:p>
              </w:tc>
              <w:tc>
                <w:tcPr>
                  <w:tcW w:w="1888" w:type="pct"/>
                  <w:vAlign w:val="center"/>
                </w:tcPr>
                <w:p w14:paraId="4C5AFDF4">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本项目不涉及步进式烧结机和球团竖炉以及半封闭式硅锰合金、镍铁、高碳铬铁、高碳锰铁电炉</w:t>
                  </w:r>
                </w:p>
              </w:tc>
              <w:tc>
                <w:tcPr>
                  <w:tcW w:w="282" w:type="pct"/>
                  <w:vAlign w:val="center"/>
                </w:tcPr>
                <w:p w14:paraId="5AE9A917">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符合</w:t>
                  </w:r>
                </w:p>
              </w:tc>
            </w:tr>
            <w:tr w14:paraId="25B124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4" w:type="pct"/>
                  <w:vMerge w:val="continue"/>
                  <w:vAlign w:val="center"/>
                </w:tcPr>
                <w:p w14:paraId="0654CFCA">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p>
              </w:tc>
              <w:tc>
                <w:tcPr>
                  <w:tcW w:w="651" w:type="pct"/>
                  <w:vMerge w:val="continue"/>
                  <w:vAlign w:val="center"/>
                </w:tcPr>
                <w:p w14:paraId="5706C59F">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p>
              </w:tc>
              <w:tc>
                <w:tcPr>
                  <w:tcW w:w="1012" w:type="pct"/>
                  <w:vAlign w:val="center"/>
                </w:tcPr>
                <w:p w14:paraId="75C17CF4">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落后煤炭洗选项目不予审批</w:t>
                  </w:r>
                </w:p>
              </w:tc>
              <w:tc>
                <w:tcPr>
                  <w:tcW w:w="979" w:type="pct"/>
                  <w:vAlign w:val="center"/>
                </w:tcPr>
                <w:p w14:paraId="6551C8DE">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落后煤炭洗选项目不予审批</w:t>
                  </w:r>
                </w:p>
              </w:tc>
              <w:tc>
                <w:tcPr>
                  <w:tcW w:w="1888" w:type="pct"/>
                  <w:vAlign w:val="center"/>
                </w:tcPr>
                <w:p w14:paraId="050B17C3">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本项目不属于煤炭洗选项目</w:t>
                  </w:r>
                </w:p>
              </w:tc>
              <w:tc>
                <w:tcPr>
                  <w:tcW w:w="282" w:type="pct"/>
                  <w:vAlign w:val="center"/>
                </w:tcPr>
                <w:p w14:paraId="3B4C15AD">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符合</w:t>
                  </w:r>
                </w:p>
              </w:tc>
            </w:tr>
            <w:tr w14:paraId="0B47EC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4" w:type="pct"/>
                  <w:vMerge w:val="continue"/>
                  <w:vAlign w:val="center"/>
                </w:tcPr>
                <w:p w14:paraId="0EC3FB10">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p>
              </w:tc>
              <w:tc>
                <w:tcPr>
                  <w:tcW w:w="651" w:type="pct"/>
                  <w:vMerge w:val="continue"/>
                  <w:vAlign w:val="center"/>
                </w:tcPr>
                <w:p w14:paraId="19699C2A">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p>
              </w:tc>
              <w:tc>
                <w:tcPr>
                  <w:tcW w:w="1012" w:type="pct"/>
                  <w:vAlign w:val="center"/>
                </w:tcPr>
                <w:p w14:paraId="7B5B28A7">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采用固定式保温炉组、钢丝绳铸造机的新改扩建铝加工（深井铸造）项目环评不予审批</w:t>
                  </w:r>
                </w:p>
              </w:tc>
              <w:tc>
                <w:tcPr>
                  <w:tcW w:w="979" w:type="pct"/>
                  <w:vAlign w:val="center"/>
                </w:tcPr>
                <w:p w14:paraId="482451DD">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采用固定式保温炉组、钢丝绳铸造机的新改扩建铝加工（深井铸造）项目环评不予审批</w:t>
                  </w:r>
                </w:p>
              </w:tc>
              <w:tc>
                <w:tcPr>
                  <w:tcW w:w="1888" w:type="pct"/>
                  <w:vAlign w:val="center"/>
                </w:tcPr>
                <w:p w14:paraId="324C9E5B">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本项目不属于采用固定式保温炉组、钢丝绳铸造机的新改扩建铝加工（深井铸造）项目</w:t>
                  </w:r>
                </w:p>
              </w:tc>
              <w:tc>
                <w:tcPr>
                  <w:tcW w:w="282" w:type="pct"/>
                  <w:vAlign w:val="center"/>
                </w:tcPr>
                <w:p w14:paraId="55738636">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符合</w:t>
                  </w:r>
                </w:p>
              </w:tc>
            </w:tr>
            <w:tr w14:paraId="4EB74F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4" w:type="pct"/>
                  <w:vAlign w:val="center"/>
                </w:tcPr>
                <w:p w14:paraId="639C9580">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6</w:t>
                  </w:r>
                </w:p>
              </w:tc>
              <w:tc>
                <w:tcPr>
                  <w:tcW w:w="651" w:type="pct"/>
                  <w:vAlign w:val="center"/>
                </w:tcPr>
                <w:p w14:paraId="15353090">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严禁违规新增产能</w:t>
                  </w:r>
                </w:p>
              </w:tc>
              <w:tc>
                <w:tcPr>
                  <w:tcW w:w="1012" w:type="pct"/>
                  <w:vAlign w:val="center"/>
                </w:tcPr>
                <w:p w14:paraId="2F62D997">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严禁违规新增钢铁、水泥（熟料）、焦化、电解铝、平板玻璃（不含光伏压延玻璃）产能</w:t>
                  </w:r>
                </w:p>
              </w:tc>
              <w:tc>
                <w:tcPr>
                  <w:tcW w:w="979" w:type="pct"/>
                  <w:vAlign w:val="center"/>
                </w:tcPr>
                <w:p w14:paraId="2734F3B8">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违规新增钢铁、水泥（熟料）、焦化、电解铝、平板玻璃（不含光伏压延玻璃）产能项目环评不予审批</w:t>
                  </w:r>
                </w:p>
              </w:tc>
              <w:tc>
                <w:tcPr>
                  <w:tcW w:w="1888" w:type="pct"/>
                  <w:vAlign w:val="center"/>
                </w:tcPr>
                <w:p w14:paraId="353DB193">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本项目不新增产能，且不属于钢铁、水泥（熟料）、焦化、电解铝、平板玻璃（不含光伏压延玻璃）行业</w:t>
                  </w:r>
                </w:p>
              </w:tc>
              <w:tc>
                <w:tcPr>
                  <w:tcW w:w="282" w:type="pct"/>
                  <w:vAlign w:val="center"/>
                </w:tcPr>
                <w:p w14:paraId="5D3CCF94">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符合</w:t>
                  </w:r>
                </w:p>
              </w:tc>
            </w:tr>
            <w:tr w14:paraId="531551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vAlign w:val="center"/>
                </w:tcPr>
                <w:p w14:paraId="57DD1662">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（六）推动煤炭消费减量替代</w:t>
                  </w:r>
                </w:p>
              </w:tc>
            </w:tr>
            <w:tr w14:paraId="27B484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4" w:type="pct"/>
                  <w:vAlign w:val="center"/>
                </w:tcPr>
                <w:p w14:paraId="17AED896">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16</w:t>
                  </w:r>
                </w:p>
              </w:tc>
              <w:tc>
                <w:tcPr>
                  <w:tcW w:w="651" w:type="pct"/>
                  <w:vAlign w:val="center"/>
                </w:tcPr>
                <w:p w14:paraId="1C0100B4">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推动煤炭等量或减量替代</w:t>
                  </w:r>
                </w:p>
              </w:tc>
              <w:tc>
                <w:tcPr>
                  <w:tcW w:w="1012" w:type="pct"/>
                  <w:vAlign w:val="center"/>
                </w:tcPr>
                <w:p w14:paraId="149EEE6A">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重点区域新改扩建用煤项目，依法实行煤炭等量或减量替代，替代方案不完善的能评、环评等不予审批；不得使用石油焦、焦炭、兰炭等高污染燃料作为煤炭减量替代措施</w:t>
                  </w:r>
                </w:p>
              </w:tc>
              <w:tc>
                <w:tcPr>
                  <w:tcW w:w="979" w:type="pct"/>
                  <w:vAlign w:val="center"/>
                </w:tcPr>
                <w:p w14:paraId="054787D3">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重点区域新改扩建用煤项目，依法实行煤炭等量或减量替代，替代方案不完善的环评不予审批；不得使用石油焦、焦炭、兰炭等高污染燃料作为煤炭减量替代措施</w:t>
                  </w:r>
                </w:p>
              </w:tc>
              <w:tc>
                <w:tcPr>
                  <w:tcW w:w="1888" w:type="pct"/>
                  <w:vAlign w:val="center"/>
                </w:tcPr>
                <w:p w14:paraId="2DE08574">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本项目不使用煤，不使用石油焦、焦炭、兰炭等高污染燃料</w:t>
                  </w:r>
                </w:p>
              </w:tc>
              <w:tc>
                <w:tcPr>
                  <w:tcW w:w="282" w:type="pct"/>
                  <w:vAlign w:val="center"/>
                </w:tcPr>
                <w:p w14:paraId="5A9AA622">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符合</w:t>
                  </w:r>
                </w:p>
              </w:tc>
            </w:tr>
            <w:tr w14:paraId="069421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vAlign w:val="center"/>
                </w:tcPr>
                <w:p w14:paraId="50DF6691">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（七）加快推动燃煤锅炉机组升级改造</w:t>
                  </w:r>
                </w:p>
              </w:tc>
            </w:tr>
            <w:tr w14:paraId="7314F4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4" w:type="pct"/>
                  <w:vAlign w:val="center"/>
                </w:tcPr>
                <w:p w14:paraId="450F225B">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19</w:t>
                  </w:r>
                </w:p>
              </w:tc>
              <w:tc>
                <w:tcPr>
                  <w:tcW w:w="651" w:type="pct"/>
                  <w:vAlign w:val="center"/>
                </w:tcPr>
                <w:p w14:paraId="45C9DB94">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严控热源性燃煤设施建设</w:t>
                  </w:r>
                </w:p>
              </w:tc>
              <w:tc>
                <w:tcPr>
                  <w:tcW w:w="1012" w:type="pct"/>
                  <w:vAlign w:val="center"/>
                </w:tcPr>
                <w:p w14:paraId="14613BAE">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重点区域原则上不再新建除集中供暖外的燃煤锅炉</w:t>
                  </w:r>
                </w:p>
              </w:tc>
              <w:tc>
                <w:tcPr>
                  <w:tcW w:w="979" w:type="pct"/>
                  <w:vAlign w:val="center"/>
                </w:tcPr>
                <w:p w14:paraId="0653BB3C">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原则上不得审批除集中供暖外的燃煤锅炉</w:t>
                  </w:r>
                </w:p>
              </w:tc>
              <w:tc>
                <w:tcPr>
                  <w:tcW w:w="1888" w:type="pct"/>
                  <w:vAlign w:val="center"/>
                </w:tcPr>
                <w:p w14:paraId="0C72144E">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本项目不涉及燃煤锅炉</w:t>
                  </w:r>
                </w:p>
              </w:tc>
              <w:tc>
                <w:tcPr>
                  <w:tcW w:w="282" w:type="pct"/>
                  <w:vAlign w:val="center"/>
                </w:tcPr>
                <w:p w14:paraId="109E3165">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符合</w:t>
                  </w:r>
                </w:p>
              </w:tc>
            </w:tr>
            <w:tr w14:paraId="3D8144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4" w:type="pct"/>
                  <w:vAlign w:val="center"/>
                </w:tcPr>
                <w:p w14:paraId="4EA26CBC">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21</w:t>
                  </w:r>
                </w:p>
              </w:tc>
              <w:tc>
                <w:tcPr>
                  <w:tcW w:w="651" w:type="pct"/>
                  <w:vAlign w:val="center"/>
                </w:tcPr>
                <w:p w14:paraId="0EE0E59A">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推动现有燃煤机组升级改造</w:t>
                  </w:r>
                </w:p>
              </w:tc>
              <w:tc>
                <w:tcPr>
                  <w:tcW w:w="1012" w:type="pct"/>
                  <w:vAlign w:val="center"/>
                </w:tcPr>
                <w:p w14:paraId="5E4C0501">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禁止新建自备燃煤机组，鼓励自备燃煤机组积极开展清洁能源替代。大力推动现有煤电机组开展节能降碳改造、灵活性改造、供热改造“三改联动”</w:t>
                  </w:r>
                </w:p>
              </w:tc>
              <w:tc>
                <w:tcPr>
                  <w:tcW w:w="979" w:type="pct"/>
                  <w:vAlign w:val="center"/>
                </w:tcPr>
                <w:p w14:paraId="3E66E9F8">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新建自备燃煤机组环评项目不予审批</w:t>
                  </w:r>
                </w:p>
              </w:tc>
              <w:tc>
                <w:tcPr>
                  <w:tcW w:w="1888" w:type="pct"/>
                  <w:vAlign w:val="center"/>
                </w:tcPr>
                <w:p w14:paraId="4258197F">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本项目不新建自备燃煤机组</w:t>
                  </w:r>
                </w:p>
              </w:tc>
              <w:tc>
                <w:tcPr>
                  <w:tcW w:w="282" w:type="pct"/>
                  <w:vAlign w:val="center"/>
                </w:tcPr>
                <w:p w14:paraId="0CC6A648">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符合</w:t>
                  </w:r>
                </w:p>
              </w:tc>
            </w:tr>
            <w:tr w14:paraId="6B505F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vAlign w:val="center"/>
                </w:tcPr>
                <w:p w14:paraId="598E9B12">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（八）推动工业炉窑清洁能源替代</w:t>
                  </w:r>
                </w:p>
              </w:tc>
            </w:tr>
            <w:tr w14:paraId="68D262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4" w:type="pct"/>
                  <w:vAlign w:val="center"/>
                </w:tcPr>
                <w:p w14:paraId="5A8C861B">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23</w:t>
                  </w:r>
                </w:p>
              </w:tc>
              <w:tc>
                <w:tcPr>
                  <w:tcW w:w="651" w:type="pct"/>
                  <w:vAlign w:val="center"/>
                </w:tcPr>
                <w:p w14:paraId="08900235">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推动煤气发生炉清洁能源替代</w:t>
                  </w:r>
                </w:p>
              </w:tc>
              <w:tc>
                <w:tcPr>
                  <w:tcW w:w="1012" w:type="pct"/>
                  <w:vAlign w:val="center"/>
                </w:tcPr>
                <w:p w14:paraId="3B654E52">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重点区域不再新增燃料类煤气发生炉</w:t>
                  </w:r>
                </w:p>
              </w:tc>
              <w:tc>
                <w:tcPr>
                  <w:tcW w:w="979" w:type="pct"/>
                  <w:vAlign w:val="center"/>
                </w:tcPr>
                <w:p w14:paraId="517468EF">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新增燃煤类煤气发生炉项目不予审批</w:t>
                  </w:r>
                </w:p>
              </w:tc>
              <w:tc>
                <w:tcPr>
                  <w:tcW w:w="1888" w:type="pct"/>
                  <w:vAlign w:val="center"/>
                </w:tcPr>
                <w:p w14:paraId="71CA0209">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本项目不新增燃煤类煤气发生炉</w:t>
                  </w:r>
                </w:p>
              </w:tc>
              <w:tc>
                <w:tcPr>
                  <w:tcW w:w="282" w:type="pct"/>
                  <w:vAlign w:val="center"/>
                </w:tcPr>
                <w:p w14:paraId="37AC01EB">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符合</w:t>
                  </w:r>
                </w:p>
              </w:tc>
            </w:tr>
            <w:tr w14:paraId="3D530F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vAlign w:val="center"/>
                </w:tcPr>
                <w:p w14:paraId="59D43D78">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（九）推动货物运输清洁化</w:t>
                  </w:r>
                </w:p>
              </w:tc>
            </w:tr>
            <w:tr w14:paraId="3ADDA6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4" w:type="pct"/>
                  <w:vAlign w:val="center"/>
                </w:tcPr>
                <w:p w14:paraId="6CC87396">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27</w:t>
                  </w:r>
                </w:p>
              </w:tc>
              <w:tc>
                <w:tcPr>
                  <w:tcW w:w="651" w:type="pct"/>
                  <w:vAlign w:val="center"/>
                </w:tcPr>
                <w:p w14:paraId="0D9FFF4D">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提高重点行业清洁运输比例</w:t>
                  </w:r>
                </w:p>
              </w:tc>
              <w:tc>
                <w:tcPr>
                  <w:tcW w:w="1012" w:type="pct"/>
                  <w:vAlign w:val="center"/>
                </w:tcPr>
                <w:p w14:paraId="054997B5">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将清洁运输作为煤矿、钢铁、火电、水泥、有色、焦化、煤化工等行业新改扩建项目审核和监管重点</w:t>
                  </w:r>
                </w:p>
              </w:tc>
              <w:tc>
                <w:tcPr>
                  <w:tcW w:w="979" w:type="pct"/>
                  <w:vAlign w:val="center"/>
                </w:tcPr>
                <w:p w14:paraId="45C2D939">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煤矿、钢铁、火电、水泥、有色、焦化、煤化工等行业新改扩建项目环评审核中重点关注清洁运输</w:t>
                  </w:r>
                </w:p>
              </w:tc>
              <w:tc>
                <w:tcPr>
                  <w:tcW w:w="1888" w:type="pct"/>
                  <w:vAlign w:val="center"/>
                </w:tcPr>
                <w:p w14:paraId="159BAA7D">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本项目不属于煤矿、钢铁、火电、水泥、有色、焦化、煤化工等行业</w:t>
                  </w:r>
                </w:p>
              </w:tc>
              <w:tc>
                <w:tcPr>
                  <w:tcW w:w="282" w:type="pct"/>
                  <w:vAlign w:val="center"/>
                </w:tcPr>
                <w:p w14:paraId="71A6F422">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olor w:val="auto"/>
                      <w:kern w:val="2"/>
                      <w:sz w:val="21"/>
                      <w:szCs w:val="21"/>
                    </w:rPr>
                    <w:t>符合</w:t>
                  </w:r>
                </w:p>
              </w:tc>
            </w:tr>
            <w:tr w14:paraId="4CC9D7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000" w:type="pct"/>
                  <w:gridSpan w:val="6"/>
                  <w:vAlign w:val="center"/>
                </w:tcPr>
                <w:p w14:paraId="6AF6C1F6">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（十七）加快低（无）VOCs原辅材料替代</w:t>
                  </w:r>
                </w:p>
              </w:tc>
            </w:tr>
            <w:tr w14:paraId="59BE5A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4" w:type="pct"/>
                  <w:vAlign w:val="center"/>
                </w:tcPr>
                <w:p w14:paraId="09DA1F8A">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52</w:t>
                  </w:r>
                </w:p>
              </w:tc>
              <w:tc>
                <w:tcPr>
                  <w:tcW w:w="651" w:type="pct"/>
                  <w:vAlign w:val="center"/>
                </w:tcPr>
                <w:p w14:paraId="7A3A5976">
                  <w:pPr>
                    <w:keepNext w:val="0"/>
                    <w:keepLines w:val="0"/>
                    <w:widowControl/>
                    <w:suppressLineNumbers w:val="0"/>
                    <w:adjustRightInd w:val="0"/>
                    <w:snapToGrid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严格控制生产和使用高VOCs含量建设项目。</w:t>
                  </w:r>
                </w:p>
              </w:tc>
              <w:tc>
                <w:tcPr>
                  <w:tcW w:w="1012" w:type="pct"/>
                  <w:vAlign w:val="center"/>
                </w:tcPr>
                <w:p w14:paraId="5DFB6C26">
                  <w:pPr>
                    <w:keepNext w:val="0"/>
                    <w:keepLines w:val="0"/>
                    <w:widowControl/>
                    <w:suppressLineNumbers w:val="0"/>
                    <w:adjustRightInd w:val="0"/>
                    <w:snapToGrid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实施安徽省低挥发性有机物原辅材料源头替代工作方案，严格控制生产和使用高VOCs含量涂料、油墨、胶粘剂、清洗剂等建设项目。</w:t>
                  </w:r>
                </w:p>
              </w:tc>
              <w:tc>
                <w:tcPr>
                  <w:tcW w:w="979" w:type="pct"/>
                  <w:vAlign w:val="center"/>
                </w:tcPr>
                <w:p w14:paraId="794D7C38">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严格控制审批生产和使用高VOCs含量涂料、油墨、胶粘剂、清洗剂等建设项目环评。</w:t>
                  </w:r>
                </w:p>
              </w:tc>
              <w:tc>
                <w:tcPr>
                  <w:tcW w:w="1888" w:type="pct"/>
                  <w:vMerge w:val="restart"/>
                  <w:vAlign w:val="center"/>
                </w:tcPr>
                <w:p w14:paraId="1052289D">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本项目主要从事汽车零部件及配件制造，属于C3670汽车零部件及配件制造，项目使用碳氢清洗剂</w:t>
                  </w:r>
                  <w:r>
                    <w:rPr>
                      <w:rFonts w:hint="eastAsia" w:ascii="Times New Roman" w:hAnsi="Times New Roman"/>
                      <w:color w:val="auto"/>
                      <w:kern w:val="2"/>
                      <w:sz w:val="21"/>
                      <w:szCs w:val="21"/>
                    </w:rPr>
                    <w:t>、</w:t>
                  </w:r>
                  <w:r>
                    <w:rPr>
                      <w:rFonts w:hint="default" w:ascii="Times New Roman" w:hAnsi="Times New Roman"/>
                      <w:color w:val="auto"/>
                      <w:kern w:val="2"/>
                      <w:sz w:val="21"/>
                      <w:szCs w:val="21"/>
                    </w:rPr>
                    <w:t>密封胶</w:t>
                  </w:r>
                  <w:r>
                    <w:rPr>
                      <w:rFonts w:hint="eastAsia" w:ascii="Times New Roman" w:hAnsi="Times New Roman"/>
                      <w:color w:val="auto"/>
                      <w:kern w:val="2"/>
                      <w:sz w:val="21"/>
                      <w:szCs w:val="21"/>
                    </w:rPr>
                    <w:t>，根据</w:t>
                  </w:r>
                  <w:r>
                    <w:rPr>
                      <w:rFonts w:hint="default" w:ascii="Times New Roman" w:hAnsi="Times New Roman"/>
                      <w:color w:val="auto"/>
                      <w:kern w:val="2"/>
                      <w:sz w:val="21"/>
                      <w:szCs w:val="21"/>
                    </w:rPr>
                    <w:t>碳氢清洗剂</w:t>
                  </w:r>
                  <w:r>
                    <w:rPr>
                      <w:rFonts w:hint="eastAsia" w:ascii="Times New Roman" w:hAnsi="Times New Roman"/>
                      <w:color w:val="auto"/>
                      <w:kern w:val="2"/>
                      <w:sz w:val="21"/>
                      <w:szCs w:val="21"/>
                    </w:rPr>
                    <w:t>MSDS，</w:t>
                  </w:r>
                  <w:r>
                    <w:rPr>
                      <w:rFonts w:hint="default" w:ascii="Times New Roman" w:hAnsi="Times New Roman"/>
                      <w:color w:val="auto"/>
                      <w:kern w:val="2"/>
                      <w:sz w:val="21"/>
                      <w:szCs w:val="21"/>
                    </w:rPr>
                    <w:t>本项目碳氢清洗剂密度0.65g/cm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，其中挥发性有机物含量99%，挥发性有机物含量为0.65</w:t>
                  </w:r>
                  <w:r>
                    <w:rPr>
                      <w:rFonts w:hint="eastAsia" w:ascii="Times New Roman" w:hAnsi="Times New Roman"/>
                      <w:color w:val="auto"/>
                      <w:kern w:val="2"/>
                      <w:sz w:val="21"/>
                      <w:szCs w:val="21"/>
                    </w:rPr>
                    <w:t>×</w:t>
                  </w:r>
                  <w:r>
                    <w:rPr>
                      <w:rFonts w:hint="default" w:ascii="Times New Roman" w:hAnsi="Times New Roman"/>
                      <w:color w:val="auto"/>
                      <w:kern w:val="2"/>
                      <w:sz w:val="21"/>
                      <w:szCs w:val="21"/>
                    </w:rPr>
                    <w:t>99%=0.6435g/cm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=643.5g/L≤900g/L，符合《清洗剂挥发性有机化合物含量限值》（GB38508-2020）表1清洗剂VOC含量及特定挥发性有机物限制要求，满足有机溶剂清洗剂VOC含量≤900g/L。</w:t>
                  </w:r>
                  <w:r>
                    <w:rPr>
                      <w:rFonts w:hint="eastAsia" w:ascii="Times New Roman" w:hAnsi="Times New Roman"/>
                      <w:color w:val="auto"/>
                      <w:kern w:val="2"/>
                      <w:sz w:val="21"/>
                      <w:szCs w:val="21"/>
                    </w:rPr>
                    <w:t>根据</w:t>
                  </w:r>
                  <w:r>
                    <w:rPr>
                      <w:rFonts w:hint="default" w:ascii="Times New Roman" w:hAnsi="Times New Roman"/>
                      <w:color w:val="auto"/>
                      <w:kern w:val="2"/>
                      <w:sz w:val="21"/>
                      <w:szCs w:val="21"/>
                    </w:rPr>
                    <w:t>密封胶</w:t>
                  </w:r>
                  <w:r>
                    <w:rPr>
                      <w:rFonts w:hint="eastAsia" w:ascii="Times New Roman" w:hAnsi="Times New Roman"/>
                      <w:color w:val="auto"/>
                      <w:kern w:val="2"/>
                      <w:sz w:val="21"/>
                      <w:szCs w:val="21"/>
                    </w:rPr>
                    <w:t>MSDS</w:t>
                  </w:r>
                  <w:r>
                    <w:rPr>
                      <w:rFonts w:hint="eastAsia" w:ascii="Times New Roman" w:hAnsi="Times New Roman"/>
                      <w:color w:val="auto"/>
                      <w:kern w:val="2"/>
                      <w:sz w:val="21"/>
                      <w:szCs w:val="21"/>
                      <w:lang w:eastAsia="zh-CN"/>
                    </w:rPr>
                    <w:t>、</w:t>
                  </w:r>
                  <w:r>
                    <w:rPr>
                      <w:rFonts w:hint="eastAsia" w:ascii="Times New Roman" w:hAnsi="Times New Roman"/>
                      <w:color w:val="auto"/>
                      <w:kern w:val="2"/>
                      <w:sz w:val="21"/>
                      <w:szCs w:val="21"/>
                      <w:lang w:val="en-US" w:eastAsia="zh-CN"/>
                    </w:rPr>
                    <w:t>VOC检测报告</w:t>
                  </w:r>
                  <w:r>
                    <w:rPr>
                      <w:rFonts w:hint="eastAsia" w:ascii="Times New Roman" w:hAnsi="Times New Roman"/>
                      <w:color w:val="auto"/>
                      <w:kern w:val="2"/>
                      <w:sz w:val="21"/>
                      <w:szCs w:val="21"/>
                    </w:rPr>
                    <w:t>，</w:t>
                  </w:r>
                  <w:r>
                    <w:rPr>
                      <w:rFonts w:hint="default" w:ascii="Times New Roman" w:hAnsi="Times New Roman"/>
                      <w:color w:val="auto"/>
                      <w:kern w:val="2"/>
                      <w:sz w:val="21"/>
                      <w:szCs w:val="21"/>
                    </w:rPr>
                    <w:t>密封胶密度1.1g/cm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，其中挥发性有机物含量</w:t>
                  </w:r>
                  <w:r>
                    <w:rPr>
                      <w:rFonts w:hint="eastAsia" w:ascii="Times New Roman" w:hAnsi="Times New Roman"/>
                      <w:color w:val="auto"/>
                      <w:kern w:val="2"/>
                      <w:sz w:val="21"/>
                      <w:szCs w:val="21"/>
                      <w:lang w:eastAsia="zh-CN"/>
                    </w:rPr>
                    <w:t>为</w:t>
                  </w:r>
                  <w:r>
                    <w:rPr>
                      <w:rFonts w:hint="eastAsia" w:ascii="Times New Roman" w:hAnsi="Times New Roman"/>
                      <w:color w:val="auto"/>
                      <w:kern w:val="2"/>
                      <w:sz w:val="21"/>
                      <w:szCs w:val="21"/>
                      <w:lang w:val="en-US" w:eastAsia="zh-CN"/>
                    </w:rPr>
                    <w:t>7g/kg</w:t>
                  </w:r>
                  <w:r>
                    <w:rPr>
                      <w:rFonts w:hint="default" w:ascii="Times New Roman" w:hAnsi="Times New Roman"/>
                      <w:color w:val="auto"/>
                      <w:kern w:val="2"/>
                      <w:sz w:val="21"/>
                      <w:szCs w:val="21"/>
                    </w:rPr>
                    <w:t>=0.0</w:t>
                  </w:r>
                  <w:r>
                    <w:rPr>
                      <w:rFonts w:hint="eastAsia" w:ascii="Times New Roman" w:hAnsi="Times New Roman"/>
                      <w:color w:val="auto"/>
                      <w:kern w:val="2"/>
                      <w:sz w:val="21"/>
                      <w:szCs w:val="21"/>
                      <w:lang w:val="en-US" w:eastAsia="zh-CN"/>
                    </w:rPr>
                    <w:t>077</w:t>
                  </w:r>
                  <w:r>
                    <w:rPr>
                      <w:rFonts w:hint="default" w:ascii="Times New Roman" w:hAnsi="Times New Roman"/>
                      <w:color w:val="auto"/>
                      <w:kern w:val="2"/>
                      <w:sz w:val="21"/>
                      <w:szCs w:val="21"/>
                    </w:rPr>
                    <w:t>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w:t>
                  </w:r>
                  <w:r>
                    <w:rPr>
                      <w:rFonts w:hint="eastAsia" w:ascii="Times New Roman" w:hAnsi="Times New Roman"/>
                      <w:color w:val="auto"/>
                      <w:kern w:val="2"/>
                      <w:sz w:val="21"/>
                      <w:szCs w:val="21"/>
                      <w:lang w:val="en-US" w:eastAsia="zh-CN"/>
                    </w:rPr>
                    <w:t>7.7</w:t>
                  </w:r>
                  <w:r>
                    <w:rPr>
                      <w:rFonts w:hint="default" w:ascii="Times New Roman" w:hAnsi="Times New Roman"/>
                      <w:color w:val="auto"/>
                      <w:kern w:val="2"/>
                      <w:sz w:val="21"/>
                      <w:szCs w:val="21"/>
                    </w:rPr>
                    <w:t>g/L≤50g/L，符合《胶粘剂挥发性有机化合物限量》（GB 33372-2020）表3本体型胶粘剂中环氧树脂类VOC含量的要求≤50g/L</w:t>
                  </w:r>
                  <w:r>
                    <w:rPr>
                      <w:rFonts w:hint="eastAsia"/>
                      <w:color w:val="auto"/>
                      <w:kern w:val="2"/>
                      <w:sz w:val="21"/>
                      <w:szCs w:val="21"/>
                    </w:rPr>
                    <w:t>，符合</w:t>
                  </w:r>
                  <w:r>
                    <w:rPr>
                      <w:rFonts w:hint="default" w:ascii="Times New Roman" w:hAnsi="Times New Roman"/>
                      <w:color w:val="auto"/>
                      <w:kern w:val="2"/>
                      <w:sz w:val="21"/>
                      <w:szCs w:val="21"/>
                    </w:rPr>
                    <w:t>《低挥发性有机物含量原辅材料源头替代技术指引（试行）》要求。项目生产过程中不涉及使用高VOCs含量的原辅料</w:t>
                  </w:r>
                </w:p>
              </w:tc>
              <w:tc>
                <w:tcPr>
                  <w:tcW w:w="282" w:type="pct"/>
                  <w:vAlign w:val="center"/>
                </w:tcPr>
                <w:p w14:paraId="2ADA7589">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r w14:paraId="5F7781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4" w:type="pct"/>
                  <w:vAlign w:val="center"/>
                </w:tcPr>
                <w:p w14:paraId="029D7956">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53</w:t>
                  </w:r>
                </w:p>
              </w:tc>
              <w:tc>
                <w:tcPr>
                  <w:tcW w:w="651" w:type="pct"/>
                  <w:vAlign w:val="center"/>
                </w:tcPr>
                <w:p w14:paraId="3312A9AA">
                  <w:pPr>
                    <w:keepNext w:val="0"/>
                    <w:keepLines w:val="0"/>
                    <w:widowControl/>
                    <w:suppressLineNumbers w:val="0"/>
                    <w:adjustRightInd w:val="0"/>
                    <w:snapToGrid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推动低（无）VOCs原辅材料源头替代。</w:t>
                  </w:r>
                </w:p>
              </w:tc>
              <w:tc>
                <w:tcPr>
                  <w:tcW w:w="1012" w:type="pct"/>
                  <w:vAlign w:val="center"/>
                </w:tcPr>
                <w:p w14:paraId="5F8422CF">
                  <w:pPr>
                    <w:keepNext w:val="0"/>
                    <w:keepLines w:val="0"/>
                    <w:widowControl/>
                    <w:suppressLineNumbers w:val="0"/>
                    <w:adjustRightInd w:val="0"/>
                    <w:snapToGrid w:val="0"/>
                    <w:spacing w:before="0" w:beforeAutospacing="0" w:after="0" w:afterAutospacing="0" w:line="276" w:lineRule="auto"/>
                    <w:ind w:left="0" w:right="0"/>
                    <w:rPr>
                      <w:rFonts w:hint="default" w:ascii="Times New Roman" w:hAnsi="Times New Roman"/>
                      <w:color w:val="auto"/>
                      <w:kern w:val="2"/>
                      <w:sz w:val="21"/>
                      <w:szCs w:val="21"/>
                    </w:rPr>
                  </w:pPr>
                  <w:r>
                    <w:rPr>
                      <w:rFonts w:hint="default" w:ascii="Times New Roman" w:hAnsi="Times New Roman"/>
                      <w:color w:val="auto"/>
                      <w:kern w:val="2"/>
                      <w:sz w:val="21"/>
                      <w:szCs w:val="21"/>
                    </w:rPr>
                    <w:t>加大汽车整车制造、汽车修理、木质家具制造、汽车零部件、工程机械、钢结构、船舶制造等工业涂装行业、包装印刷行业及电子行业低（无）VOCs含量原辅材料的替代力度。</w:t>
                  </w:r>
                </w:p>
              </w:tc>
              <w:tc>
                <w:tcPr>
                  <w:tcW w:w="979" w:type="pct"/>
                  <w:vAlign w:val="center"/>
                </w:tcPr>
                <w:p w14:paraId="289F944A">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汽车整车制造、汽车修理、木质家具制造、汽车零部件、工程机械、钢结构、船舶制造等工业涂装行业、包装印刷行业及电子行业环评审批中要求加大低（无）VOCs含量原辅材料的替代力度。</w:t>
                  </w:r>
                </w:p>
              </w:tc>
              <w:tc>
                <w:tcPr>
                  <w:tcW w:w="1888" w:type="pct"/>
                  <w:vMerge w:val="continue"/>
                  <w:vAlign w:val="center"/>
                </w:tcPr>
                <w:p w14:paraId="77336C2E">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p>
              </w:tc>
              <w:tc>
                <w:tcPr>
                  <w:tcW w:w="282" w:type="pct"/>
                  <w:vAlign w:val="center"/>
                </w:tcPr>
                <w:p w14:paraId="7E6D4388">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bl>
          <w:p w14:paraId="67934E56">
            <w:pPr>
              <w:keepNext w:val="0"/>
              <w:keepLines w:val="0"/>
              <w:widowControl/>
              <w:suppressLineNumbers w:val="0"/>
              <w:spacing w:before="0" w:beforeAutospacing="0" w:after="0" w:afterAutospacing="0" w:line="348" w:lineRule="auto"/>
              <w:ind w:left="0" w:right="0" w:firstLine="480" w:firstLineChars="200"/>
              <w:rPr>
                <w:rFonts w:hint="default" w:ascii="Times New Roman" w:hAnsi="Times New Roman"/>
                <w:b/>
                <w:color w:val="auto"/>
                <w:kern w:val="2"/>
              </w:rPr>
            </w:pPr>
            <w:r>
              <w:rPr>
                <w:rFonts w:hint="default" w:ascii="Times New Roman" w:hAnsi="Times New Roman"/>
                <w:color w:val="auto"/>
                <w:kern w:val="2"/>
              </w:rPr>
              <w:t>由上述分析可知，本项目不属于《淮南市涉气建设项目环评审批负面清单》中相关不予审批项目。</w:t>
            </w:r>
          </w:p>
        </w:tc>
      </w:tr>
    </w:tbl>
    <w:p w14:paraId="2B01DABD">
      <w:pPr>
        <w:rPr>
          <w:rFonts w:ascii="Times New Roman" w:hAnsi="Times New Roman"/>
          <w:color w:val="auto"/>
        </w:rPr>
        <w:sectPr>
          <w:pgSz w:w="16838" w:h="11906" w:orient="landscape"/>
          <w:pgMar w:top="1531" w:right="1701" w:bottom="1531" w:left="1701" w:header="851" w:footer="992" w:gutter="0"/>
          <w:cols w:space="720" w:num="1"/>
          <w:docGrid w:type="lines" w:linePitch="312" w:charSpace="0"/>
        </w:sectPr>
      </w:pPr>
    </w:p>
    <w:tbl>
      <w:tblPr>
        <w:tblStyle w:val="23"/>
        <w:tblW w:w="48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7296"/>
      </w:tblGrid>
      <w:tr w14:paraId="6B92C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64" w:hRule="atLeast"/>
          <w:jc w:val="center"/>
        </w:trPr>
        <w:tc>
          <w:tcPr>
            <w:tcW w:w="887" w:type="pct"/>
            <w:vAlign w:val="center"/>
          </w:tcPr>
          <w:p w14:paraId="57C13F66">
            <w:pPr>
              <w:keepNext w:val="0"/>
              <w:keepLines w:val="0"/>
              <w:widowControl/>
              <w:suppressLineNumbers w:val="0"/>
              <w:autoSpaceDE w:val="0"/>
              <w:autoSpaceDN w:val="0"/>
              <w:spacing w:before="0" w:beforeAutospacing="0" w:after="0" w:afterAutospacing="0" w:line="360" w:lineRule="auto"/>
              <w:ind w:left="0" w:right="0"/>
              <w:jc w:val="center"/>
              <w:rPr>
                <w:rFonts w:hint="default" w:ascii="Times New Roman" w:hAnsi="Times New Roman"/>
                <w:color w:val="auto"/>
                <w:kern w:val="2"/>
              </w:rPr>
            </w:pPr>
          </w:p>
        </w:tc>
        <w:tc>
          <w:tcPr>
            <w:tcW w:w="4113" w:type="pct"/>
            <w:vAlign w:val="center"/>
          </w:tcPr>
          <w:p w14:paraId="5A031DDF">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eastAsia" w:ascii="Times New Roman" w:hAnsi="Times New Roman"/>
                <w:b/>
                <w:color w:val="auto"/>
                <w:kern w:val="2"/>
              </w:rPr>
              <w:t>12</w:t>
            </w:r>
            <w:r>
              <w:rPr>
                <w:rFonts w:hint="default" w:ascii="Times New Roman" w:hAnsi="Times New Roman"/>
                <w:b/>
                <w:color w:val="auto"/>
                <w:kern w:val="2"/>
              </w:rPr>
              <w:t>、</w:t>
            </w:r>
            <w:r>
              <w:rPr>
                <w:rFonts w:hint="eastAsia"/>
                <w:b/>
                <w:color w:val="auto"/>
                <w:kern w:val="2"/>
              </w:rPr>
              <w:t>生态环境分区管控</w:t>
            </w:r>
            <w:r>
              <w:rPr>
                <w:rFonts w:hint="default"/>
                <w:b/>
                <w:color w:val="auto"/>
                <w:kern w:val="2"/>
              </w:rPr>
              <w:t>符</w:t>
            </w:r>
            <w:r>
              <w:rPr>
                <w:rFonts w:hint="default" w:ascii="Times New Roman" w:hAnsi="Times New Roman"/>
                <w:b/>
                <w:color w:val="auto"/>
                <w:kern w:val="2"/>
              </w:rPr>
              <w:t>合性分析</w:t>
            </w:r>
          </w:p>
          <w:p w14:paraId="770107F8">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根据原环境保护部《关于以改善环境质量为核心加强环境影响评价管理的通知》（环评〔2016〕150号）、《长江经济带战略环境评价安徽省淮</w:t>
            </w:r>
            <w:r>
              <w:rPr>
                <w:rFonts w:hint="default"/>
                <w:color w:val="auto"/>
                <w:kern w:val="2"/>
              </w:rPr>
              <w:t>南市“三线一单”编制文</w:t>
            </w:r>
            <w:r>
              <w:rPr>
                <w:rFonts w:hint="default" w:ascii="Times New Roman" w:hAnsi="Times New Roman"/>
                <w:color w:val="auto"/>
                <w:kern w:val="2"/>
              </w:rPr>
              <w:t>本》要求，项</w:t>
            </w:r>
            <w:r>
              <w:rPr>
                <w:rFonts w:hint="default"/>
                <w:color w:val="auto"/>
                <w:kern w:val="2"/>
              </w:rPr>
              <w:t>目生态环境分区管控</w:t>
            </w:r>
            <w:r>
              <w:rPr>
                <w:rFonts w:hint="default" w:ascii="Times New Roman" w:hAnsi="Times New Roman"/>
                <w:color w:val="auto"/>
                <w:kern w:val="2"/>
              </w:rPr>
              <w:t>符合性分析见下表。</w:t>
            </w:r>
          </w:p>
          <w:p w14:paraId="1D30A38F">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color w:val="auto"/>
                <w:kern w:val="2"/>
              </w:rPr>
            </w:pPr>
            <w:r>
              <w:rPr>
                <w:rFonts w:hint="default" w:ascii="Times New Roman" w:hAnsi="Times New Roman" w:eastAsia="黑体"/>
                <w:color w:val="auto"/>
                <w:kern w:val="2"/>
              </w:rPr>
              <w:t>表1-</w:t>
            </w:r>
            <w:r>
              <w:rPr>
                <w:rFonts w:hint="eastAsia" w:ascii="Times New Roman" w:hAnsi="Times New Roman" w:eastAsia="黑体"/>
                <w:color w:val="auto"/>
                <w:kern w:val="2"/>
              </w:rPr>
              <w:t>12</w:t>
            </w:r>
            <w:r>
              <w:rPr>
                <w:rFonts w:hint="default" w:ascii="Times New Roman" w:hAnsi="Times New Roman" w:eastAsia="黑体"/>
                <w:color w:val="auto"/>
                <w:kern w:val="2"/>
              </w:rPr>
              <w:t xml:space="preserve">  项目与</w:t>
            </w:r>
            <w:r>
              <w:rPr>
                <w:rFonts w:hint="eastAsia"/>
                <w:b/>
                <w:color w:val="auto"/>
                <w:kern w:val="2"/>
              </w:rPr>
              <w:t>生态环境分区管控</w:t>
            </w:r>
            <w:r>
              <w:rPr>
                <w:rFonts w:hint="default" w:ascii="Times New Roman" w:hAnsi="Times New Roman" w:eastAsia="黑体"/>
                <w:color w:val="auto"/>
                <w:kern w:val="2"/>
              </w:rPr>
              <w:t>符合性分析</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50"/>
              <w:gridCol w:w="4130"/>
            </w:tblGrid>
            <w:tr w14:paraId="52F1CA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0" w:type="dxa"/>
                  <w:tcBorders>
                    <w:top w:val="single" w:color="auto" w:sz="12" w:space="0"/>
                    <w:left w:val="nil"/>
                    <w:bottom w:val="single" w:color="auto" w:sz="4" w:space="0"/>
                    <w:right w:val="single" w:color="auto" w:sz="4" w:space="0"/>
                  </w:tcBorders>
                  <w:vAlign w:val="center"/>
                </w:tcPr>
                <w:p w14:paraId="7D82B7A3">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环环评[2016]150号、淮南市“三线一单”技术成果</w:t>
                  </w:r>
                </w:p>
              </w:tc>
              <w:tc>
                <w:tcPr>
                  <w:tcW w:w="4130" w:type="dxa"/>
                  <w:tcBorders>
                    <w:top w:val="single" w:color="auto" w:sz="12" w:space="0"/>
                    <w:left w:val="single" w:color="auto" w:sz="4" w:space="0"/>
                    <w:bottom w:val="single" w:color="auto" w:sz="4" w:space="0"/>
                    <w:right w:val="nil"/>
                  </w:tcBorders>
                  <w:vAlign w:val="center"/>
                </w:tcPr>
                <w:p w14:paraId="4B88FC03">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项目符合性分析</w:t>
                  </w:r>
                </w:p>
              </w:tc>
            </w:tr>
            <w:tr w14:paraId="0B6D0C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0" w:type="dxa"/>
                  <w:tcBorders>
                    <w:top w:val="single" w:color="auto" w:sz="4" w:space="0"/>
                    <w:left w:val="nil"/>
                    <w:bottom w:val="single" w:color="auto" w:sz="4" w:space="0"/>
                    <w:right w:val="single" w:color="auto" w:sz="4" w:space="0"/>
                  </w:tcBorders>
                  <w:vAlign w:val="center"/>
                </w:tcPr>
                <w:p w14:paraId="59D16C50">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生态保护红线是生态空间范围内具有特殊重要生态功能必须实行强制性严格保护的区域。相关规划环评应将生态空间管控作为重要内容，规划区域设计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4130" w:type="dxa"/>
                  <w:tcBorders>
                    <w:top w:val="single" w:color="auto" w:sz="4" w:space="0"/>
                    <w:left w:val="single" w:color="auto" w:sz="4" w:space="0"/>
                    <w:bottom w:val="single" w:color="auto" w:sz="4" w:space="0"/>
                    <w:right w:val="nil"/>
                  </w:tcBorders>
                  <w:vAlign w:val="center"/>
                </w:tcPr>
                <w:p w14:paraId="5FBC1F56">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本项目位于</w:t>
                  </w:r>
                  <w:r>
                    <w:rPr>
                      <w:rFonts w:hint="default" w:ascii="Times New Roman" w:hAnsi="Times New Roman"/>
                      <w:bCs/>
                      <w:color w:val="auto"/>
                      <w:kern w:val="2"/>
                      <w:sz w:val="21"/>
                      <w:szCs w:val="21"/>
                    </w:rPr>
                    <w:t>安徽省淮南市凤台经济开发区</w:t>
                  </w:r>
                  <w:r>
                    <w:rPr>
                      <w:rFonts w:hint="default" w:ascii="Times New Roman" w:hAnsi="Times New Roman"/>
                      <w:color w:val="auto"/>
                      <w:kern w:val="2"/>
                      <w:sz w:val="21"/>
                      <w:szCs w:val="21"/>
                    </w:rPr>
                    <w:t>，根据淮南市生态保护红线图，本项目不在生态保护红线范围内，且不在当地饮用水源、风景名胜区、自然保护区等生态保护区内，项目的建设不涉及生态保护红线，详见附图4</w:t>
                  </w:r>
                  <w:r>
                    <w:rPr>
                      <w:rFonts w:hint="eastAsia" w:ascii="Times New Roman" w:hAnsi="Times New Roman"/>
                      <w:color w:val="auto"/>
                      <w:kern w:val="2"/>
                      <w:sz w:val="21"/>
                      <w:szCs w:val="21"/>
                    </w:rPr>
                    <w:t>。</w:t>
                  </w:r>
                </w:p>
              </w:tc>
            </w:tr>
            <w:tr w14:paraId="15B86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0" w:type="dxa"/>
                  <w:tcBorders>
                    <w:top w:val="single" w:color="auto" w:sz="4" w:space="0"/>
                    <w:left w:val="nil"/>
                    <w:bottom w:val="single" w:color="auto" w:sz="4" w:space="0"/>
                    <w:right w:val="single" w:color="auto" w:sz="4" w:space="0"/>
                  </w:tcBorders>
                  <w:vAlign w:val="center"/>
                </w:tcPr>
                <w:p w14:paraId="259B2652">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环境质量底线是国家和地方设置的大气、水和土壤环境质量目标，也是改善环境质量的基准线。有关规划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4130" w:type="dxa"/>
                  <w:tcBorders>
                    <w:top w:val="single" w:color="auto" w:sz="4" w:space="0"/>
                    <w:left w:val="single" w:color="auto" w:sz="4" w:space="0"/>
                    <w:bottom w:val="single" w:color="auto" w:sz="4" w:space="0"/>
                    <w:right w:val="nil"/>
                  </w:tcBorders>
                  <w:vAlign w:val="center"/>
                </w:tcPr>
                <w:p w14:paraId="34F789EF">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根据淮南市人民政府网站公布的《2024年淮南市生态环境质量状况公报》，并结合《环境空气质量标准》（GB3095-20</w:t>
                  </w:r>
                  <w:r>
                    <w:rPr>
                      <w:rFonts w:hint="eastAsia" w:ascii="Times New Roman" w:hAnsi="Times New Roman"/>
                      <w:color w:val="auto"/>
                      <w:kern w:val="2"/>
                      <w:sz w:val="21"/>
                      <w:szCs w:val="21"/>
                    </w:rPr>
                    <w:t>26</w:t>
                  </w:r>
                  <w:r>
                    <w:rPr>
                      <w:rFonts w:hint="default" w:ascii="Times New Roman" w:hAnsi="Times New Roman"/>
                      <w:color w:val="auto"/>
                      <w:kern w:val="2"/>
                      <w:sz w:val="21"/>
                      <w:szCs w:val="21"/>
                    </w:rPr>
                    <w:t>）中的二级标准可知，2024年淮南市环境空气中PM</w:t>
                  </w:r>
                  <w:r>
                    <w:rPr>
                      <w:rFonts w:hint="default" w:ascii="Times New Roman" w:hAnsi="Times New Roman"/>
                      <w:color w:val="auto"/>
                      <w:kern w:val="2"/>
                      <w:sz w:val="21"/>
                      <w:szCs w:val="21"/>
                      <w:vertAlign w:val="subscript"/>
                    </w:rPr>
                    <w:t>2.5</w:t>
                  </w:r>
                  <w:r>
                    <w:rPr>
                      <w:rFonts w:hint="default" w:ascii="Times New Roman" w:hAnsi="Times New Roman"/>
                      <w:color w:val="auto"/>
                      <w:kern w:val="2"/>
                      <w:sz w:val="21"/>
                      <w:szCs w:val="21"/>
                    </w:rPr>
                    <w:t>年</w:t>
                  </w:r>
                  <w:r>
                    <w:rPr>
                      <w:rFonts w:hint="eastAsia" w:ascii="Times New Roman" w:hAnsi="Times New Roman"/>
                      <w:color w:val="auto"/>
                      <w:kern w:val="2"/>
                      <w:sz w:val="21"/>
                      <w:szCs w:val="21"/>
                      <w:lang w:eastAsia="zh-CN"/>
                    </w:rPr>
                    <w:t>、</w:t>
                  </w:r>
                  <w:r>
                    <w:rPr>
                      <w:rFonts w:hint="default" w:ascii="Times New Roman" w:hAnsi="Times New Roman"/>
                      <w:color w:val="auto"/>
                      <w:kern w:val="2"/>
                      <w:sz w:val="21"/>
                      <w:szCs w:val="21"/>
                    </w:rPr>
                    <w:t>PM</w:t>
                  </w:r>
                  <w:r>
                    <w:rPr>
                      <w:rFonts w:hint="eastAsia" w:ascii="Times New Roman" w:hAnsi="Times New Roman"/>
                      <w:color w:val="auto"/>
                      <w:kern w:val="2"/>
                      <w:sz w:val="21"/>
                      <w:szCs w:val="21"/>
                      <w:vertAlign w:val="subscript"/>
                      <w:lang w:val="en-US" w:eastAsia="zh-CN"/>
                    </w:rPr>
                    <w:t>10</w:t>
                  </w:r>
                  <w:r>
                    <w:rPr>
                      <w:rFonts w:hint="default" w:ascii="Times New Roman" w:hAnsi="Times New Roman"/>
                      <w:color w:val="auto"/>
                      <w:kern w:val="2"/>
                      <w:sz w:val="21"/>
                      <w:szCs w:val="21"/>
                    </w:rPr>
                    <w:t>平均浓度超过环境空气质量二级标准，经判定，项目所在区为环境空气质量不达标区域，超标因子为PM</w:t>
                  </w:r>
                  <w:r>
                    <w:rPr>
                      <w:rFonts w:hint="default" w:ascii="Times New Roman" w:hAnsi="Times New Roman"/>
                      <w:color w:val="auto"/>
                      <w:kern w:val="2"/>
                      <w:sz w:val="21"/>
                      <w:szCs w:val="21"/>
                      <w:vertAlign w:val="subscript"/>
                    </w:rPr>
                    <w:t>2.5</w:t>
                  </w:r>
                  <w:r>
                    <w:rPr>
                      <w:rFonts w:hint="eastAsia" w:ascii="Times New Roman" w:hAnsi="Times New Roman"/>
                      <w:color w:val="auto"/>
                      <w:kern w:val="2"/>
                      <w:sz w:val="21"/>
                      <w:szCs w:val="21"/>
                      <w:lang w:eastAsia="zh-CN"/>
                    </w:rPr>
                    <w:t>、</w:t>
                  </w:r>
                  <w:r>
                    <w:rPr>
                      <w:rFonts w:hint="default" w:ascii="Times New Roman" w:hAnsi="Times New Roman"/>
                      <w:color w:val="auto"/>
                      <w:kern w:val="2"/>
                      <w:sz w:val="21"/>
                      <w:szCs w:val="21"/>
                    </w:rPr>
                    <w:t>PM</w:t>
                  </w:r>
                  <w:r>
                    <w:rPr>
                      <w:rFonts w:hint="eastAsia" w:ascii="Times New Roman" w:hAnsi="Times New Roman"/>
                      <w:color w:val="auto"/>
                      <w:kern w:val="2"/>
                      <w:sz w:val="21"/>
                      <w:szCs w:val="21"/>
                      <w:vertAlign w:val="subscript"/>
                      <w:lang w:val="en-US" w:eastAsia="zh-CN"/>
                    </w:rPr>
                    <w:t>10</w:t>
                  </w:r>
                  <w:r>
                    <w:rPr>
                      <w:rFonts w:hint="default" w:ascii="Times New Roman" w:hAnsi="Times New Roman"/>
                      <w:color w:val="auto"/>
                      <w:kern w:val="2"/>
                      <w:sz w:val="21"/>
                      <w:szCs w:val="21"/>
                    </w:rPr>
                    <w:t>。淮南市生态环境局就空气质量不达标提出一系列举措，为确保淮南市大气污染防治工作有效推进，目前，淮南市已制订</w:t>
                  </w:r>
                  <w:r>
                    <w:rPr>
                      <w:rFonts w:hint="default"/>
                      <w:color w:val="auto"/>
                      <w:kern w:val="2"/>
                      <w:sz w:val="21"/>
                      <w:szCs w:val="21"/>
                    </w:rPr>
                    <w:t>《淮南市“十四五”大气污</w:t>
                  </w:r>
                  <w:r>
                    <w:rPr>
                      <w:rFonts w:hint="default" w:ascii="Times New Roman" w:hAnsi="Times New Roman"/>
                      <w:color w:val="auto"/>
                      <w:kern w:val="2"/>
                      <w:sz w:val="21"/>
                      <w:szCs w:val="21"/>
                    </w:rPr>
                    <w:t>染防治规划（2021-2025年）》，围绕工业大气污染治理、扬（烟）尘污染防治等开展专项治理活动，进一步削减大气污染物排放。本项目运营期废水、废气、固废均合理处置，不会降低当地的环境质量。因此，项目的建设符合环境质量底线要求</w:t>
                  </w:r>
                </w:p>
              </w:tc>
            </w:tr>
            <w:tr w14:paraId="1B359D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2950" w:type="dxa"/>
                  <w:tcBorders>
                    <w:top w:val="single" w:color="auto" w:sz="4" w:space="0"/>
                    <w:left w:val="nil"/>
                    <w:bottom w:val="single" w:color="auto" w:sz="4" w:space="0"/>
                    <w:right w:val="single" w:color="auto" w:sz="4" w:space="0"/>
                  </w:tcBorders>
                  <w:vAlign w:val="center"/>
                </w:tcPr>
                <w:p w14:paraId="4E4166C6">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资源是环境的载体，资源利用上线是各地</w:t>
                  </w:r>
                  <w:r>
                    <w:rPr>
                      <w:rFonts w:hint="eastAsia"/>
                      <w:color w:val="auto"/>
                      <w:kern w:val="2"/>
                      <w:sz w:val="21"/>
                      <w:szCs w:val="21"/>
                    </w:rPr>
                    <w:t>区能源、水、土地等资源消耗不得突破的“天花板”。相关</w:t>
                  </w:r>
                  <w:r>
                    <w:rPr>
                      <w:rFonts w:hint="default" w:ascii="Times New Roman" w:hAnsi="Times New Roman"/>
                      <w:color w:val="auto"/>
                      <w:kern w:val="2"/>
                      <w:sz w:val="21"/>
                      <w:szCs w:val="21"/>
                    </w:rPr>
                    <w:t>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4130" w:type="dxa"/>
                  <w:tcBorders>
                    <w:top w:val="single" w:color="auto" w:sz="4" w:space="0"/>
                    <w:left w:val="single" w:color="auto" w:sz="4" w:space="0"/>
                    <w:bottom w:val="single" w:color="auto" w:sz="4" w:space="0"/>
                    <w:right w:val="nil"/>
                  </w:tcBorders>
                  <w:vAlign w:val="center"/>
                </w:tcPr>
                <w:p w14:paraId="016566CA">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项目采用清洁能源电能，项目用水来自市政给水管网，用电由市政供电系统供给，工艺设备选用了高效、先进的设备，提高了生产效率，物耗及能耗水平较低。项目用地符合规划要求。因此，项目能耗物耗、用地均不会突破资源利用上线</w:t>
                  </w:r>
                </w:p>
              </w:tc>
            </w:tr>
            <w:tr w14:paraId="481EDF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50" w:type="dxa"/>
                  <w:tcBorders>
                    <w:top w:val="single" w:color="auto" w:sz="4" w:space="0"/>
                    <w:left w:val="nil"/>
                    <w:bottom w:val="single" w:color="auto" w:sz="12" w:space="0"/>
                    <w:right w:val="single" w:color="auto" w:sz="4" w:space="0"/>
                  </w:tcBorders>
                  <w:vAlign w:val="center"/>
                </w:tcPr>
                <w:p w14:paraId="748D83A2">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环境准入负面清单是基于生态保护红线、环境质量底线、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4130" w:type="dxa"/>
                  <w:tcBorders>
                    <w:top w:val="single" w:color="auto" w:sz="4" w:space="0"/>
                    <w:left w:val="single" w:color="auto" w:sz="4" w:space="0"/>
                    <w:bottom w:val="single" w:color="auto" w:sz="12" w:space="0"/>
                    <w:right w:val="nil"/>
                  </w:tcBorders>
                  <w:vAlign w:val="center"/>
                </w:tcPr>
                <w:p w14:paraId="018E964F">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对照《产业结构调整指导目录（2024年本）》，本项目属于其中的鼓励类项目，符合国家产业政策，同时，项目取得</w:t>
                  </w:r>
                  <w:r>
                    <w:rPr>
                      <w:rFonts w:hint="default" w:ascii="Times New Roman" w:hAnsi="Times New Roman"/>
                      <w:bCs/>
                      <w:color w:val="auto"/>
                      <w:kern w:val="2"/>
                      <w:sz w:val="21"/>
                      <w:szCs w:val="21"/>
                    </w:rPr>
                    <w:t>凤台县经济和信息化局</w:t>
                  </w:r>
                  <w:r>
                    <w:rPr>
                      <w:rFonts w:hint="eastAsia" w:ascii="Times New Roman" w:hAnsi="Times New Roman" w:eastAsia="宋体"/>
                      <w:bCs/>
                      <w:color w:val="auto"/>
                      <w:kern w:val="2"/>
                      <w:sz w:val="21"/>
                      <w:szCs w:val="21"/>
                      <w:lang w:eastAsia="zh-CN"/>
                    </w:rPr>
                    <w:t>（</w:t>
                  </w:r>
                  <w:r>
                    <w:rPr>
                      <w:rFonts w:hint="default" w:ascii="Times New Roman" w:hAnsi="Times New Roman"/>
                      <w:bCs/>
                      <w:color w:val="auto"/>
                      <w:kern w:val="2"/>
                      <w:sz w:val="21"/>
                      <w:szCs w:val="21"/>
                    </w:rPr>
                    <w:t>凤台县商务投资促进局</w:t>
                  </w:r>
                  <w:r>
                    <w:rPr>
                      <w:rFonts w:hint="eastAsia" w:ascii="Times New Roman" w:hAnsi="Times New Roman" w:eastAsia="宋体"/>
                      <w:bCs/>
                      <w:color w:val="auto"/>
                      <w:kern w:val="2"/>
                      <w:sz w:val="21"/>
                      <w:szCs w:val="21"/>
                      <w:lang w:eastAsia="zh-CN"/>
                    </w:rPr>
                    <w:t>）</w:t>
                  </w:r>
                  <w:r>
                    <w:rPr>
                      <w:rFonts w:hint="default" w:ascii="Times New Roman" w:hAnsi="Times New Roman"/>
                      <w:bCs/>
                      <w:color w:val="auto"/>
                      <w:kern w:val="2"/>
                      <w:sz w:val="21"/>
                      <w:szCs w:val="21"/>
                    </w:rPr>
                    <w:t>备案，项目代码为2510-340421-07-02-656800</w:t>
                  </w:r>
                </w:p>
              </w:tc>
            </w:tr>
          </w:tbl>
          <w:p w14:paraId="0F2177D6">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default" w:ascii="Times New Roman" w:hAnsi="Times New Roman"/>
                <w:b/>
                <w:color w:val="auto"/>
                <w:kern w:val="2"/>
              </w:rPr>
              <w:t>1</w:t>
            </w:r>
            <w:r>
              <w:rPr>
                <w:rFonts w:hint="eastAsia" w:ascii="Times New Roman" w:hAnsi="Times New Roman"/>
                <w:b/>
                <w:color w:val="auto"/>
                <w:kern w:val="2"/>
              </w:rPr>
              <w:t>3</w:t>
            </w:r>
            <w:r>
              <w:rPr>
                <w:rFonts w:hint="default" w:ascii="Times New Roman" w:hAnsi="Times New Roman"/>
                <w:b/>
                <w:color w:val="auto"/>
                <w:kern w:val="2"/>
              </w:rPr>
              <w:t>、与安徽省</w:t>
            </w:r>
            <w:r>
              <w:rPr>
                <w:rFonts w:hint="eastAsia"/>
                <w:b/>
                <w:color w:val="auto"/>
                <w:kern w:val="2"/>
              </w:rPr>
              <w:t>分区防控</w:t>
            </w:r>
            <w:r>
              <w:rPr>
                <w:rFonts w:hint="default"/>
                <w:b/>
                <w:color w:val="auto"/>
                <w:kern w:val="2"/>
              </w:rPr>
              <w:t>管</w:t>
            </w:r>
            <w:r>
              <w:rPr>
                <w:rFonts w:hint="default" w:ascii="Times New Roman" w:hAnsi="Times New Roman"/>
                <w:b/>
                <w:color w:val="auto"/>
                <w:kern w:val="2"/>
              </w:rPr>
              <w:t>控单元符合性分析</w:t>
            </w:r>
          </w:p>
          <w:p w14:paraId="5285054A">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default" w:ascii="Times New Roman" w:hAnsi="Times New Roman"/>
                <w:bCs/>
                <w:color w:val="auto"/>
                <w:kern w:val="2"/>
              </w:rPr>
              <w:t>查阅《安徽</w:t>
            </w:r>
            <w:r>
              <w:rPr>
                <w:rFonts w:hint="default"/>
                <w:bCs/>
                <w:color w:val="auto"/>
                <w:kern w:val="2"/>
              </w:rPr>
              <w:t>省“三线一单”公</w:t>
            </w:r>
            <w:r>
              <w:rPr>
                <w:rFonts w:hint="default" w:ascii="Times New Roman" w:hAnsi="Times New Roman"/>
                <w:bCs/>
                <w:color w:val="auto"/>
                <w:kern w:val="2"/>
              </w:rPr>
              <w:t>众服务平台》，项目</w:t>
            </w:r>
            <w:r>
              <w:rPr>
                <w:rFonts w:hint="default"/>
                <w:bCs/>
                <w:color w:val="auto"/>
                <w:kern w:val="2"/>
              </w:rPr>
              <w:t>所在区域属“重点管控单元”</w:t>
            </w:r>
            <w:r>
              <w:rPr>
                <w:rFonts w:hint="default" w:ascii="Times New Roman" w:hAnsi="Times New Roman"/>
                <w:bCs/>
                <w:color w:val="auto"/>
                <w:kern w:val="2"/>
              </w:rPr>
              <w:t>（单元编码ZH3404212001</w:t>
            </w:r>
            <w:r>
              <w:rPr>
                <w:rFonts w:hint="eastAsia" w:ascii="Times New Roman" w:hAnsi="Times New Roman"/>
                <w:bCs/>
                <w:color w:val="auto"/>
                <w:kern w:val="2"/>
              </w:rPr>
              <w:t>2</w:t>
            </w:r>
            <w:r>
              <w:rPr>
                <w:rFonts w:hint="default" w:ascii="Times New Roman" w:hAnsi="Times New Roman"/>
                <w:bCs/>
                <w:color w:val="auto"/>
                <w:kern w:val="2"/>
              </w:rPr>
              <w:t>）（与安徽省分区防控管控单元位置关系图见附图6），本项目对有关的淮南市管控单元生态环境准入清单进行分析，详见下表。</w:t>
            </w:r>
          </w:p>
        </w:tc>
      </w:tr>
    </w:tbl>
    <w:p w14:paraId="31FCEC0B">
      <w:pPr>
        <w:rPr>
          <w:rFonts w:ascii="Times New Roman" w:hAnsi="Times New Roman"/>
          <w:color w:val="auto"/>
        </w:rPr>
        <w:sectPr>
          <w:pgSz w:w="11906" w:h="16838"/>
          <w:pgMar w:top="1701" w:right="1531" w:bottom="1701" w:left="1531" w:header="851" w:footer="992" w:gutter="0"/>
          <w:cols w:space="720" w:num="1"/>
          <w:docGrid w:type="lines" w:linePitch="312" w:charSpace="0"/>
        </w:sectPr>
      </w:pP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12918"/>
      </w:tblGrid>
      <w:tr w14:paraId="5EFF96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44" w:hRule="atLeast"/>
          <w:jc w:val="center"/>
        </w:trPr>
        <w:tc>
          <w:tcPr>
            <w:tcW w:w="269" w:type="pct"/>
            <w:vAlign w:val="center"/>
          </w:tcPr>
          <w:p w14:paraId="4C11027C">
            <w:pPr>
              <w:keepNext w:val="0"/>
              <w:keepLines w:val="0"/>
              <w:widowControl/>
              <w:suppressLineNumbers w:val="0"/>
              <w:spacing w:before="0" w:beforeAutospacing="0" w:after="0" w:afterAutospacing="0"/>
              <w:ind w:left="0" w:right="0"/>
              <w:jc w:val="center"/>
              <w:rPr>
                <w:rFonts w:hint="default" w:ascii="Times New Roman" w:hAnsi="Times New Roman"/>
                <w:color w:val="auto"/>
                <w:kern w:val="2"/>
              </w:rPr>
            </w:pPr>
            <w:r>
              <w:rPr>
                <w:rFonts w:hint="default" w:ascii="Times New Roman" w:hAnsi="Times New Roman" w:cs="Times New Roman"/>
                <w:color w:val="auto"/>
                <w:kern w:val="2"/>
              </w:rPr>
              <w:t>其他符合性分析</w:t>
            </w:r>
          </w:p>
        </w:tc>
        <w:tc>
          <w:tcPr>
            <w:tcW w:w="4731" w:type="pct"/>
          </w:tcPr>
          <w:p w14:paraId="72D3EAD7">
            <w:pPr>
              <w:keepNext w:val="0"/>
              <w:keepLines w:val="0"/>
              <w:widowControl w:val="0"/>
              <w:suppressLineNumbers w:val="0"/>
              <w:adjustRightInd w:val="0"/>
              <w:spacing w:before="0" w:beforeAutospacing="0" w:after="0" w:afterAutospacing="0" w:line="324" w:lineRule="auto"/>
              <w:ind w:left="0" w:right="0"/>
              <w:jc w:val="center"/>
              <w:rPr>
                <w:rFonts w:hint="default" w:ascii="Times New Roman" w:hAnsi="Times New Roman" w:eastAsia="黑体" w:cs="Times New Roman"/>
                <w:bCs/>
                <w:color w:val="auto"/>
                <w:kern w:val="2"/>
                <w:szCs w:val="22"/>
              </w:rPr>
            </w:pPr>
            <w:r>
              <w:rPr>
                <w:rFonts w:hint="eastAsia" w:ascii="Times New Roman" w:hAnsi="Times New Roman" w:eastAsia="黑体" w:cs="Times New Roman"/>
                <w:bCs/>
                <w:color w:val="auto"/>
                <w:kern w:val="2"/>
                <w:szCs w:val="22"/>
              </w:rPr>
              <w:t>表1-17  本项目与生态管控单元的符合性分析</w:t>
            </w:r>
          </w:p>
          <w:tbl>
            <w:tblPr>
              <w:tblStyle w:val="23"/>
              <w:tblW w:w="4999" w:type="pct"/>
              <w:jc w:val="center"/>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57"/>
              <w:gridCol w:w="679"/>
              <w:gridCol w:w="521"/>
              <w:gridCol w:w="5468"/>
              <w:gridCol w:w="4177"/>
              <w:gridCol w:w="797"/>
            </w:tblGrid>
            <w:tr w14:paraId="4EF70EB7">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4" w:type="pct"/>
                  <w:tcBorders>
                    <w:top w:val="single" w:color="000000" w:sz="12" w:space="0"/>
                    <w:left w:val="nil"/>
                    <w:bottom w:val="single" w:color="000000" w:sz="4" w:space="0"/>
                    <w:right w:val="single" w:color="000000" w:sz="4" w:space="0"/>
                  </w:tcBorders>
                  <w:vAlign w:val="center"/>
                </w:tcPr>
                <w:p w14:paraId="32D8F2FB">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环境管控单元分类</w:t>
                  </w:r>
                </w:p>
              </w:tc>
              <w:tc>
                <w:tcPr>
                  <w:tcW w:w="365" w:type="pct"/>
                  <w:tcBorders>
                    <w:top w:val="single" w:color="000000" w:sz="12" w:space="0"/>
                    <w:left w:val="single" w:color="000000" w:sz="4" w:space="0"/>
                    <w:bottom w:val="single" w:color="000000" w:sz="4" w:space="0"/>
                    <w:right w:val="single" w:color="000000" w:sz="4" w:space="0"/>
                  </w:tcBorders>
                  <w:vAlign w:val="center"/>
                </w:tcPr>
                <w:p w14:paraId="25CCA96F">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区域管控要求</w:t>
                  </w:r>
                </w:p>
              </w:tc>
              <w:tc>
                <w:tcPr>
                  <w:tcW w:w="303" w:type="pct"/>
                  <w:tcBorders>
                    <w:top w:val="single" w:color="000000" w:sz="12" w:space="0"/>
                    <w:left w:val="single" w:color="000000" w:sz="4" w:space="0"/>
                    <w:bottom w:val="single" w:color="000000" w:sz="4" w:space="0"/>
                    <w:right w:val="single" w:color="000000" w:sz="4" w:space="0"/>
                  </w:tcBorders>
                  <w:vAlign w:val="center"/>
                </w:tcPr>
                <w:p w14:paraId="0E976BBF">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管控类别</w:t>
                  </w:r>
                </w:p>
              </w:tc>
              <w:tc>
                <w:tcPr>
                  <w:tcW w:w="2249" w:type="pct"/>
                  <w:tcBorders>
                    <w:top w:val="single" w:color="000000" w:sz="12" w:space="0"/>
                    <w:left w:val="single" w:color="000000" w:sz="4" w:space="0"/>
                    <w:bottom w:val="single" w:color="000000" w:sz="4" w:space="0"/>
                    <w:right w:val="single" w:color="000000" w:sz="4" w:space="0"/>
                  </w:tcBorders>
                  <w:vAlign w:val="center"/>
                </w:tcPr>
                <w:p w14:paraId="57534FA3">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管控要求</w:t>
                  </w:r>
                </w:p>
              </w:tc>
              <w:tc>
                <w:tcPr>
                  <w:tcW w:w="1155" w:type="pct"/>
                  <w:tcBorders>
                    <w:top w:val="single" w:color="000000" w:sz="12" w:space="0"/>
                    <w:left w:val="single" w:color="000000" w:sz="4" w:space="0"/>
                    <w:bottom w:val="single" w:color="000000" w:sz="4" w:space="0"/>
                    <w:right w:val="single" w:color="000000" w:sz="4" w:space="0"/>
                  </w:tcBorders>
                  <w:vAlign w:val="center"/>
                </w:tcPr>
                <w:p w14:paraId="0E5B216F">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协调性分析</w:t>
                  </w:r>
                </w:p>
              </w:tc>
              <w:tc>
                <w:tcPr>
                  <w:tcW w:w="411" w:type="pct"/>
                  <w:tcBorders>
                    <w:top w:val="single" w:color="000000" w:sz="12" w:space="0"/>
                    <w:left w:val="single" w:color="000000" w:sz="4" w:space="0"/>
                    <w:bottom w:val="single" w:color="000000" w:sz="4" w:space="0"/>
                    <w:right w:val="nil"/>
                  </w:tcBorders>
                  <w:vAlign w:val="center"/>
                </w:tcPr>
                <w:p w14:paraId="06FAD498">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符合性分析</w:t>
                  </w:r>
                </w:p>
              </w:tc>
            </w:tr>
            <w:tr w14:paraId="7F826641">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4" w:type="pct"/>
                  <w:vMerge w:val="restart"/>
                  <w:tcBorders>
                    <w:top w:val="single" w:color="000000" w:sz="4" w:space="0"/>
                    <w:left w:val="nil"/>
                    <w:bottom w:val="single" w:color="000000" w:sz="4" w:space="0"/>
                    <w:right w:val="single" w:color="000000" w:sz="4" w:space="0"/>
                  </w:tcBorders>
                  <w:vAlign w:val="center"/>
                </w:tcPr>
                <w:p w14:paraId="4D64E1D1">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重点管控单元</w:t>
                  </w:r>
                </w:p>
              </w:tc>
              <w:tc>
                <w:tcPr>
                  <w:tcW w:w="365" w:type="pct"/>
                  <w:vMerge w:val="restart"/>
                  <w:tcBorders>
                    <w:top w:val="single" w:color="000000" w:sz="4" w:space="0"/>
                    <w:left w:val="single" w:color="000000" w:sz="4" w:space="0"/>
                    <w:bottom w:val="single" w:color="000000" w:sz="4" w:space="0"/>
                    <w:right w:val="single" w:color="000000" w:sz="4" w:space="0"/>
                  </w:tcBorders>
                  <w:vAlign w:val="center"/>
                </w:tcPr>
                <w:p w14:paraId="527190D1">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无</w:t>
                  </w:r>
                </w:p>
              </w:tc>
              <w:tc>
                <w:tcPr>
                  <w:tcW w:w="303" w:type="pct"/>
                  <w:tcBorders>
                    <w:top w:val="single" w:color="000000" w:sz="4" w:space="0"/>
                    <w:left w:val="single" w:color="000000" w:sz="4" w:space="0"/>
                    <w:bottom w:val="single" w:color="auto" w:sz="4" w:space="0"/>
                    <w:right w:val="single" w:color="000000" w:sz="4" w:space="0"/>
                  </w:tcBorders>
                  <w:vAlign w:val="center"/>
                </w:tcPr>
                <w:p w14:paraId="0F5781AF">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空间布局约束</w:t>
                  </w:r>
                </w:p>
              </w:tc>
              <w:tc>
                <w:tcPr>
                  <w:tcW w:w="2249" w:type="pct"/>
                  <w:tcBorders>
                    <w:top w:val="single" w:color="000000" w:sz="4" w:space="0"/>
                    <w:left w:val="single" w:color="000000" w:sz="4" w:space="0"/>
                    <w:bottom w:val="single" w:color="000000" w:sz="4" w:space="0"/>
                    <w:right w:val="single" w:color="000000" w:sz="4" w:space="0"/>
                  </w:tcBorders>
                  <w:vAlign w:val="center"/>
                </w:tcPr>
                <w:p w14:paraId="5CE8F23A">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1.在城市城区及其近郊禁止新建、扩建钢铁、有色、石化、水泥、化工等重污染企业。2.禁止新建燃料类煤气发生炉（园区现有企业统一建设的清洁煤制气中心除外）。3.严禁新增钢铁、焦化、电解铝、铸造、水泥和平板玻璃等产能；严格执行钢铁、水泥、平板玻璃等行业产能置换实施办法。4.严格执行国家关</w:t>
                  </w:r>
                  <w:r>
                    <w:rPr>
                      <w:rFonts w:hint="default"/>
                      <w:color w:val="auto"/>
                      <w:kern w:val="2"/>
                      <w:sz w:val="21"/>
                      <w:szCs w:val="21"/>
                    </w:rPr>
                    <w:t>于“两高”产</w:t>
                  </w:r>
                  <w:r>
                    <w:rPr>
                      <w:rFonts w:hint="default" w:ascii="Times New Roman" w:hAnsi="Times New Roman"/>
                      <w:color w:val="auto"/>
                      <w:kern w:val="2"/>
                      <w:sz w:val="21"/>
                      <w:szCs w:val="21"/>
                    </w:rPr>
                    <w:t>业准入目录和产能总量控制政策措施。严禁新增钢铁、焦化、电解铝、铸造、水泥和平板玻璃等产能；新、改、扩建涉及大宗物料运输的建设项目，原则上不得采用公路运输。5.非电行业新建项目，禁止配套建设自备纯凝、抽凝燃煤电站。6.在城市建成区及居民区、医院、学校等环境敏感区域，严禁现场露天灰土拌合。7.严格控制新</w:t>
                  </w:r>
                  <w:r>
                    <w:rPr>
                      <w:rFonts w:hint="eastAsia"/>
                      <w:color w:val="auto"/>
                      <w:kern w:val="2"/>
                      <w:sz w:val="21"/>
                      <w:szCs w:val="21"/>
                    </w:rPr>
                    <w:t>增“两高”项目审</w:t>
                  </w:r>
                  <w:r>
                    <w:rPr>
                      <w:rFonts w:hint="default" w:ascii="Times New Roman" w:hAnsi="Times New Roman"/>
                      <w:color w:val="auto"/>
                      <w:kern w:val="2"/>
                      <w:sz w:val="21"/>
                      <w:szCs w:val="21"/>
                    </w:rPr>
                    <w:t>批，认真分析评估拟建项目必要性、可行性和对产业高质量发展、能耗双控、碳排放和环境质量的影响，严格审查项目是否符合产业政策、产业规划、</w:t>
                  </w:r>
                  <w:r>
                    <w:rPr>
                      <w:rFonts w:hint="default"/>
                      <w:color w:val="auto"/>
                      <w:kern w:val="2"/>
                      <w:sz w:val="21"/>
                      <w:szCs w:val="21"/>
                    </w:rPr>
                    <w:t>“三线一单”、</w:t>
                  </w:r>
                  <w:r>
                    <w:rPr>
                      <w:rFonts w:hint="default" w:ascii="Times New Roman" w:hAnsi="Times New Roman"/>
                      <w:color w:val="auto"/>
                      <w:kern w:val="2"/>
                      <w:sz w:val="21"/>
                      <w:szCs w:val="21"/>
                    </w:rPr>
                    <w:t>规划环评要求，是否依法依规落实产能置换、能耗置换、煤炭消费减量替代、污染物排放区域削减等要求。对已建成投产的存</w:t>
                  </w:r>
                  <w:r>
                    <w:rPr>
                      <w:rFonts w:hint="eastAsia"/>
                      <w:color w:val="auto"/>
                      <w:kern w:val="2"/>
                      <w:sz w:val="21"/>
                      <w:szCs w:val="21"/>
                    </w:rPr>
                    <w:t>量“两高”项目，</w:t>
                  </w:r>
                  <w:r>
                    <w:rPr>
                      <w:rFonts w:hint="default" w:ascii="Times New Roman" w:hAnsi="Times New Roman"/>
                      <w:color w:val="auto"/>
                      <w:kern w:val="2"/>
                      <w:sz w:val="21"/>
                      <w:szCs w:val="21"/>
                    </w:rPr>
                    <w:t>有节能减排潜力的加快改造升级，属于落后产能的加快淘汰。8.禁止建设生产和使用高挥发性有机物含量涂料、油墨、胶粘剂、清洗剂等项目。9.禁止新建不符合国家规定的燃煤发电机组、燃油发电机组和燃煤热电机组。10.禁止新建、扩建分散燃煤供热锅炉。11.在城市规划区内禁止新建、扩建大气污染严重的建设项目。12.禁止高灰分、高硫分煤炭进入市场。新建煤矿应当同步建设煤炭洗选设施，已建成的煤矿所采煤炭属于高灰分、高硫分的，应当在国家和省规定的期限内建成配套的煤炭洗选设施，使煤炭中的灰分、硫分达到规定的标准</w:t>
                  </w:r>
                </w:p>
              </w:tc>
              <w:tc>
                <w:tcPr>
                  <w:tcW w:w="1155" w:type="pct"/>
                  <w:tcBorders>
                    <w:top w:val="single" w:color="000000" w:sz="4" w:space="0"/>
                    <w:left w:val="single" w:color="000000" w:sz="4" w:space="0"/>
                    <w:bottom w:val="single" w:color="000000" w:sz="4" w:space="0"/>
                    <w:right w:val="single" w:color="000000" w:sz="4" w:space="0"/>
                  </w:tcBorders>
                  <w:vAlign w:val="center"/>
                </w:tcPr>
                <w:p w14:paraId="49D20259">
                  <w:pPr>
                    <w:keepNext w:val="0"/>
                    <w:keepLines w:val="0"/>
                    <w:widowControl/>
                    <w:suppressLineNumbers w:val="0"/>
                    <w:autoSpaceDE w:val="0"/>
                    <w:autoSpaceDN w:val="0"/>
                    <w:spacing w:before="0" w:beforeAutospacing="0" w:after="0" w:afterAutospacing="0" w:line="276" w:lineRule="auto"/>
                    <w:ind w:left="0" w:right="0"/>
                    <w:jc w:val="center"/>
                    <w:rPr>
                      <w:rFonts w:hint="eastAsia" w:ascii="Times New Roman" w:hAnsi="Times New Roman" w:eastAsia="宋体"/>
                      <w:color w:val="auto"/>
                      <w:kern w:val="2"/>
                      <w:sz w:val="21"/>
                      <w:szCs w:val="21"/>
                      <w:lang w:eastAsia="zh-CN"/>
                    </w:rPr>
                  </w:pPr>
                  <w:r>
                    <w:rPr>
                      <w:rFonts w:hint="default" w:ascii="Times New Roman" w:hAnsi="Times New Roman"/>
                      <w:color w:val="auto"/>
                      <w:kern w:val="2"/>
                      <w:sz w:val="21"/>
                      <w:szCs w:val="21"/>
                    </w:rPr>
                    <w:t>本项目属于C3670汽车零部件及配件制造，查阅《产业结构调整指导目录（2024年本）》，本项目属于其中的鼓励类，本项目建设符合国家产业政策要求。对照《安徽省“两高”项目重点管理范围</w:t>
                  </w:r>
                  <w:r>
                    <w:rPr>
                      <w:rFonts w:hint="eastAsia" w:ascii="宋体" w:hAnsi="宋体" w:eastAsia="宋体" w:cs="宋体"/>
                      <w:color w:val="auto"/>
                      <w:kern w:val="2"/>
                      <w:sz w:val="21"/>
                      <w:szCs w:val="21"/>
                    </w:rPr>
                    <w:t>(</w:t>
                  </w:r>
                  <w:r>
                    <w:rPr>
                      <w:rFonts w:hint="default" w:ascii="Times New Roman" w:hAnsi="Times New Roman"/>
                      <w:color w:val="auto"/>
                      <w:kern w:val="2"/>
                      <w:sz w:val="21"/>
                      <w:szCs w:val="21"/>
                    </w:rPr>
                    <w:t>2025年</w:t>
                  </w:r>
                  <w:r>
                    <w:rPr>
                      <w:rFonts w:hint="eastAsia" w:ascii="宋体" w:hAnsi="宋体" w:eastAsia="宋体" w:cs="宋体"/>
                      <w:color w:val="auto"/>
                      <w:kern w:val="2"/>
                      <w:sz w:val="21"/>
                      <w:szCs w:val="21"/>
                    </w:rPr>
                    <w:t>版)</w:t>
                  </w:r>
                  <w:r>
                    <w:rPr>
                      <w:rFonts w:hint="default" w:ascii="Times New Roman" w:hAnsi="Times New Roman"/>
                      <w:color w:val="auto"/>
                      <w:kern w:val="2"/>
                      <w:sz w:val="21"/>
                      <w:szCs w:val="21"/>
                    </w:rPr>
                    <w:t>》，本项目不属于高耗能、高排放项目。本项目不属于钢铁、有色、石化、水泥、化工等重污染企业。项目满足空间布局约束要求</w:t>
                  </w:r>
                  <w:r>
                    <w:rPr>
                      <w:rFonts w:hint="eastAsia" w:ascii="Times New Roman" w:hAnsi="Times New Roman"/>
                      <w:color w:val="auto"/>
                      <w:kern w:val="2"/>
                      <w:sz w:val="21"/>
                      <w:szCs w:val="21"/>
                      <w:lang w:eastAsia="zh-CN"/>
                    </w:rPr>
                    <w:t>。</w:t>
                  </w:r>
                  <w:r>
                    <w:rPr>
                      <w:rFonts w:hint="default" w:ascii="Times New Roman" w:hAnsi="Times New Roman"/>
                      <w:color w:val="auto"/>
                      <w:kern w:val="2"/>
                      <w:sz w:val="21"/>
                      <w:szCs w:val="21"/>
                    </w:rPr>
                    <w:t>项目使用碳氢清洗剂</w:t>
                  </w:r>
                  <w:r>
                    <w:rPr>
                      <w:rFonts w:hint="eastAsia" w:ascii="Times New Roman" w:hAnsi="Times New Roman"/>
                      <w:color w:val="auto"/>
                      <w:kern w:val="2"/>
                      <w:sz w:val="21"/>
                      <w:szCs w:val="21"/>
                    </w:rPr>
                    <w:t>、</w:t>
                  </w:r>
                  <w:r>
                    <w:rPr>
                      <w:rFonts w:hint="default" w:ascii="Times New Roman" w:hAnsi="Times New Roman"/>
                      <w:color w:val="auto"/>
                      <w:kern w:val="2"/>
                      <w:sz w:val="21"/>
                      <w:szCs w:val="21"/>
                    </w:rPr>
                    <w:t>密封胶</w:t>
                  </w:r>
                  <w:r>
                    <w:rPr>
                      <w:rFonts w:hint="eastAsia" w:ascii="Times New Roman" w:hAnsi="Times New Roman"/>
                      <w:color w:val="auto"/>
                      <w:kern w:val="2"/>
                      <w:sz w:val="21"/>
                      <w:szCs w:val="21"/>
                    </w:rPr>
                    <w:t>，根据</w:t>
                  </w:r>
                  <w:r>
                    <w:rPr>
                      <w:rFonts w:hint="default" w:ascii="Times New Roman" w:hAnsi="Times New Roman"/>
                      <w:color w:val="auto"/>
                      <w:kern w:val="2"/>
                      <w:sz w:val="21"/>
                      <w:szCs w:val="21"/>
                    </w:rPr>
                    <w:t>碳氢清洗剂</w:t>
                  </w:r>
                  <w:r>
                    <w:rPr>
                      <w:rFonts w:hint="eastAsia" w:ascii="Times New Roman" w:hAnsi="Times New Roman"/>
                      <w:color w:val="auto"/>
                      <w:kern w:val="2"/>
                      <w:sz w:val="21"/>
                      <w:szCs w:val="21"/>
                    </w:rPr>
                    <w:t>MSDS，</w:t>
                  </w:r>
                  <w:r>
                    <w:rPr>
                      <w:rFonts w:hint="default" w:ascii="Times New Roman" w:hAnsi="Times New Roman"/>
                      <w:color w:val="auto"/>
                      <w:kern w:val="2"/>
                      <w:sz w:val="21"/>
                      <w:szCs w:val="21"/>
                    </w:rPr>
                    <w:t>本项目碳氢清洗剂密度0.65g/cm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，其中挥发性有机物含量99%，挥发性有机物含量为0.65</w:t>
                  </w:r>
                  <w:r>
                    <w:rPr>
                      <w:rFonts w:hint="eastAsia" w:ascii="Times New Roman" w:hAnsi="Times New Roman"/>
                      <w:color w:val="auto"/>
                      <w:kern w:val="2"/>
                      <w:sz w:val="21"/>
                      <w:szCs w:val="21"/>
                    </w:rPr>
                    <w:t>×</w:t>
                  </w:r>
                  <w:r>
                    <w:rPr>
                      <w:rFonts w:hint="default" w:ascii="Times New Roman" w:hAnsi="Times New Roman"/>
                      <w:color w:val="auto"/>
                      <w:kern w:val="2"/>
                      <w:sz w:val="21"/>
                      <w:szCs w:val="21"/>
                    </w:rPr>
                    <w:t>99%=0.6435g/cm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=643.5g/L≤900g/L，符合《清洗剂挥发性有机化合物含量限值》（GB38508-2020）表1清洗剂VOC含量及特定挥发性有机物限制要求，满足有机溶剂清洗剂VOC含量≤900g/L。</w:t>
                  </w:r>
                  <w:r>
                    <w:rPr>
                      <w:rFonts w:hint="eastAsia" w:ascii="Times New Roman" w:hAnsi="Times New Roman"/>
                      <w:color w:val="auto"/>
                      <w:kern w:val="2"/>
                      <w:sz w:val="21"/>
                      <w:szCs w:val="21"/>
                    </w:rPr>
                    <w:t>根据</w:t>
                  </w:r>
                  <w:r>
                    <w:rPr>
                      <w:rFonts w:hint="default" w:ascii="Times New Roman" w:hAnsi="Times New Roman"/>
                      <w:color w:val="auto"/>
                      <w:kern w:val="2"/>
                      <w:sz w:val="21"/>
                      <w:szCs w:val="21"/>
                    </w:rPr>
                    <w:t>密封胶</w:t>
                  </w:r>
                  <w:r>
                    <w:rPr>
                      <w:rFonts w:hint="eastAsia" w:ascii="Times New Roman" w:hAnsi="Times New Roman"/>
                      <w:color w:val="auto"/>
                      <w:kern w:val="2"/>
                      <w:sz w:val="21"/>
                      <w:szCs w:val="21"/>
                    </w:rPr>
                    <w:t>MSDS</w:t>
                  </w:r>
                  <w:r>
                    <w:rPr>
                      <w:rFonts w:hint="eastAsia" w:ascii="Times New Roman" w:hAnsi="Times New Roman"/>
                      <w:color w:val="auto"/>
                      <w:kern w:val="2"/>
                      <w:sz w:val="21"/>
                      <w:szCs w:val="21"/>
                      <w:lang w:eastAsia="zh-CN"/>
                    </w:rPr>
                    <w:t>、</w:t>
                  </w:r>
                  <w:r>
                    <w:rPr>
                      <w:rFonts w:hint="eastAsia" w:ascii="Times New Roman" w:hAnsi="Times New Roman"/>
                      <w:color w:val="auto"/>
                      <w:kern w:val="2"/>
                      <w:sz w:val="21"/>
                      <w:szCs w:val="21"/>
                      <w:lang w:val="en-US" w:eastAsia="zh-CN"/>
                    </w:rPr>
                    <w:t>VOC检测报告</w:t>
                  </w:r>
                  <w:r>
                    <w:rPr>
                      <w:rFonts w:hint="eastAsia" w:ascii="Times New Roman" w:hAnsi="Times New Roman"/>
                      <w:color w:val="auto"/>
                      <w:kern w:val="2"/>
                      <w:sz w:val="21"/>
                      <w:szCs w:val="21"/>
                    </w:rPr>
                    <w:t>，</w:t>
                  </w:r>
                  <w:r>
                    <w:rPr>
                      <w:rFonts w:hint="default" w:ascii="Times New Roman" w:hAnsi="Times New Roman"/>
                      <w:color w:val="auto"/>
                      <w:kern w:val="2"/>
                      <w:sz w:val="21"/>
                      <w:szCs w:val="21"/>
                    </w:rPr>
                    <w:t>密封胶密度1.1g/cm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，其中挥发性有机物含量</w:t>
                  </w:r>
                  <w:r>
                    <w:rPr>
                      <w:rFonts w:hint="eastAsia" w:ascii="Times New Roman" w:hAnsi="Times New Roman"/>
                      <w:color w:val="auto"/>
                      <w:kern w:val="2"/>
                      <w:sz w:val="21"/>
                      <w:szCs w:val="21"/>
                      <w:lang w:eastAsia="zh-CN"/>
                    </w:rPr>
                    <w:t>为</w:t>
                  </w:r>
                  <w:r>
                    <w:rPr>
                      <w:rFonts w:hint="eastAsia" w:ascii="Times New Roman" w:hAnsi="Times New Roman"/>
                      <w:color w:val="auto"/>
                      <w:kern w:val="2"/>
                      <w:sz w:val="21"/>
                      <w:szCs w:val="21"/>
                      <w:lang w:val="en-US" w:eastAsia="zh-CN"/>
                    </w:rPr>
                    <w:t>7g/kg</w:t>
                  </w:r>
                  <w:r>
                    <w:rPr>
                      <w:rFonts w:hint="default" w:ascii="Times New Roman" w:hAnsi="Times New Roman"/>
                      <w:color w:val="auto"/>
                      <w:kern w:val="2"/>
                      <w:sz w:val="21"/>
                      <w:szCs w:val="21"/>
                    </w:rPr>
                    <w:t>=0.0</w:t>
                  </w:r>
                  <w:r>
                    <w:rPr>
                      <w:rFonts w:hint="eastAsia" w:ascii="Times New Roman" w:hAnsi="Times New Roman"/>
                      <w:color w:val="auto"/>
                      <w:kern w:val="2"/>
                      <w:sz w:val="21"/>
                      <w:szCs w:val="21"/>
                      <w:lang w:val="en-US" w:eastAsia="zh-CN"/>
                    </w:rPr>
                    <w:t>077</w:t>
                  </w:r>
                  <w:r>
                    <w:rPr>
                      <w:rFonts w:hint="default" w:ascii="Times New Roman" w:hAnsi="Times New Roman"/>
                      <w:color w:val="auto"/>
                      <w:kern w:val="2"/>
                      <w:sz w:val="21"/>
                      <w:szCs w:val="21"/>
                    </w:rPr>
                    <w:t>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w:t>
                  </w:r>
                  <w:r>
                    <w:rPr>
                      <w:rFonts w:hint="eastAsia" w:ascii="Times New Roman" w:hAnsi="Times New Roman"/>
                      <w:color w:val="auto"/>
                      <w:kern w:val="2"/>
                      <w:sz w:val="21"/>
                      <w:szCs w:val="21"/>
                      <w:lang w:val="en-US" w:eastAsia="zh-CN"/>
                    </w:rPr>
                    <w:t>7.7</w:t>
                  </w:r>
                  <w:r>
                    <w:rPr>
                      <w:rFonts w:hint="default" w:ascii="Times New Roman" w:hAnsi="Times New Roman"/>
                      <w:color w:val="auto"/>
                      <w:kern w:val="2"/>
                      <w:sz w:val="21"/>
                      <w:szCs w:val="21"/>
                    </w:rPr>
                    <w:t>g/L≤50g/L，符合《胶粘剂挥发性有机化合物限量》（GB 33372-2020）表3本体型胶粘剂中环氧树脂类VOC含量的要求≤50g/L</w:t>
                  </w:r>
                  <w:r>
                    <w:rPr>
                      <w:rFonts w:hint="eastAsia"/>
                      <w:color w:val="auto"/>
                      <w:kern w:val="2"/>
                      <w:sz w:val="21"/>
                      <w:szCs w:val="21"/>
                    </w:rPr>
                    <w:t>，符合</w:t>
                  </w:r>
                  <w:r>
                    <w:rPr>
                      <w:rFonts w:hint="default" w:ascii="Times New Roman" w:hAnsi="Times New Roman"/>
                      <w:color w:val="auto"/>
                      <w:kern w:val="2"/>
                      <w:sz w:val="21"/>
                      <w:szCs w:val="21"/>
                    </w:rPr>
                    <w:t>《低挥发性有机物含量原辅材料源头替代技术指引（试行）》要求。项目生产过程中不涉及使用高VOCs含量的原辅料</w:t>
                  </w:r>
                </w:p>
              </w:tc>
              <w:tc>
                <w:tcPr>
                  <w:tcW w:w="411" w:type="pct"/>
                  <w:tcBorders>
                    <w:top w:val="single" w:color="000000" w:sz="4" w:space="0"/>
                    <w:left w:val="single" w:color="000000" w:sz="4" w:space="0"/>
                    <w:bottom w:val="single" w:color="000000" w:sz="4" w:space="0"/>
                    <w:right w:val="nil"/>
                  </w:tcBorders>
                  <w:vAlign w:val="center"/>
                </w:tcPr>
                <w:p w14:paraId="1718E0DC">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r w14:paraId="2293AB01">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4" w:type="pct"/>
                  <w:vMerge w:val="continue"/>
                  <w:tcBorders>
                    <w:top w:val="single" w:color="000000" w:sz="4" w:space="0"/>
                    <w:left w:val="nil"/>
                    <w:bottom w:val="single" w:color="000000" w:sz="4" w:space="0"/>
                    <w:right w:val="single" w:color="000000" w:sz="4" w:space="0"/>
                  </w:tcBorders>
                  <w:vAlign w:val="center"/>
                </w:tcPr>
                <w:p w14:paraId="77C6AAD8">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p>
              </w:tc>
              <w:tc>
                <w:tcPr>
                  <w:tcW w:w="365" w:type="pct"/>
                  <w:vMerge w:val="continue"/>
                  <w:tcBorders>
                    <w:top w:val="single" w:color="000000" w:sz="4" w:space="0"/>
                    <w:left w:val="single" w:color="000000" w:sz="4" w:space="0"/>
                    <w:bottom w:val="single" w:color="000000" w:sz="4" w:space="0"/>
                    <w:right w:val="single" w:color="000000" w:sz="4" w:space="0"/>
                  </w:tcBorders>
                  <w:vAlign w:val="center"/>
                </w:tcPr>
                <w:p w14:paraId="12E1249B">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p>
              </w:tc>
              <w:tc>
                <w:tcPr>
                  <w:tcW w:w="303" w:type="pct"/>
                  <w:tcBorders>
                    <w:top w:val="single" w:color="auto" w:sz="4" w:space="0"/>
                    <w:left w:val="single" w:color="000000" w:sz="4" w:space="0"/>
                    <w:bottom w:val="single" w:color="auto" w:sz="4" w:space="0"/>
                    <w:right w:val="single" w:color="000000" w:sz="4" w:space="0"/>
                  </w:tcBorders>
                  <w:vAlign w:val="center"/>
                </w:tcPr>
                <w:p w14:paraId="26516C62">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污染物排放管控</w:t>
                  </w:r>
                </w:p>
              </w:tc>
              <w:tc>
                <w:tcPr>
                  <w:tcW w:w="2249" w:type="pct"/>
                  <w:tcBorders>
                    <w:top w:val="single" w:color="000000" w:sz="4" w:space="0"/>
                    <w:left w:val="single" w:color="000000" w:sz="4" w:space="0"/>
                    <w:bottom w:val="single" w:color="auto" w:sz="4" w:space="0"/>
                    <w:right w:val="single" w:color="000000" w:sz="4" w:space="0"/>
                  </w:tcBorders>
                  <w:vAlign w:val="center"/>
                </w:tcPr>
                <w:p w14:paraId="4F8BF80C">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1.全面推动挥发性有机物纳入排污许可管理。禁止建设生产和使用高挥发性有机物含量涂料、油墨、胶粘剂、清洗剂等项目。加快推进石化、化工、涂装、医药、包装印刷和油品储运销等重点行业挥发性有机物深度治理，全面提升废气收集率、治理设施同步运行率和去除率，提高水性、高固体分、无溶剂、粉末、辐射固化等低挥发性有机物含量产品的比重。加大工业涂装、包装印刷等行业低挥发性有机物含量原辅材料替代力度，严格执行涂料、油墨、胶粘剂、清洗剂挥发性有机物含量限值标准，确保生产、销售、进口、使用符合标准的产品。到2025年，溶剂型工业涂料、油墨使用比例分别降低20个、10个百分点。溶剂型胶粘剂使用量降低20%。2.实行重点排放源排放浓度与去除效率双重控制。车间或生产设施收集排放的废气，VOCs初始排放速率大于等于2千克/小时的，应加大控制力度，除确保排放浓度稳定达标外，还应实行去除效率控制，去除效率不低于80%；采用的原辅材料符合国家有关低VOCs含量产品规定的除外，有行业排放标准的按其相关规定执行。3.使用粉末、水性、高固体分、辐射固化等低VOCs含量的涂料替代溶剂型涂料。汽车制造底漆大力推广使用水性涂料，乘用车中涂、色漆大力推广使用高固体分或水性涂料，加快客车、货车等中涂、色漆改造。钢制集装箱制造在箱内、箱外、木地板涂装等工序大力推广使用水性涂料，在确保防腐蚀功能的前提下，加快推进特种集装箱采用水性涂料。木质家具制造大力推广使用水性、辐射固化、粉末等涂料和水性胶粘剂；金属家具制造大力推广使用粉末涂料；软体家具制造大力推广使用水性胶粘剂。工程机械制造大力推广使用水性、粉末和高固体分涂料。电子产品制造推广使用粉末、水性、辐射固化等涂料</w:t>
                  </w:r>
                </w:p>
              </w:tc>
              <w:tc>
                <w:tcPr>
                  <w:tcW w:w="1155" w:type="pct"/>
                  <w:tcBorders>
                    <w:top w:val="single" w:color="000000" w:sz="4" w:space="0"/>
                    <w:left w:val="single" w:color="000000" w:sz="4" w:space="0"/>
                    <w:bottom w:val="single" w:color="000000" w:sz="4" w:space="0"/>
                    <w:right w:val="single" w:color="000000" w:sz="4" w:space="0"/>
                  </w:tcBorders>
                  <w:vAlign w:val="center"/>
                </w:tcPr>
                <w:p w14:paraId="01B08BCC">
                  <w:pPr>
                    <w:keepNext w:val="0"/>
                    <w:keepLines w:val="0"/>
                    <w:widowControl/>
                    <w:suppressLineNumbers w:val="0"/>
                    <w:autoSpaceDE w:val="0"/>
                    <w:autoSpaceDN w:val="0"/>
                    <w:spacing w:before="0" w:beforeAutospacing="0" w:after="0" w:afterAutospacing="0" w:line="276" w:lineRule="auto"/>
                    <w:ind w:left="0" w:right="0"/>
                    <w:jc w:val="center"/>
                    <w:rPr>
                      <w:rFonts w:hint="eastAsia" w:ascii="Times New Roman" w:hAnsi="Times New Roman" w:eastAsia="宋体"/>
                      <w:color w:val="auto"/>
                      <w:kern w:val="2"/>
                      <w:sz w:val="21"/>
                      <w:szCs w:val="21"/>
                      <w:lang w:eastAsia="zh-CN"/>
                    </w:rPr>
                  </w:pPr>
                  <w:r>
                    <w:rPr>
                      <w:rFonts w:hint="default" w:ascii="Times New Roman" w:hAnsi="Times New Roman"/>
                      <w:color w:val="auto"/>
                      <w:kern w:val="2"/>
                      <w:sz w:val="21"/>
                      <w:szCs w:val="21"/>
                    </w:rPr>
                    <w:t>项目VOCs处理装置为二级活性炭吸附装置，去除效率</w:t>
                  </w:r>
                  <w:r>
                    <w:rPr>
                      <w:rFonts w:hint="eastAsia" w:ascii="Times New Roman" w:hAnsi="Times New Roman"/>
                      <w:color w:val="auto"/>
                      <w:kern w:val="2"/>
                      <w:sz w:val="21"/>
                      <w:szCs w:val="21"/>
                      <w:lang w:val="en-US" w:eastAsia="zh-CN"/>
                    </w:rPr>
                    <w:t>不低于</w:t>
                  </w:r>
                  <w:r>
                    <w:rPr>
                      <w:rFonts w:hint="default" w:ascii="Times New Roman" w:hAnsi="Times New Roman"/>
                      <w:color w:val="auto"/>
                      <w:kern w:val="2"/>
                      <w:sz w:val="21"/>
                      <w:szCs w:val="21"/>
                    </w:rPr>
                    <w:t>90%。项目满足污染物排放管控要求</w:t>
                  </w:r>
                  <w:r>
                    <w:rPr>
                      <w:rFonts w:hint="eastAsia" w:ascii="Times New Roman" w:hAnsi="Times New Roman"/>
                      <w:color w:val="auto"/>
                      <w:kern w:val="2"/>
                      <w:sz w:val="21"/>
                      <w:szCs w:val="21"/>
                      <w:lang w:eastAsia="zh-CN"/>
                    </w:rPr>
                    <w:t>。</w:t>
                  </w:r>
                  <w:r>
                    <w:rPr>
                      <w:rFonts w:hint="default" w:ascii="Times New Roman" w:hAnsi="Times New Roman"/>
                      <w:color w:val="auto"/>
                      <w:kern w:val="2"/>
                      <w:sz w:val="21"/>
                      <w:szCs w:val="21"/>
                    </w:rPr>
                    <w:t>项目使用碳氢清洗剂</w:t>
                  </w:r>
                  <w:r>
                    <w:rPr>
                      <w:rFonts w:hint="eastAsia" w:ascii="Times New Roman" w:hAnsi="Times New Roman"/>
                      <w:color w:val="auto"/>
                      <w:kern w:val="2"/>
                      <w:sz w:val="21"/>
                      <w:szCs w:val="21"/>
                    </w:rPr>
                    <w:t>、</w:t>
                  </w:r>
                  <w:r>
                    <w:rPr>
                      <w:rFonts w:hint="default" w:ascii="Times New Roman" w:hAnsi="Times New Roman"/>
                      <w:color w:val="auto"/>
                      <w:kern w:val="2"/>
                      <w:sz w:val="21"/>
                      <w:szCs w:val="21"/>
                    </w:rPr>
                    <w:t>密封胶</w:t>
                  </w:r>
                  <w:r>
                    <w:rPr>
                      <w:rFonts w:hint="eastAsia" w:ascii="Times New Roman" w:hAnsi="Times New Roman"/>
                      <w:color w:val="auto"/>
                      <w:kern w:val="2"/>
                      <w:sz w:val="21"/>
                      <w:szCs w:val="21"/>
                    </w:rPr>
                    <w:t>，根据</w:t>
                  </w:r>
                  <w:r>
                    <w:rPr>
                      <w:rFonts w:hint="default" w:ascii="Times New Roman" w:hAnsi="Times New Roman"/>
                      <w:color w:val="auto"/>
                      <w:kern w:val="2"/>
                      <w:sz w:val="21"/>
                      <w:szCs w:val="21"/>
                    </w:rPr>
                    <w:t>碳氢清洗剂</w:t>
                  </w:r>
                  <w:r>
                    <w:rPr>
                      <w:rFonts w:hint="eastAsia" w:ascii="Times New Roman" w:hAnsi="Times New Roman"/>
                      <w:color w:val="auto"/>
                      <w:kern w:val="2"/>
                      <w:sz w:val="21"/>
                      <w:szCs w:val="21"/>
                    </w:rPr>
                    <w:t>MSDS，</w:t>
                  </w:r>
                  <w:r>
                    <w:rPr>
                      <w:rFonts w:hint="default" w:ascii="Times New Roman" w:hAnsi="Times New Roman"/>
                      <w:color w:val="auto"/>
                      <w:kern w:val="2"/>
                      <w:sz w:val="21"/>
                      <w:szCs w:val="21"/>
                    </w:rPr>
                    <w:t>本项目碳氢清洗剂密度0.65g/cm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，其中挥发性有机物含量99%，挥发性有机物含量为0.65</w:t>
                  </w:r>
                  <w:r>
                    <w:rPr>
                      <w:rFonts w:hint="eastAsia" w:ascii="Times New Roman" w:hAnsi="Times New Roman"/>
                      <w:color w:val="auto"/>
                      <w:kern w:val="2"/>
                      <w:sz w:val="21"/>
                      <w:szCs w:val="21"/>
                    </w:rPr>
                    <w:t>×</w:t>
                  </w:r>
                  <w:r>
                    <w:rPr>
                      <w:rFonts w:hint="default" w:ascii="Times New Roman" w:hAnsi="Times New Roman"/>
                      <w:color w:val="auto"/>
                      <w:kern w:val="2"/>
                      <w:sz w:val="21"/>
                      <w:szCs w:val="21"/>
                    </w:rPr>
                    <w:t>99%=0.6435g/cm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=643.5g/L≤900g/L，符合《清洗剂挥发性有机化合物含量限值》（GB38508-2020）表1清洗剂VOC含量及特定挥发性有机物限制要求，满足有机溶剂清洗剂VOC含量≤900g/L。</w:t>
                  </w:r>
                  <w:r>
                    <w:rPr>
                      <w:rFonts w:hint="eastAsia" w:ascii="Times New Roman" w:hAnsi="Times New Roman"/>
                      <w:color w:val="auto"/>
                      <w:kern w:val="2"/>
                      <w:sz w:val="21"/>
                      <w:szCs w:val="21"/>
                    </w:rPr>
                    <w:t>根据</w:t>
                  </w:r>
                  <w:r>
                    <w:rPr>
                      <w:rFonts w:hint="default" w:ascii="Times New Roman" w:hAnsi="Times New Roman"/>
                      <w:color w:val="auto"/>
                      <w:kern w:val="2"/>
                      <w:sz w:val="21"/>
                      <w:szCs w:val="21"/>
                    </w:rPr>
                    <w:t>密封胶</w:t>
                  </w:r>
                  <w:r>
                    <w:rPr>
                      <w:rFonts w:hint="eastAsia" w:ascii="Times New Roman" w:hAnsi="Times New Roman"/>
                      <w:color w:val="auto"/>
                      <w:kern w:val="2"/>
                      <w:sz w:val="21"/>
                      <w:szCs w:val="21"/>
                    </w:rPr>
                    <w:t>MSDS</w:t>
                  </w:r>
                  <w:r>
                    <w:rPr>
                      <w:rFonts w:hint="eastAsia" w:ascii="Times New Roman" w:hAnsi="Times New Roman"/>
                      <w:color w:val="auto"/>
                      <w:kern w:val="2"/>
                      <w:sz w:val="21"/>
                      <w:szCs w:val="21"/>
                      <w:lang w:eastAsia="zh-CN"/>
                    </w:rPr>
                    <w:t>、</w:t>
                  </w:r>
                  <w:r>
                    <w:rPr>
                      <w:rFonts w:hint="eastAsia" w:ascii="Times New Roman" w:hAnsi="Times New Roman"/>
                      <w:color w:val="auto"/>
                      <w:kern w:val="2"/>
                      <w:sz w:val="21"/>
                      <w:szCs w:val="21"/>
                      <w:lang w:val="en-US" w:eastAsia="zh-CN"/>
                    </w:rPr>
                    <w:t>VOC检测报告</w:t>
                  </w:r>
                  <w:r>
                    <w:rPr>
                      <w:rFonts w:hint="eastAsia" w:ascii="Times New Roman" w:hAnsi="Times New Roman"/>
                      <w:color w:val="auto"/>
                      <w:kern w:val="2"/>
                      <w:sz w:val="21"/>
                      <w:szCs w:val="21"/>
                    </w:rPr>
                    <w:t>，</w:t>
                  </w:r>
                  <w:r>
                    <w:rPr>
                      <w:rFonts w:hint="default" w:ascii="Times New Roman" w:hAnsi="Times New Roman"/>
                      <w:color w:val="auto"/>
                      <w:kern w:val="2"/>
                      <w:sz w:val="21"/>
                      <w:szCs w:val="21"/>
                    </w:rPr>
                    <w:t>密封胶密度1.1g/cm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，其中挥发性有机物含量</w:t>
                  </w:r>
                  <w:r>
                    <w:rPr>
                      <w:rFonts w:hint="eastAsia" w:ascii="Times New Roman" w:hAnsi="Times New Roman"/>
                      <w:color w:val="auto"/>
                      <w:kern w:val="2"/>
                      <w:sz w:val="21"/>
                      <w:szCs w:val="21"/>
                      <w:lang w:eastAsia="zh-CN"/>
                    </w:rPr>
                    <w:t>为</w:t>
                  </w:r>
                  <w:r>
                    <w:rPr>
                      <w:rFonts w:hint="eastAsia" w:ascii="Times New Roman" w:hAnsi="Times New Roman"/>
                      <w:color w:val="auto"/>
                      <w:kern w:val="2"/>
                      <w:sz w:val="21"/>
                      <w:szCs w:val="21"/>
                      <w:lang w:val="en-US" w:eastAsia="zh-CN"/>
                    </w:rPr>
                    <w:t>7g/kg</w:t>
                  </w:r>
                  <w:r>
                    <w:rPr>
                      <w:rFonts w:hint="default" w:ascii="Times New Roman" w:hAnsi="Times New Roman"/>
                      <w:color w:val="auto"/>
                      <w:kern w:val="2"/>
                      <w:sz w:val="21"/>
                      <w:szCs w:val="21"/>
                    </w:rPr>
                    <w:t>=0.0</w:t>
                  </w:r>
                  <w:r>
                    <w:rPr>
                      <w:rFonts w:hint="eastAsia" w:ascii="Times New Roman" w:hAnsi="Times New Roman"/>
                      <w:color w:val="auto"/>
                      <w:kern w:val="2"/>
                      <w:sz w:val="21"/>
                      <w:szCs w:val="21"/>
                      <w:lang w:val="en-US" w:eastAsia="zh-CN"/>
                    </w:rPr>
                    <w:t>077</w:t>
                  </w:r>
                  <w:r>
                    <w:rPr>
                      <w:rFonts w:hint="default" w:ascii="Times New Roman" w:hAnsi="Times New Roman"/>
                      <w:color w:val="auto"/>
                      <w:kern w:val="2"/>
                      <w:sz w:val="21"/>
                      <w:szCs w:val="21"/>
                    </w:rPr>
                    <w:t>g/cm</w:t>
                  </w:r>
                  <w:r>
                    <w:rPr>
                      <w:rFonts w:hint="default" w:ascii="Times New Roman" w:hAnsi="Times New Roman"/>
                      <w:color w:val="auto"/>
                      <w:kern w:val="2"/>
                      <w:sz w:val="21"/>
                      <w:szCs w:val="21"/>
                      <w:vertAlign w:val="superscript"/>
                    </w:rPr>
                    <w:t>3</w:t>
                  </w:r>
                  <w:r>
                    <w:rPr>
                      <w:rFonts w:hint="default" w:ascii="Times New Roman" w:hAnsi="Times New Roman"/>
                      <w:color w:val="auto"/>
                      <w:kern w:val="2"/>
                      <w:sz w:val="21"/>
                      <w:szCs w:val="21"/>
                    </w:rPr>
                    <w:t>=</w:t>
                  </w:r>
                  <w:r>
                    <w:rPr>
                      <w:rFonts w:hint="eastAsia" w:ascii="Times New Roman" w:hAnsi="Times New Roman"/>
                      <w:color w:val="auto"/>
                      <w:kern w:val="2"/>
                      <w:sz w:val="21"/>
                      <w:szCs w:val="21"/>
                      <w:lang w:val="en-US" w:eastAsia="zh-CN"/>
                    </w:rPr>
                    <w:t>7.7</w:t>
                  </w:r>
                  <w:r>
                    <w:rPr>
                      <w:rFonts w:hint="default" w:ascii="Times New Roman" w:hAnsi="Times New Roman"/>
                      <w:color w:val="auto"/>
                      <w:kern w:val="2"/>
                      <w:sz w:val="21"/>
                      <w:szCs w:val="21"/>
                    </w:rPr>
                    <w:t>g/L≤50g/L，符合《胶粘剂挥发性有机化合物限量》（GB 33372-2020）表3本体型胶粘剂中环氧树脂类VOC含量的要求≤50g/L</w:t>
                  </w:r>
                  <w:r>
                    <w:rPr>
                      <w:rFonts w:hint="eastAsia"/>
                      <w:color w:val="auto"/>
                      <w:kern w:val="2"/>
                      <w:sz w:val="21"/>
                      <w:szCs w:val="21"/>
                    </w:rPr>
                    <w:t>，符合</w:t>
                  </w:r>
                  <w:r>
                    <w:rPr>
                      <w:rFonts w:hint="default" w:ascii="Times New Roman" w:hAnsi="Times New Roman"/>
                      <w:color w:val="auto"/>
                      <w:kern w:val="2"/>
                      <w:sz w:val="21"/>
                      <w:szCs w:val="21"/>
                    </w:rPr>
                    <w:t>《低挥发性有机物含量原辅材料源头替代技术指引（试行）》要求。项目生产过程中不涉及使用高VOCs含量的原辅料</w:t>
                  </w:r>
                </w:p>
              </w:tc>
              <w:tc>
                <w:tcPr>
                  <w:tcW w:w="411" w:type="pct"/>
                  <w:tcBorders>
                    <w:top w:val="single" w:color="000000" w:sz="4" w:space="0"/>
                    <w:left w:val="single" w:color="000000" w:sz="4" w:space="0"/>
                    <w:bottom w:val="single" w:color="000000" w:sz="4" w:space="0"/>
                    <w:right w:val="nil"/>
                  </w:tcBorders>
                  <w:vAlign w:val="center"/>
                </w:tcPr>
                <w:p w14:paraId="75D9F193">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r w14:paraId="4DB02CB3">
              <w:tblPrEx>
                <w:tblBorders>
                  <w:top w:val="single" w:color="000000"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4" w:type="pct"/>
                  <w:vMerge w:val="continue"/>
                  <w:tcBorders>
                    <w:top w:val="single" w:color="000000" w:sz="4" w:space="0"/>
                    <w:left w:val="nil"/>
                    <w:right w:val="single" w:color="000000" w:sz="4" w:space="0"/>
                  </w:tcBorders>
                  <w:vAlign w:val="center"/>
                </w:tcPr>
                <w:p w14:paraId="732400C1">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p>
              </w:tc>
              <w:tc>
                <w:tcPr>
                  <w:tcW w:w="365" w:type="pct"/>
                  <w:vMerge w:val="continue"/>
                  <w:tcBorders>
                    <w:top w:val="single" w:color="000000" w:sz="4" w:space="0"/>
                    <w:left w:val="single" w:color="000000" w:sz="4" w:space="0"/>
                    <w:right w:val="single" w:color="000000" w:sz="4" w:space="0"/>
                  </w:tcBorders>
                  <w:vAlign w:val="center"/>
                </w:tcPr>
                <w:p w14:paraId="5EC5284B">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p>
              </w:tc>
              <w:tc>
                <w:tcPr>
                  <w:tcW w:w="303" w:type="pct"/>
                  <w:tcBorders>
                    <w:top w:val="single" w:color="auto" w:sz="4" w:space="0"/>
                    <w:left w:val="single" w:color="000000" w:sz="4" w:space="0"/>
                    <w:right w:val="single" w:color="000000" w:sz="4" w:space="0"/>
                  </w:tcBorders>
                  <w:vAlign w:val="center"/>
                </w:tcPr>
                <w:p w14:paraId="2C9D5AF3">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资源开发效率要求</w:t>
                  </w:r>
                </w:p>
              </w:tc>
              <w:tc>
                <w:tcPr>
                  <w:tcW w:w="2249" w:type="pct"/>
                  <w:tcBorders>
                    <w:top w:val="single" w:color="auto" w:sz="4" w:space="0"/>
                    <w:left w:val="single" w:color="000000" w:sz="4" w:space="0"/>
                    <w:right w:val="single" w:color="000000" w:sz="4" w:space="0"/>
                  </w:tcBorders>
                  <w:vAlign w:val="center"/>
                </w:tcPr>
                <w:p w14:paraId="0796B9F4">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1.推动煤电行业实施节能降耗改造、供热改造和灵活性</w:t>
                  </w:r>
                  <w:r>
                    <w:rPr>
                      <w:rFonts w:hint="eastAsia"/>
                      <w:color w:val="auto"/>
                      <w:kern w:val="2"/>
                      <w:sz w:val="21"/>
                      <w:szCs w:val="21"/>
                    </w:rPr>
                    <w:t>改造“三改联动”</w:t>
                  </w:r>
                  <w:r>
                    <w:rPr>
                      <w:rFonts w:hint="default" w:ascii="Times New Roman" w:hAnsi="Times New Roman"/>
                      <w:color w:val="auto"/>
                      <w:kern w:val="2"/>
                      <w:sz w:val="21"/>
                      <w:szCs w:val="21"/>
                    </w:rPr>
                    <w:t>。加快供热管网建设，淘汰管网覆盖范围内的燃煤锅炉和散煤。到2025年，火电平均供电煤耗降至295克标煤/千瓦时，散煤基本清零。2.实</w:t>
                  </w:r>
                  <w:r>
                    <w:rPr>
                      <w:rFonts w:hint="eastAsia"/>
                      <w:color w:val="auto"/>
                      <w:kern w:val="2"/>
                      <w:sz w:val="21"/>
                      <w:szCs w:val="21"/>
                    </w:rPr>
                    <w:t>施“煤改气”和“以电代煤”。</w:t>
                  </w:r>
                  <w:r>
                    <w:rPr>
                      <w:rFonts w:hint="default" w:ascii="Times New Roman" w:hAnsi="Times New Roman"/>
                      <w:color w:val="auto"/>
                      <w:kern w:val="2"/>
                      <w:sz w:val="21"/>
                      <w:szCs w:val="21"/>
                    </w:rPr>
                    <w:t>在陶瓷、玻璃、铸造等行业积极推进天然气替代煤气化工程，有序实施燃煤设施煤改气。结合区域和行业用能特点，积极推进工业生产、建筑供暖供冷、交通运输、农业生产、居民生活五大领域</w:t>
                  </w:r>
                  <w:r>
                    <w:rPr>
                      <w:rFonts w:hint="eastAsia"/>
                      <w:color w:val="auto"/>
                      <w:kern w:val="2"/>
                      <w:sz w:val="21"/>
                      <w:szCs w:val="21"/>
                    </w:rPr>
                    <w:t>实施“以电代煤”，</w:t>
                  </w:r>
                  <w:r>
                    <w:rPr>
                      <w:rFonts w:hint="default" w:ascii="Times New Roman" w:hAnsi="Times New Roman"/>
                      <w:color w:val="auto"/>
                      <w:kern w:val="2"/>
                      <w:sz w:val="21"/>
                      <w:szCs w:val="21"/>
                    </w:rPr>
                    <w:t>着力提高电能占终端能源消费比重</w:t>
                  </w:r>
                </w:p>
              </w:tc>
              <w:tc>
                <w:tcPr>
                  <w:tcW w:w="1155" w:type="pct"/>
                  <w:tcBorders>
                    <w:top w:val="single" w:color="000000" w:sz="4" w:space="0"/>
                    <w:left w:val="single" w:color="000000" w:sz="4" w:space="0"/>
                    <w:right w:val="single" w:color="000000" w:sz="4" w:space="0"/>
                  </w:tcBorders>
                  <w:vAlign w:val="center"/>
                </w:tcPr>
                <w:p w14:paraId="6B749E82">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项目采用清洁能源电能，项目用水来自市政给水管网，用电由市政供电系统供给。项目满足资源开发效率要求</w:t>
                  </w:r>
                </w:p>
              </w:tc>
              <w:tc>
                <w:tcPr>
                  <w:tcW w:w="411" w:type="pct"/>
                  <w:tcBorders>
                    <w:top w:val="single" w:color="000000" w:sz="4" w:space="0"/>
                    <w:left w:val="single" w:color="000000" w:sz="4" w:space="0"/>
                    <w:right w:val="nil"/>
                  </w:tcBorders>
                  <w:vAlign w:val="center"/>
                </w:tcPr>
                <w:p w14:paraId="3D8C5F63">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符合</w:t>
                  </w:r>
                </w:p>
              </w:tc>
            </w:tr>
          </w:tbl>
          <w:p w14:paraId="344D57FD">
            <w:pPr>
              <w:keepNext w:val="0"/>
              <w:keepLines w:val="0"/>
              <w:widowControl/>
              <w:suppressLineNumbers w:val="0"/>
              <w:spacing w:before="0" w:beforeAutospacing="0" w:after="0" w:afterAutospacing="0" w:line="360" w:lineRule="auto"/>
              <w:ind w:left="0" w:right="0"/>
              <w:rPr>
                <w:rFonts w:hint="default" w:ascii="Times New Roman" w:hAnsi="Times New Roman" w:cs="Times New Roman"/>
                <w:color w:val="auto"/>
                <w:kern w:val="2"/>
              </w:rPr>
            </w:pPr>
          </w:p>
        </w:tc>
      </w:tr>
    </w:tbl>
    <w:p w14:paraId="4DEFD690">
      <w:pPr>
        <w:rPr>
          <w:rFonts w:ascii="Times New Roman" w:hAnsi="Times New Roman"/>
          <w:color w:val="auto"/>
        </w:rPr>
        <w:sectPr>
          <w:pgSz w:w="16838" w:h="11906" w:orient="landscape"/>
          <w:pgMar w:top="1531" w:right="1701" w:bottom="1531" w:left="1701" w:header="851" w:footer="992" w:gutter="0"/>
          <w:cols w:space="720" w:num="1"/>
          <w:docGrid w:type="lines" w:linePitch="326" w:charSpace="0"/>
        </w:sectPr>
      </w:pPr>
    </w:p>
    <w:p w14:paraId="24D9ECD8">
      <w:pPr>
        <w:jc w:val="center"/>
        <w:outlineLvl w:val="0"/>
        <w:rPr>
          <w:rFonts w:ascii="Times New Roman" w:hAnsi="Times New Roman" w:eastAsia="黑体" w:cs="Times New Roman"/>
          <w:snapToGrid w:val="0"/>
          <w:color w:val="auto"/>
          <w:sz w:val="32"/>
          <w:szCs w:val="32"/>
        </w:rPr>
      </w:pPr>
      <w:r>
        <w:rPr>
          <w:rFonts w:hint="eastAsia" w:ascii="Times New Roman" w:hAnsi="Times New Roman" w:eastAsia="黑体" w:cs="Times New Roman"/>
          <w:snapToGrid w:val="0"/>
          <w:color w:val="auto"/>
          <w:sz w:val="32"/>
          <w:szCs w:val="32"/>
        </w:rPr>
        <w:t>二、建设项目工程分析</w:t>
      </w:r>
    </w:p>
    <w:tbl>
      <w:tblPr>
        <w:tblStyle w:val="23"/>
        <w:tblpPr w:leftFromText="180" w:rightFromText="180" w:vertAnchor="page" w:horzAnchor="margin" w:tblpY="2567"/>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603"/>
      </w:tblGrid>
      <w:tr w14:paraId="64D2D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78" w:hRule="atLeast"/>
        </w:trPr>
        <w:tc>
          <w:tcPr>
            <w:tcW w:w="252" w:type="pct"/>
            <w:vAlign w:val="center"/>
          </w:tcPr>
          <w:p w14:paraId="577CD67E">
            <w:pPr>
              <w:keepNext w:val="0"/>
              <w:keepLines w:val="0"/>
              <w:widowControl/>
              <w:suppressLineNumbers w:val="0"/>
              <w:spacing w:before="0" w:beforeAutospacing="0" w:after="0" w:afterAutospacing="0"/>
              <w:ind w:left="0" w:right="0"/>
              <w:jc w:val="center"/>
              <w:rPr>
                <w:rFonts w:hint="default" w:ascii="Times New Roman" w:hAnsi="Times New Roman"/>
                <w:color w:val="auto"/>
                <w:kern w:val="2"/>
              </w:rPr>
            </w:pPr>
            <w:r>
              <w:rPr>
                <w:rFonts w:hint="default" w:ascii="Times New Roman" w:hAnsi="Times New Roman"/>
                <w:color w:val="auto"/>
                <w:kern w:val="2"/>
              </w:rPr>
              <w:t>建设内容</w:t>
            </w:r>
          </w:p>
        </w:tc>
        <w:tc>
          <w:tcPr>
            <w:tcW w:w="4748" w:type="pct"/>
          </w:tcPr>
          <w:p w14:paraId="5281EA64">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eastAsia" w:ascii="Times New Roman" w:hAnsi="Times New Roman"/>
                <w:color w:val="auto"/>
                <w:kern w:val="2"/>
              </w:rPr>
              <w:t>1、</w:t>
            </w:r>
            <w:r>
              <w:rPr>
                <w:rFonts w:hint="default" w:ascii="Times New Roman" w:hAnsi="Times New Roman"/>
                <w:color w:val="auto"/>
                <w:kern w:val="2"/>
              </w:rPr>
              <w:t>项目背景</w:t>
            </w:r>
          </w:p>
          <w:p w14:paraId="50BC9FC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Cs w:val="32"/>
              </w:rPr>
            </w:pPr>
            <w:r>
              <w:rPr>
                <w:rFonts w:hint="eastAsia" w:ascii="Times New Roman" w:hAnsi="Times New Roman" w:cs="Times New Roman"/>
                <w:color w:val="auto"/>
                <w:kern w:val="2"/>
                <w:szCs w:val="32"/>
              </w:rPr>
              <w:t>安徽坤泰车辆动力科技有限公司深耕汽车零部件研发制造领域，聚焦新能源汽车核心动力总成技术创新，现有厂区位于安徽省淮南市凤台经济开发区电子智能制造产业园内，年产混合动力专用变速器20万套。</w:t>
            </w:r>
          </w:p>
          <w:p w14:paraId="5F2D0CA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eastAsia" w:ascii="Times New Roman" w:hAnsi="Times New Roman" w:cs="Times New Roman"/>
                <w:color w:val="auto"/>
                <w:kern w:val="2"/>
                <w:szCs w:val="32"/>
              </w:rPr>
              <w:t>为适应市场发展，提高生产产量，安徽坤泰车辆动力科技有限公司</w:t>
            </w:r>
            <w:r>
              <w:rPr>
                <w:rFonts w:hint="default" w:ascii="Times New Roman" w:hAnsi="Times New Roman" w:cs="Times New Roman"/>
                <w:color w:val="auto"/>
                <w:kern w:val="2"/>
                <w:szCs w:val="32"/>
              </w:rPr>
              <w:t>决定投资</w:t>
            </w:r>
            <w:r>
              <w:rPr>
                <w:rFonts w:hint="eastAsia" w:ascii="Times New Roman" w:hAnsi="Times New Roman" w:cs="Times New Roman"/>
                <w:color w:val="auto"/>
                <w:kern w:val="2"/>
                <w:szCs w:val="32"/>
              </w:rPr>
              <w:t>4300</w:t>
            </w:r>
            <w:r>
              <w:rPr>
                <w:rFonts w:hint="default" w:ascii="Times New Roman" w:hAnsi="Times New Roman" w:cs="Times New Roman"/>
                <w:color w:val="auto"/>
                <w:kern w:val="2"/>
                <w:szCs w:val="32"/>
              </w:rPr>
              <w:t>万元在现有厂区</w:t>
            </w:r>
            <w:r>
              <w:rPr>
                <w:rFonts w:hint="eastAsia" w:ascii="Times New Roman" w:hAnsi="Times New Roman" w:cs="Times New Roman"/>
                <w:color w:val="auto"/>
                <w:kern w:val="2"/>
                <w:szCs w:val="32"/>
              </w:rPr>
              <w:t>北侧</w:t>
            </w:r>
            <w:r>
              <w:rPr>
                <w:rFonts w:hint="default" w:ascii="Times New Roman" w:hAnsi="Times New Roman" w:cs="Times New Roman"/>
                <w:color w:val="auto"/>
                <w:kern w:val="2"/>
                <w:szCs w:val="32"/>
              </w:rPr>
              <w:t>建设</w:t>
            </w:r>
            <w:r>
              <w:rPr>
                <w:rFonts w:hint="default" w:ascii="Times New Roman" w:hAnsi="Times New Roman" w:cs="Times New Roman"/>
                <w:color w:val="auto"/>
                <w:kern w:val="2"/>
              </w:rPr>
              <w:t>安徽坤泰车辆动力科技有限公司P1+P3构型混动变速箱升级改造项目</w:t>
            </w:r>
            <w:r>
              <w:rPr>
                <w:rFonts w:hint="default" w:ascii="Times New Roman" w:hAnsi="Times New Roman" w:cs="Times New Roman"/>
                <w:color w:val="auto"/>
                <w:kern w:val="2"/>
                <w:szCs w:val="32"/>
              </w:rPr>
              <w:t>，</w:t>
            </w:r>
            <w:r>
              <w:rPr>
                <w:rFonts w:hint="eastAsia"/>
                <w:color w:val="auto"/>
                <w:kern w:val="2"/>
                <w:lang w:eastAsia="zh-CN"/>
              </w:rPr>
              <w:t>本</w:t>
            </w:r>
            <w:r>
              <w:rPr>
                <w:rFonts w:hint="default" w:ascii="Times New Roman" w:hAnsi="Times New Roman" w:cs="Times New Roman"/>
                <w:color w:val="auto"/>
                <w:kern w:val="2"/>
                <w:szCs w:val="32"/>
              </w:rPr>
              <w:t>项目</w:t>
            </w:r>
            <w:r>
              <w:rPr>
                <w:rFonts w:hint="eastAsia" w:ascii="Times New Roman" w:hAnsi="Times New Roman" w:cs="Times New Roman"/>
                <w:color w:val="auto"/>
                <w:kern w:val="2"/>
                <w:szCs w:val="32"/>
                <w:lang w:val="en-US" w:eastAsia="zh-CN"/>
              </w:rPr>
              <w:t>租赁</w:t>
            </w:r>
            <w:r>
              <w:rPr>
                <w:rFonts w:hint="default" w:ascii="Times New Roman" w:hAnsi="Times New Roman" w:cs="Times New Roman"/>
                <w:color w:val="auto"/>
                <w:kern w:val="2"/>
                <w:szCs w:val="32"/>
              </w:rPr>
              <w:t>凤台经济开发区电子智能制造产业园29#至32#厂房，面积约</w:t>
            </w:r>
            <w:r>
              <w:rPr>
                <w:rFonts w:hint="eastAsia" w:ascii="Times New Roman" w:hAnsi="Times New Roman" w:cs="Times New Roman"/>
                <w:color w:val="auto"/>
                <w:kern w:val="2"/>
                <w:szCs w:val="32"/>
                <w:lang w:val="en-US" w:eastAsia="zh-CN"/>
              </w:rPr>
              <w:t>8271</w:t>
            </w:r>
            <w:r>
              <w:rPr>
                <w:rFonts w:hint="default" w:ascii="Times New Roman" w:hAnsi="Times New Roman" w:cs="Times New Roman"/>
                <w:color w:val="auto"/>
                <w:kern w:val="2"/>
                <w:szCs w:val="32"/>
              </w:rPr>
              <w:t>平方米，在现有P2+P3变速箱技术基础上，研发迭代P1+P3构型混动变速箱，实现变速器综合效率、运行平稳性与可靠性的提升。产品可灵活覆盖2挡、1挡及增程混动方案，且支持电机位置适配调整，满足不同客户及车型的机舱搭载需求。产线方面购置改造变速箱装配、测试等研发生产设备</w:t>
            </w:r>
            <w:r>
              <w:rPr>
                <w:rFonts w:hint="eastAsia" w:ascii="Times New Roman" w:hAnsi="Times New Roman" w:cs="Times New Roman"/>
                <w:color w:val="auto"/>
                <w:kern w:val="2"/>
                <w:szCs w:val="32"/>
                <w:lang w:eastAsia="zh-CN"/>
              </w:rPr>
              <w:t>（选垫测量设备、装配生产线、伺服压机等）</w:t>
            </w:r>
            <w:r>
              <w:rPr>
                <w:rFonts w:hint="default" w:ascii="Times New Roman" w:hAnsi="Times New Roman" w:cs="Times New Roman"/>
                <w:color w:val="auto"/>
                <w:kern w:val="2"/>
                <w:szCs w:val="32"/>
              </w:rPr>
              <w:t>、质量检测设备</w:t>
            </w:r>
            <w:r>
              <w:rPr>
                <w:rFonts w:hint="eastAsia" w:ascii="Times New Roman" w:hAnsi="Times New Roman" w:cs="Times New Roman"/>
                <w:color w:val="auto"/>
                <w:kern w:val="2"/>
                <w:szCs w:val="32"/>
                <w:lang w:eastAsia="zh-CN"/>
              </w:rPr>
              <w:t>（气密仪、称重系统、终测试台等）</w:t>
            </w:r>
            <w:r>
              <w:rPr>
                <w:rFonts w:hint="default" w:ascii="Times New Roman" w:hAnsi="Times New Roman" w:cs="Times New Roman"/>
                <w:color w:val="auto"/>
                <w:kern w:val="2"/>
                <w:szCs w:val="32"/>
              </w:rPr>
              <w:t>、物流设备</w:t>
            </w:r>
            <w:r>
              <w:rPr>
                <w:rFonts w:hint="eastAsia" w:ascii="Times New Roman" w:hAnsi="Times New Roman" w:cs="Times New Roman"/>
                <w:color w:val="auto"/>
                <w:kern w:val="2"/>
                <w:szCs w:val="32"/>
                <w:lang w:eastAsia="zh-CN"/>
              </w:rPr>
              <w:t>（动力辊道）</w:t>
            </w:r>
            <w:r>
              <w:rPr>
                <w:rFonts w:hint="default" w:ascii="Times New Roman" w:hAnsi="Times New Roman" w:cs="Times New Roman"/>
                <w:color w:val="auto"/>
                <w:kern w:val="2"/>
                <w:szCs w:val="32"/>
              </w:rPr>
              <w:t>等，构建</w:t>
            </w:r>
            <w:r>
              <w:rPr>
                <w:rFonts w:hint="eastAsia" w:ascii="宋体" w:hAnsi="宋体" w:eastAsia="宋体" w:cs="宋体"/>
                <w:color w:val="auto"/>
                <w:kern w:val="2"/>
                <w:szCs w:val="32"/>
              </w:rPr>
              <w:t>“数字化系统+智能设备+柔性产线”</w:t>
            </w:r>
            <w:r>
              <w:rPr>
                <w:rFonts w:hint="default" w:ascii="Times New Roman" w:hAnsi="Times New Roman" w:cs="Times New Roman"/>
                <w:color w:val="auto"/>
                <w:kern w:val="2"/>
                <w:szCs w:val="32"/>
              </w:rPr>
              <w:t>一体化体系，在产线中集成MES、MOM等数字化系统，搭建智能化、自动化、信息化深度融合的数字管理平台</w:t>
            </w:r>
            <w:r>
              <w:rPr>
                <w:rFonts w:hint="eastAsia" w:ascii="Times New Roman" w:hAnsi="Times New Roman" w:cs="Times New Roman"/>
                <w:color w:val="auto"/>
                <w:kern w:val="2"/>
                <w:szCs w:val="32"/>
              </w:rPr>
              <w:t>，</w:t>
            </w:r>
            <w:r>
              <w:rPr>
                <w:rFonts w:hint="default" w:ascii="Times New Roman" w:hAnsi="Times New Roman" w:cs="Times New Roman"/>
                <w:color w:val="auto"/>
                <w:kern w:val="2"/>
                <w:szCs w:val="32"/>
              </w:rPr>
              <w:t>升级适配P1+P3构型混合动力变速箱生产，形成柔性化、数字化的智能设备产线</w:t>
            </w:r>
            <w:r>
              <w:rPr>
                <w:rFonts w:hint="eastAsia" w:ascii="Times New Roman" w:hAnsi="Times New Roman" w:cs="Times New Roman"/>
                <w:color w:val="auto"/>
                <w:kern w:val="2"/>
                <w:szCs w:val="32"/>
              </w:rPr>
              <w:t>，新增产能5万台P1+P3构型混动变速箱。</w:t>
            </w:r>
            <w:r>
              <w:rPr>
                <w:rFonts w:hint="default" w:ascii="Times New Roman" w:hAnsi="Times New Roman" w:cs="Times New Roman"/>
                <w:color w:val="auto"/>
                <w:kern w:val="2"/>
                <w:szCs w:val="32"/>
              </w:rPr>
              <w:t>项目于202</w:t>
            </w:r>
            <w:r>
              <w:rPr>
                <w:rFonts w:hint="eastAsia" w:ascii="Times New Roman" w:hAnsi="Times New Roman" w:cs="Times New Roman"/>
                <w:color w:val="auto"/>
                <w:kern w:val="2"/>
                <w:szCs w:val="32"/>
              </w:rPr>
              <w:t>5</w:t>
            </w:r>
            <w:r>
              <w:rPr>
                <w:rFonts w:hint="default" w:ascii="Times New Roman" w:hAnsi="Times New Roman" w:cs="Times New Roman"/>
                <w:color w:val="auto"/>
                <w:kern w:val="2"/>
                <w:szCs w:val="32"/>
              </w:rPr>
              <w:t>年</w:t>
            </w:r>
            <w:r>
              <w:rPr>
                <w:rFonts w:hint="eastAsia" w:ascii="Times New Roman" w:hAnsi="Times New Roman" w:cs="Times New Roman"/>
                <w:color w:val="auto"/>
                <w:kern w:val="2"/>
                <w:szCs w:val="32"/>
              </w:rPr>
              <w:t>10</w:t>
            </w:r>
            <w:r>
              <w:rPr>
                <w:rFonts w:hint="default" w:ascii="Times New Roman" w:hAnsi="Times New Roman" w:cs="Times New Roman"/>
                <w:color w:val="auto"/>
                <w:kern w:val="2"/>
                <w:szCs w:val="32"/>
              </w:rPr>
              <w:t>月</w:t>
            </w:r>
            <w:r>
              <w:rPr>
                <w:rFonts w:hint="eastAsia" w:ascii="Times New Roman" w:hAnsi="Times New Roman" w:cs="Times New Roman"/>
                <w:color w:val="auto"/>
                <w:kern w:val="2"/>
                <w:szCs w:val="32"/>
              </w:rPr>
              <w:t>15</w:t>
            </w:r>
            <w:r>
              <w:rPr>
                <w:rFonts w:hint="default" w:ascii="Times New Roman" w:hAnsi="Times New Roman" w:cs="Times New Roman"/>
                <w:color w:val="auto"/>
                <w:kern w:val="2"/>
                <w:szCs w:val="32"/>
              </w:rPr>
              <w:t>日首次取得凤台县经济和信息化局</w:t>
            </w:r>
            <w:r>
              <w:rPr>
                <w:rFonts w:hint="eastAsia" w:ascii="Times New Roman" w:hAnsi="Times New Roman" w:eastAsia="宋体" w:cs="Times New Roman"/>
                <w:color w:val="auto"/>
                <w:kern w:val="2"/>
                <w:szCs w:val="32"/>
                <w:lang w:eastAsia="zh-CN"/>
              </w:rPr>
              <w:t>（</w:t>
            </w:r>
            <w:r>
              <w:rPr>
                <w:rFonts w:hint="default" w:ascii="Times New Roman" w:hAnsi="Times New Roman" w:cs="Times New Roman"/>
                <w:color w:val="auto"/>
                <w:kern w:val="2"/>
                <w:szCs w:val="32"/>
              </w:rPr>
              <w:t>凤台县商务投资促进局</w:t>
            </w:r>
            <w:r>
              <w:rPr>
                <w:rFonts w:hint="eastAsia" w:ascii="Times New Roman" w:hAnsi="Times New Roman" w:eastAsia="宋体" w:cs="Times New Roman"/>
                <w:color w:val="auto"/>
                <w:kern w:val="2"/>
                <w:szCs w:val="32"/>
                <w:lang w:eastAsia="zh-CN"/>
              </w:rPr>
              <w:t>）</w:t>
            </w:r>
            <w:r>
              <w:rPr>
                <w:rFonts w:hint="eastAsia" w:ascii="Times New Roman" w:hAnsi="Times New Roman" w:cs="Times New Roman"/>
                <w:color w:val="auto"/>
                <w:kern w:val="2"/>
                <w:szCs w:val="32"/>
              </w:rPr>
              <w:t>备案</w:t>
            </w:r>
            <w:r>
              <w:rPr>
                <w:rFonts w:hint="default" w:ascii="Times New Roman" w:hAnsi="Times New Roman" w:cs="Times New Roman"/>
                <w:color w:val="auto"/>
                <w:kern w:val="2"/>
                <w:szCs w:val="32"/>
              </w:rPr>
              <w:t>，</w:t>
            </w:r>
            <w:r>
              <w:rPr>
                <w:rFonts w:hint="default" w:ascii="Times New Roman" w:hAnsi="Times New Roman" w:cs="Times New Roman"/>
                <w:color w:val="auto"/>
                <w:kern w:val="2"/>
              </w:rPr>
              <w:t>项目代码：2510-340421-07-02-656800。</w:t>
            </w:r>
          </w:p>
          <w:p w14:paraId="1C50EE5D">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cs="Times New Roman"/>
                <w:color w:val="auto"/>
                <w:kern w:val="2"/>
              </w:rPr>
            </w:pPr>
            <w:r>
              <w:rPr>
                <w:rFonts w:hint="eastAsia" w:ascii="Times New Roman" w:hAnsi="Times New Roman" w:cs="Times New Roman"/>
                <w:b/>
                <w:color w:val="auto"/>
                <w:kern w:val="2"/>
              </w:rPr>
              <w:t>产业升级内容：</w:t>
            </w:r>
            <w:r>
              <w:rPr>
                <w:rFonts w:hint="eastAsia" w:ascii="Times New Roman" w:hAnsi="Times New Roman" w:cs="Times New Roman"/>
                <w:color w:val="auto"/>
                <w:kern w:val="2"/>
              </w:rPr>
              <w:t>本次扩建工程，在现有P2+P3变速箱技术基础上，研发迭代P1+P3构型混动变速箱</w:t>
            </w:r>
            <w:r>
              <w:rPr>
                <w:rFonts w:hint="eastAsia" w:ascii="Times New Roman" w:hAnsi="Times New Roman" w:cs="Times New Roman"/>
                <w:color w:val="auto"/>
                <w:kern w:val="2"/>
                <w:szCs w:val="32"/>
              </w:rPr>
              <w:t>，新增产能5万台P1+P3构型混动变速箱。</w:t>
            </w:r>
          </w:p>
          <w:p w14:paraId="52B42277">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eastAsia" w:ascii="Times New Roman" w:hAnsi="Times New Roman" w:cs="Times New Roman"/>
                <w:color w:val="auto"/>
                <w:kern w:val="2"/>
              </w:rPr>
              <w:t>2</w:t>
            </w:r>
            <w:r>
              <w:rPr>
                <w:rFonts w:hint="default" w:ascii="Times New Roman" w:hAnsi="Times New Roman" w:cs="Times New Roman"/>
                <w:color w:val="auto"/>
                <w:kern w:val="2"/>
              </w:rPr>
              <w:t>、建设规模及内容</w:t>
            </w:r>
          </w:p>
          <w:p w14:paraId="0D7123B1">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default" w:ascii="Times New Roman" w:hAnsi="Times New Roman" w:cs="Times New Roman"/>
                <w:color w:val="auto"/>
                <w:kern w:val="2"/>
              </w:rPr>
              <w:t>项目名称</w:t>
            </w:r>
            <w:r>
              <w:rPr>
                <w:rFonts w:hint="eastAsia" w:ascii="Times New Roman" w:hAnsi="Times New Roman" w:cs="Times New Roman"/>
                <w:color w:val="auto"/>
                <w:kern w:val="2"/>
              </w:rPr>
              <w:t>：</w:t>
            </w:r>
            <w:r>
              <w:rPr>
                <w:rFonts w:hint="default" w:ascii="Times New Roman" w:hAnsi="Times New Roman" w:cs="Times New Roman"/>
                <w:color w:val="auto"/>
                <w:kern w:val="2"/>
              </w:rPr>
              <w:t>安徽坤泰车辆动力科技有限公司P1+P3构型混动变速箱升级改造项目</w:t>
            </w:r>
          </w:p>
          <w:p w14:paraId="4ABC50CC">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default" w:ascii="Times New Roman" w:hAnsi="Times New Roman" w:cs="Times New Roman"/>
                <w:bCs/>
                <w:color w:val="auto"/>
                <w:kern w:val="2"/>
              </w:rPr>
              <w:t>建设单位：</w:t>
            </w:r>
            <w:r>
              <w:rPr>
                <w:rFonts w:hint="eastAsia" w:ascii="Times New Roman" w:hAnsi="Times New Roman" w:cs="Times New Roman"/>
                <w:color w:val="auto"/>
                <w:kern w:val="2"/>
                <w:szCs w:val="32"/>
              </w:rPr>
              <w:t>安徽坤泰车辆动力科技有限公司</w:t>
            </w:r>
          </w:p>
          <w:p w14:paraId="409740DB">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kern w:val="2"/>
              </w:rPr>
            </w:pPr>
            <w:r>
              <w:rPr>
                <w:rFonts w:hint="eastAsia" w:ascii="Times New Roman" w:hAnsi="Times New Roman" w:cs="Times New Roman"/>
                <w:bCs/>
                <w:color w:val="auto"/>
                <w:kern w:val="2"/>
              </w:rPr>
              <w:t>项目性质：扩建</w:t>
            </w:r>
          </w:p>
          <w:p w14:paraId="561D501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投资总额：</w:t>
            </w:r>
            <w:r>
              <w:rPr>
                <w:rFonts w:hint="eastAsia" w:ascii="Times New Roman" w:hAnsi="Times New Roman" w:cs="Times New Roman"/>
                <w:bCs/>
                <w:color w:val="auto"/>
                <w:kern w:val="2"/>
              </w:rPr>
              <w:t>4300</w:t>
            </w:r>
            <w:r>
              <w:rPr>
                <w:rFonts w:hint="default" w:ascii="Times New Roman" w:hAnsi="Times New Roman" w:cs="Times New Roman"/>
                <w:bCs/>
                <w:color w:val="auto"/>
                <w:kern w:val="2"/>
              </w:rPr>
              <w:t>万元</w:t>
            </w:r>
          </w:p>
          <w:p w14:paraId="31D6C74C">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s="Times New Roman"/>
                <w:bCs/>
                <w:color w:val="auto"/>
                <w:kern w:val="2"/>
              </w:rPr>
              <w:t>建设地点：</w:t>
            </w:r>
            <w:r>
              <w:rPr>
                <w:rFonts w:hint="eastAsia" w:ascii="Times New Roman" w:hAnsi="Times New Roman" w:cs="Times New Roman"/>
                <w:color w:val="auto"/>
                <w:kern w:val="2"/>
                <w:szCs w:val="32"/>
              </w:rPr>
              <w:t>安徽省淮南市凤台经济开发区电子智能制造产业园内</w:t>
            </w:r>
            <w:r>
              <w:rPr>
                <w:rFonts w:hint="default" w:ascii="Times New Roman" w:hAnsi="Times New Roman"/>
                <w:color w:val="auto"/>
                <w:kern w:val="2"/>
              </w:rPr>
              <w:t>，项目区域地块中心地理坐标为</w:t>
            </w:r>
            <w:r>
              <w:rPr>
                <w:rFonts w:hint="eastAsia" w:ascii="Times New Roman" w:hAnsi="Times New Roman"/>
                <w:color w:val="auto"/>
                <w:kern w:val="2"/>
              </w:rPr>
              <w:t>：</w:t>
            </w:r>
            <w:r>
              <w:rPr>
                <w:rFonts w:hint="default" w:ascii="Times New Roman" w:hAnsi="Times New Roman"/>
                <w:color w:val="auto"/>
                <w:kern w:val="2"/>
              </w:rPr>
              <w:t>E：</w:t>
            </w:r>
            <w:r>
              <w:rPr>
                <w:rFonts w:hint="default" w:ascii="Times New Roman" w:hAnsi="Times New Roman" w:cs="Times New Roman"/>
                <w:color w:val="auto"/>
                <w:kern w:val="2"/>
                <w:szCs w:val="28"/>
              </w:rPr>
              <w:t>116°39′50.073″</w:t>
            </w:r>
            <w:r>
              <w:rPr>
                <w:rFonts w:hint="default" w:ascii="Times New Roman" w:hAnsi="Times New Roman"/>
                <w:color w:val="auto"/>
                <w:kern w:val="2"/>
              </w:rPr>
              <w:t>，N：</w:t>
            </w:r>
            <w:r>
              <w:rPr>
                <w:rFonts w:hint="default" w:ascii="Times New Roman" w:hAnsi="Times New Roman" w:cs="Times New Roman"/>
                <w:color w:val="auto"/>
                <w:kern w:val="2"/>
                <w:szCs w:val="28"/>
              </w:rPr>
              <w:t>32°45′8.687″</w:t>
            </w:r>
            <w:r>
              <w:rPr>
                <w:rFonts w:hint="eastAsia" w:ascii="Times New Roman" w:hAnsi="Times New Roman"/>
                <w:color w:val="auto"/>
                <w:kern w:val="2"/>
              </w:rPr>
              <w:t>。</w:t>
            </w:r>
          </w:p>
          <w:p w14:paraId="6C25C119">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Cs w:val="22"/>
              </w:rPr>
            </w:pPr>
            <w:r>
              <w:rPr>
                <w:rFonts w:hint="default" w:ascii="Times New Roman" w:cs="Times New Roman"/>
                <w:color w:val="auto"/>
                <w:kern w:val="2"/>
                <w:szCs w:val="21"/>
              </w:rPr>
              <w:t>项目环境影响评价管理类别</w:t>
            </w:r>
            <w:r>
              <w:rPr>
                <w:rFonts w:hint="eastAsia" w:ascii="Times New Roman" w:cs="Times New Roman"/>
                <w:color w:val="auto"/>
                <w:kern w:val="2"/>
                <w:szCs w:val="21"/>
              </w:rPr>
              <w:t>判定：</w:t>
            </w:r>
            <w:r>
              <w:rPr>
                <w:rFonts w:hint="default" w:ascii="Times New Roman" w:cs="Times New Roman"/>
                <w:color w:val="auto"/>
                <w:kern w:val="2"/>
                <w:szCs w:val="21"/>
              </w:rPr>
              <w:t>根据备案文件中的</w:t>
            </w:r>
            <w:r>
              <w:rPr>
                <w:rFonts w:hint="default" w:ascii="Times New Roman" w:hAnsi="Times New Roman" w:cs="Times New Roman"/>
                <w:color w:val="auto"/>
                <w:kern w:val="2"/>
                <w:szCs w:val="21"/>
              </w:rPr>
              <w:t>“</w:t>
            </w:r>
            <w:r>
              <w:rPr>
                <w:rFonts w:hint="default" w:ascii="Times New Roman" w:cs="Times New Roman"/>
                <w:color w:val="auto"/>
                <w:kern w:val="2"/>
                <w:szCs w:val="21"/>
              </w:rPr>
              <w:t>年新增生产能力</w:t>
            </w:r>
            <w:r>
              <w:rPr>
                <w:rFonts w:hint="default" w:ascii="Times New Roman" w:hAnsi="Times New Roman" w:cs="Times New Roman"/>
                <w:color w:val="auto"/>
                <w:kern w:val="2"/>
                <w:szCs w:val="21"/>
              </w:rPr>
              <w:t>”</w:t>
            </w:r>
            <w:r>
              <w:rPr>
                <w:rFonts w:hint="default" w:ascii="Times New Roman" w:cs="Times New Roman"/>
                <w:color w:val="auto"/>
                <w:kern w:val="2"/>
                <w:szCs w:val="21"/>
              </w:rPr>
              <w:t>：</w:t>
            </w:r>
            <w:r>
              <w:rPr>
                <w:rFonts w:hint="eastAsia" w:ascii="Times New Roman" w:hAnsi="Times New Roman" w:cs="Times New Roman"/>
                <w:color w:val="auto"/>
                <w:kern w:val="2"/>
                <w:szCs w:val="32"/>
              </w:rPr>
              <w:t>新增5万台P1+P3构型混动变速箱</w:t>
            </w:r>
            <w:r>
              <w:rPr>
                <w:rFonts w:hint="default" w:ascii="Times New Roman" w:cs="Times New Roman"/>
                <w:color w:val="auto"/>
                <w:kern w:val="2"/>
                <w:szCs w:val="21"/>
              </w:rPr>
              <w:t>，可知项目生产的产品主要为：</w:t>
            </w:r>
            <w:r>
              <w:rPr>
                <w:rFonts w:hint="eastAsia" w:ascii="Times New Roman" w:hAnsi="Times New Roman" w:cs="Times New Roman"/>
                <w:color w:val="auto"/>
                <w:kern w:val="2"/>
                <w:szCs w:val="32"/>
              </w:rPr>
              <w:t>P1+P3构型混动变速箱</w:t>
            </w:r>
            <w:r>
              <w:rPr>
                <w:rFonts w:hint="eastAsia" w:ascii="Times New Roman" w:cs="Times New Roman"/>
                <w:color w:val="auto"/>
                <w:kern w:val="2"/>
                <w:szCs w:val="21"/>
              </w:rPr>
              <w:t>，</w:t>
            </w:r>
            <w:r>
              <w:rPr>
                <w:rFonts w:hint="default" w:ascii="Times New Roman" w:cs="Times New Roman"/>
                <w:color w:val="auto"/>
                <w:kern w:val="2"/>
                <w:szCs w:val="21"/>
              </w:rPr>
              <w:t>其属于《</w:t>
            </w:r>
            <w:bookmarkStart w:id="5" w:name="OLE_LINK1"/>
            <w:r>
              <w:rPr>
                <w:rFonts w:hint="default" w:ascii="Times New Roman" w:cs="Times New Roman"/>
                <w:color w:val="auto"/>
                <w:kern w:val="2"/>
                <w:szCs w:val="21"/>
              </w:rPr>
              <w:t>国民经济行业分类</w:t>
            </w:r>
            <w:bookmarkEnd w:id="5"/>
            <w:r>
              <w:rPr>
                <w:rFonts w:hint="default" w:ascii="Times New Roman" w:cs="Times New Roman"/>
                <w:color w:val="auto"/>
                <w:kern w:val="2"/>
                <w:szCs w:val="21"/>
              </w:rPr>
              <w:t>》（</w:t>
            </w:r>
            <w:r>
              <w:rPr>
                <w:rFonts w:hint="default" w:ascii="Times New Roman" w:hAnsi="Times New Roman" w:cs="Times New Roman"/>
                <w:color w:val="auto"/>
                <w:kern w:val="2"/>
                <w:szCs w:val="21"/>
              </w:rPr>
              <w:t>2017</w:t>
            </w:r>
            <w:r>
              <w:rPr>
                <w:rFonts w:hint="default" w:ascii="Times New Roman" w:cs="Times New Roman"/>
                <w:color w:val="auto"/>
                <w:kern w:val="2"/>
                <w:szCs w:val="21"/>
              </w:rPr>
              <w:t>年版）的</w:t>
            </w:r>
            <w:r>
              <w:rPr>
                <w:rFonts w:hint="eastAsia" w:ascii="Times New Roman" w:hAnsi="Times New Roman" w:cs="Times New Roman"/>
                <w:color w:val="auto"/>
                <w:kern w:val="2"/>
                <w:szCs w:val="22"/>
              </w:rPr>
              <w:t>C3670汽车零部件及配件制造</w:t>
            </w:r>
            <w:r>
              <w:rPr>
                <w:rFonts w:hint="default" w:ascii="Times New Roman" w:cs="Times New Roman"/>
                <w:color w:val="auto"/>
                <w:kern w:val="2"/>
                <w:szCs w:val="21"/>
              </w:rPr>
              <w:t>。</w:t>
            </w:r>
            <w:r>
              <w:rPr>
                <w:rFonts w:hint="default" w:ascii="Times New Roman" w:hAnsi="Times New Roman" w:cs="Times New Roman"/>
                <w:color w:val="auto"/>
                <w:kern w:val="2"/>
                <w:szCs w:val="22"/>
              </w:rPr>
              <w:t>根据《中华人民共和国环境保护法》（主席令2014年第9号）、《中华人民共和国环境影响评价法》（2018年12月29日修订）、《建设项目环境保护管理条例》（20</w:t>
            </w:r>
            <w:r>
              <w:rPr>
                <w:rFonts w:hint="default" w:ascii="Times New Roman" w:hAnsi="Times New Roman" w:cs="Times New Roman"/>
                <w:color w:val="auto"/>
                <w:kern w:val="2"/>
              </w:rPr>
              <w:t>17年10月</w:t>
            </w:r>
            <w:r>
              <w:rPr>
                <w:rFonts w:hint="default" w:ascii="Times New Roman" w:hAnsi="Times New Roman" w:cs="Times New Roman"/>
                <w:color w:val="auto"/>
                <w:kern w:val="2"/>
                <w:szCs w:val="22"/>
              </w:rPr>
              <w:t>1日施行）及《建设项目环境影响评价分类管理名录》（2021年版）中要求，本项目属于“三十三、汽车制造业36、71汽车零部件及配件制造367</w:t>
            </w:r>
            <w:r>
              <w:rPr>
                <w:rFonts w:hint="eastAsia"/>
                <w:color w:val="auto"/>
                <w:kern w:val="2"/>
                <w:szCs w:val="22"/>
              </w:rPr>
              <w:t>”</w:t>
            </w:r>
            <w:r>
              <w:rPr>
                <w:rFonts w:hint="default" w:ascii="Times New Roman" w:hAnsi="Times New Roman" w:cs="Times New Roman"/>
                <w:color w:val="auto"/>
                <w:kern w:val="2"/>
                <w:szCs w:val="22"/>
              </w:rPr>
              <w:t>中的</w:t>
            </w:r>
            <w:r>
              <w:rPr>
                <w:rFonts w:hint="eastAsia"/>
                <w:color w:val="auto"/>
                <w:kern w:val="2"/>
                <w:szCs w:val="22"/>
              </w:rPr>
              <w:t>“</w:t>
            </w:r>
            <w:r>
              <w:rPr>
                <w:rFonts w:hint="default" w:ascii="Times New Roman" w:hAnsi="Times New Roman" w:cs="Times New Roman"/>
                <w:color w:val="auto"/>
                <w:kern w:val="2"/>
                <w:szCs w:val="22"/>
              </w:rPr>
              <w:t>其他（年用非溶剂型低VOCs含量涂料10吨以下的除外）</w:t>
            </w:r>
            <w:r>
              <w:rPr>
                <w:rFonts w:hint="default" w:ascii="Times New Roman" w:cs="Times New Roman"/>
                <w:color w:val="auto"/>
                <w:spacing w:val="3"/>
                <w:kern w:val="2"/>
              </w:rPr>
              <w:t>”</w:t>
            </w:r>
            <w:r>
              <w:rPr>
                <w:rFonts w:hint="default" w:ascii="Times New Roman" w:hAnsi="Times New Roman" w:cs="Times New Roman"/>
                <w:color w:val="auto"/>
                <w:kern w:val="2"/>
                <w:szCs w:val="22"/>
              </w:rPr>
              <w:t>，需要编制环境影响报告表，详细见下表。</w:t>
            </w:r>
          </w:p>
          <w:p w14:paraId="14E9A9EE">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黑体" w:cs="Times New Roman"/>
                <w:color w:val="auto"/>
                <w:kern w:val="2"/>
              </w:rPr>
            </w:pPr>
            <w:r>
              <w:rPr>
                <w:rFonts w:hint="default" w:ascii="Times New Roman" w:hAnsi="Times New Roman" w:eastAsia="黑体" w:cs="Times New Roman"/>
                <w:color w:val="auto"/>
                <w:kern w:val="2"/>
              </w:rPr>
              <w:t>表</w:t>
            </w:r>
            <w:r>
              <w:rPr>
                <w:rFonts w:hint="eastAsia" w:ascii="Times New Roman" w:hAnsi="Times New Roman" w:eastAsia="黑体" w:cs="Times New Roman"/>
                <w:color w:val="auto"/>
                <w:kern w:val="2"/>
              </w:rPr>
              <w:t xml:space="preserve">2-1  </w:t>
            </w:r>
            <w:r>
              <w:rPr>
                <w:rFonts w:hint="default" w:ascii="Times New Roman" w:hAnsi="Times New Roman" w:eastAsia="黑体" w:cs="Times New Roman"/>
                <w:color w:val="auto"/>
                <w:kern w:val="2"/>
              </w:rPr>
              <w:t>环境影响评价报告类别</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50"/>
              <w:gridCol w:w="2013"/>
              <w:gridCol w:w="3786"/>
              <w:gridCol w:w="438"/>
            </w:tblGrid>
            <w:tr w14:paraId="58B0FB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2" w:type="pct"/>
                  <w:tcBorders>
                    <w:top w:val="single" w:color="auto" w:sz="12" w:space="0"/>
                    <w:left w:val="nil"/>
                    <w:bottom w:val="single" w:color="auto" w:sz="4" w:space="0"/>
                    <w:right w:val="single" w:color="auto" w:sz="4" w:space="0"/>
                    <w:tl2br w:val="single" w:color="auto" w:sz="6" w:space="0"/>
                  </w:tcBorders>
                  <w:shd w:val="clear" w:color="auto" w:fill="auto"/>
                  <w:vAlign w:val="center"/>
                </w:tcPr>
                <w:p w14:paraId="53CFA32A">
                  <w:pPr>
                    <w:keepNext w:val="0"/>
                    <w:keepLines w:val="0"/>
                    <w:widowControl w:val="0"/>
                    <w:suppressLineNumbers w:val="0"/>
                    <w:spacing w:before="0" w:beforeAutospacing="0" w:after="0" w:afterAutospacing="0" w:line="276" w:lineRule="auto"/>
                    <w:ind w:left="0" w:right="0"/>
                    <w:jc w:val="right"/>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环评类别</w:t>
                  </w:r>
                </w:p>
                <w:p w14:paraId="06627065">
                  <w:pPr>
                    <w:keepNext w:val="0"/>
                    <w:keepLines w:val="0"/>
                    <w:widowControl w:val="0"/>
                    <w:suppressLineNumbers w:val="0"/>
                    <w:spacing w:before="0" w:beforeAutospacing="0" w:after="0" w:afterAutospacing="0" w:line="276" w:lineRule="auto"/>
                    <w:ind w:left="0" w:right="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项目类别</w:t>
                  </w:r>
                </w:p>
              </w:tc>
              <w:tc>
                <w:tcPr>
                  <w:tcW w:w="1200" w:type="pct"/>
                  <w:tcBorders>
                    <w:top w:val="single" w:color="auto" w:sz="12" w:space="0"/>
                    <w:left w:val="single" w:color="auto" w:sz="4" w:space="0"/>
                    <w:bottom w:val="single" w:color="auto" w:sz="4" w:space="0"/>
                    <w:right w:val="single" w:color="auto" w:sz="4" w:space="0"/>
                  </w:tcBorders>
                  <w:shd w:val="clear" w:color="auto" w:fill="auto"/>
                  <w:vAlign w:val="center"/>
                </w:tcPr>
                <w:p w14:paraId="2D7FE9F8">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报告书</w:t>
                  </w:r>
                </w:p>
              </w:tc>
              <w:tc>
                <w:tcPr>
                  <w:tcW w:w="2257" w:type="pct"/>
                  <w:tcBorders>
                    <w:top w:val="single" w:color="auto" w:sz="12" w:space="0"/>
                    <w:left w:val="single" w:color="auto" w:sz="4" w:space="0"/>
                    <w:bottom w:val="single" w:color="auto" w:sz="4" w:space="0"/>
                    <w:right w:val="single" w:color="auto" w:sz="4" w:space="0"/>
                  </w:tcBorders>
                  <w:shd w:val="clear" w:color="auto" w:fill="D8D8D8"/>
                  <w:vAlign w:val="center"/>
                </w:tcPr>
                <w:p w14:paraId="20A6B603">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报告表</w:t>
                  </w:r>
                </w:p>
              </w:tc>
              <w:tc>
                <w:tcPr>
                  <w:tcW w:w="259" w:type="pct"/>
                  <w:tcBorders>
                    <w:top w:val="single" w:color="auto" w:sz="12" w:space="0"/>
                    <w:left w:val="single" w:color="auto" w:sz="4" w:space="0"/>
                    <w:bottom w:val="single" w:color="auto" w:sz="4" w:space="0"/>
                    <w:right w:val="nil"/>
                  </w:tcBorders>
                  <w:vAlign w:val="center"/>
                </w:tcPr>
                <w:p w14:paraId="62ADED3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登记表</w:t>
                  </w:r>
                </w:p>
              </w:tc>
            </w:tr>
            <w:tr w14:paraId="5C30A6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4"/>
                  <w:tcBorders>
                    <w:top w:val="single" w:color="auto" w:sz="4" w:space="0"/>
                    <w:left w:val="nil"/>
                    <w:bottom w:val="single" w:color="auto" w:sz="4" w:space="0"/>
                    <w:right w:val="nil"/>
                  </w:tcBorders>
                  <w:vAlign w:val="center"/>
                </w:tcPr>
                <w:p w14:paraId="3F93DD1A">
                  <w:pPr>
                    <w:keepNext w:val="0"/>
                    <w:keepLines w:val="0"/>
                    <w:widowControl w:val="0"/>
                    <w:suppressLineNumbers w:val="0"/>
                    <w:spacing w:before="0" w:beforeAutospacing="0" w:after="0" w:afterAutospacing="0" w:line="276" w:lineRule="auto"/>
                    <w:ind w:left="0" w:right="0"/>
                    <w:jc w:val="both"/>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三十三、汽车制造业36</w:t>
                  </w:r>
                </w:p>
              </w:tc>
            </w:tr>
            <w:tr w14:paraId="46D492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282" w:type="pct"/>
                  <w:tcBorders>
                    <w:top w:val="single" w:color="auto" w:sz="4" w:space="0"/>
                    <w:left w:val="nil"/>
                    <w:right w:val="single" w:color="auto" w:sz="4" w:space="0"/>
                  </w:tcBorders>
                  <w:shd w:val="clear" w:color="auto" w:fill="auto"/>
                  <w:vAlign w:val="center"/>
                </w:tcPr>
                <w:p w14:paraId="3865842E">
                  <w:pPr>
                    <w:pStyle w:val="20"/>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71汽车整车制造</w:t>
                  </w:r>
                  <w:r>
                    <w:rPr>
                      <w:rFonts w:hint="default" w:ascii="Times New Roman" w:hAnsi="Times New Roman"/>
                      <w:color w:val="auto"/>
                      <w:kern w:val="2"/>
                      <w:sz w:val="21"/>
                      <w:szCs w:val="21"/>
                    </w:rPr>
                    <w:t>361</w:t>
                  </w:r>
                  <w:r>
                    <w:rPr>
                      <w:rFonts w:hint="eastAsia" w:ascii="Times New Roman" w:hAnsi="Times New Roman"/>
                      <w:color w:val="auto"/>
                      <w:kern w:val="2"/>
                      <w:sz w:val="21"/>
                      <w:szCs w:val="21"/>
                    </w:rPr>
                    <w:t>；汽车用发动机制造</w:t>
                  </w:r>
                  <w:r>
                    <w:rPr>
                      <w:rFonts w:hint="default" w:ascii="Times New Roman" w:hAnsi="Times New Roman"/>
                      <w:color w:val="auto"/>
                      <w:kern w:val="2"/>
                      <w:sz w:val="21"/>
                      <w:szCs w:val="21"/>
                    </w:rPr>
                    <w:t>362</w:t>
                  </w:r>
                  <w:r>
                    <w:rPr>
                      <w:rFonts w:hint="eastAsia" w:ascii="Times New Roman" w:hAnsi="Times New Roman"/>
                      <w:color w:val="auto"/>
                      <w:kern w:val="2"/>
                      <w:sz w:val="21"/>
                      <w:szCs w:val="21"/>
                    </w:rPr>
                    <w:t>；改装汽车制造</w:t>
                  </w:r>
                  <w:r>
                    <w:rPr>
                      <w:rFonts w:hint="default" w:ascii="Times New Roman" w:hAnsi="Times New Roman"/>
                      <w:color w:val="auto"/>
                      <w:kern w:val="2"/>
                      <w:sz w:val="21"/>
                      <w:szCs w:val="21"/>
                    </w:rPr>
                    <w:t>363</w:t>
                  </w:r>
                  <w:r>
                    <w:rPr>
                      <w:rFonts w:hint="eastAsia" w:ascii="Times New Roman" w:hAnsi="Times New Roman"/>
                      <w:color w:val="auto"/>
                      <w:kern w:val="2"/>
                      <w:sz w:val="21"/>
                      <w:szCs w:val="21"/>
                    </w:rPr>
                    <w:t>；低速汽车制造</w:t>
                  </w:r>
                  <w:r>
                    <w:rPr>
                      <w:rFonts w:hint="default" w:ascii="Times New Roman" w:hAnsi="Times New Roman"/>
                      <w:color w:val="auto"/>
                      <w:kern w:val="2"/>
                      <w:sz w:val="21"/>
                      <w:szCs w:val="21"/>
                    </w:rPr>
                    <w:t>364</w:t>
                  </w:r>
                  <w:r>
                    <w:rPr>
                      <w:rFonts w:hint="eastAsia" w:ascii="Times New Roman" w:hAnsi="Times New Roman"/>
                      <w:color w:val="auto"/>
                      <w:kern w:val="2"/>
                      <w:sz w:val="21"/>
                      <w:szCs w:val="21"/>
                    </w:rPr>
                    <w:t>；电车制造</w:t>
                  </w:r>
                  <w:r>
                    <w:rPr>
                      <w:rFonts w:hint="default" w:ascii="Times New Roman" w:hAnsi="Times New Roman"/>
                      <w:color w:val="auto"/>
                      <w:kern w:val="2"/>
                      <w:sz w:val="21"/>
                      <w:szCs w:val="21"/>
                    </w:rPr>
                    <w:t>365</w:t>
                  </w:r>
                  <w:r>
                    <w:rPr>
                      <w:rFonts w:hint="eastAsia" w:ascii="Times New Roman" w:hAnsi="Times New Roman"/>
                      <w:color w:val="auto"/>
                      <w:kern w:val="2"/>
                      <w:sz w:val="21"/>
                      <w:szCs w:val="21"/>
                    </w:rPr>
                    <w:t>；汽车车身、挂车制造</w:t>
                  </w:r>
                  <w:r>
                    <w:rPr>
                      <w:rFonts w:hint="default" w:ascii="Times New Roman" w:hAnsi="Times New Roman"/>
                      <w:color w:val="auto"/>
                      <w:kern w:val="2"/>
                      <w:sz w:val="21"/>
                      <w:szCs w:val="21"/>
                    </w:rPr>
                    <w:t>366</w:t>
                  </w:r>
                  <w:r>
                    <w:rPr>
                      <w:rFonts w:hint="eastAsia" w:ascii="Times New Roman" w:hAnsi="Times New Roman"/>
                      <w:color w:val="auto"/>
                      <w:kern w:val="2"/>
                      <w:sz w:val="21"/>
                      <w:szCs w:val="21"/>
                    </w:rPr>
                    <w:t>；汽车零部件及配件制造</w:t>
                  </w:r>
                  <w:r>
                    <w:rPr>
                      <w:rFonts w:hint="default" w:ascii="Times New Roman" w:hAnsi="Times New Roman"/>
                      <w:color w:val="auto"/>
                      <w:kern w:val="2"/>
                      <w:sz w:val="21"/>
                      <w:szCs w:val="21"/>
                    </w:rPr>
                    <w:t>367</w:t>
                  </w:r>
                </w:p>
              </w:tc>
              <w:tc>
                <w:tcPr>
                  <w:tcW w:w="1200" w:type="pct"/>
                  <w:tcBorders>
                    <w:top w:val="single" w:color="auto" w:sz="4" w:space="0"/>
                    <w:left w:val="single" w:color="auto" w:sz="4" w:space="0"/>
                    <w:right w:val="single" w:color="auto" w:sz="4" w:space="0"/>
                  </w:tcBorders>
                  <w:shd w:val="clear" w:color="auto" w:fill="auto"/>
                  <w:vAlign w:val="center"/>
                </w:tcPr>
                <w:p w14:paraId="67C51553">
                  <w:pPr>
                    <w:pStyle w:val="20"/>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汽车整车制造（仅组装的除外）；汽车用发动机制造（仅组装的除外）；有电镀工艺的；年用溶剂型涂料（含稀释剂）</w:t>
                  </w:r>
                  <w:r>
                    <w:rPr>
                      <w:rFonts w:hint="default" w:ascii="Times New Roman" w:hAnsi="Times New Roman"/>
                      <w:color w:val="auto"/>
                      <w:kern w:val="2"/>
                      <w:sz w:val="21"/>
                      <w:szCs w:val="21"/>
                    </w:rPr>
                    <w:t>10</w:t>
                  </w:r>
                  <w:r>
                    <w:rPr>
                      <w:rFonts w:hint="eastAsia" w:ascii="Times New Roman" w:hAnsi="Times New Roman"/>
                      <w:color w:val="auto"/>
                      <w:kern w:val="2"/>
                      <w:sz w:val="21"/>
                      <w:szCs w:val="21"/>
                    </w:rPr>
                    <w:t>吨及以上的</w:t>
                  </w:r>
                </w:p>
              </w:tc>
              <w:tc>
                <w:tcPr>
                  <w:tcW w:w="2257" w:type="pct"/>
                  <w:tcBorders>
                    <w:top w:val="single" w:color="auto" w:sz="4" w:space="0"/>
                    <w:left w:val="single" w:color="auto" w:sz="4" w:space="0"/>
                    <w:right w:val="single" w:color="auto" w:sz="4" w:space="0"/>
                  </w:tcBorders>
                  <w:shd w:val="clear" w:color="auto" w:fill="D8D8D8"/>
                  <w:vAlign w:val="center"/>
                </w:tcPr>
                <w:p w14:paraId="7E95BCAD">
                  <w:pPr>
                    <w:pStyle w:val="20"/>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其他（年用非溶剂型低</w:t>
                  </w:r>
                  <w:r>
                    <w:rPr>
                      <w:rFonts w:hint="default" w:ascii="Times New Roman" w:hAnsi="Times New Roman"/>
                      <w:color w:val="auto"/>
                      <w:kern w:val="2"/>
                      <w:sz w:val="21"/>
                      <w:szCs w:val="21"/>
                    </w:rPr>
                    <w:t>VOCs</w:t>
                  </w:r>
                  <w:r>
                    <w:rPr>
                      <w:rFonts w:hint="eastAsia" w:ascii="Times New Roman" w:hAnsi="Times New Roman"/>
                      <w:color w:val="auto"/>
                      <w:kern w:val="2"/>
                      <w:sz w:val="21"/>
                      <w:szCs w:val="21"/>
                    </w:rPr>
                    <w:t>含量涂料</w:t>
                  </w:r>
                  <w:r>
                    <w:rPr>
                      <w:rFonts w:hint="default" w:ascii="Times New Roman" w:hAnsi="Times New Roman"/>
                      <w:color w:val="auto"/>
                      <w:kern w:val="2"/>
                      <w:sz w:val="21"/>
                      <w:szCs w:val="21"/>
                    </w:rPr>
                    <w:t>10</w:t>
                  </w:r>
                  <w:r>
                    <w:rPr>
                      <w:rFonts w:hint="eastAsia" w:ascii="Times New Roman" w:hAnsi="Times New Roman"/>
                      <w:color w:val="auto"/>
                      <w:kern w:val="2"/>
                      <w:sz w:val="21"/>
                      <w:szCs w:val="21"/>
                    </w:rPr>
                    <w:t>吨以下的除外）</w:t>
                  </w:r>
                </w:p>
              </w:tc>
              <w:tc>
                <w:tcPr>
                  <w:tcW w:w="259" w:type="pct"/>
                  <w:tcBorders>
                    <w:top w:val="single" w:color="auto" w:sz="4" w:space="0"/>
                    <w:left w:val="single" w:color="auto" w:sz="4" w:space="0"/>
                    <w:right w:val="nil"/>
                  </w:tcBorders>
                  <w:vAlign w:val="center"/>
                </w:tcPr>
                <w:p w14:paraId="435B95B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bl>
          <w:p w14:paraId="0B273467">
            <w:pPr>
              <w:keepNext w:val="0"/>
              <w:keepLines w:val="0"/>
              <w:widowControl w:val="0"/>
              <w:suppressLineNumbers w:val="0"/>
              <w:spacing w:before="0" w:beforeAutospacing="0" w:after="0" w:afterAutospacing="0" w:line="360" w:lineRule="auto"/>
              <w:ind w:left="0" w:right="0" w:firstLine="480" w:firstLineChars="200"/>
              <w:jc w:val="both"/>
              <w:rPr>
                <w:rFonts w:hint="default"/>
                <w:color w:val="auto"/>
                <w:kern w:val="2"/>
              </w:rPr>
            </w:pPr>
            <w:r>
              <w:rPr>
                <w:rFonts w:hint="eastAsia" w:ascii="Times New Roman" w:hAnsi="Times New Roman" w:cs="Times New Roman"/>
                <w:color w:val="auto"/>
                <w:kern w:val="2"/>
                <w:szCs w:val="22"/>
              </w:rPr>
              <w:t>项目排污许可管理类别判定：根据项目备案文件，可知，项目主要产品为</w:t>
            </w:r>
            <w:r>
              <w:rPr>
                <w:rFonts w:hint="eastAsia" w:ascii="Times New Roman" w:hAnsi="Times New Roman" w:cs="Times New Roman"/>
                <w:color w:val="auto"/>
                <w:kern w:val="2"/>
                <w:szCs w:val="32"/>
              </w:rPr>
              <w:t>P1+P3构型混动变速箱</w:t>
            </w:r>
            <w:r>
              <w:rPr>
                <w:rFonts w:hint="eastAsia" w:ascii="Times New Roman" w:hAnsi="Times New Roman" w:cs="Times New Roman"/>
                <w:color w:val="auto"/>
                <w:kern w:val="2"/>
                <w:szCs w:val="22"/>
              </w:rPr>
              <w:t>，本项目国民经济行业属于C3670汽车零部件及配件制造，根据《固定污染源排污许可分类管理名录（2</w:t>
            </w:r>
            <w:r>
              <w:rPr>
                <w:rFonts w:hint="default" w:ascii="Times New Roman" w:hAnsi="Times New Roman" w:cs="Times New Roman"/>
                <w:color w:val="auto"/>
                <w:kern w:val="2"/>
                <w:szCs w:val="22"/>
              </w:rPr>
              <w:t>019</w:t>
            </w:r>
            <w:r>
              <w:rPr>
                <w:rFonts w:hint="eastAsia" w:ascii="Times New Roman" w:hAnsi="Times New Roman" w:cs="Times New Roman"/>
                <w:color w:val="auto"/>
                <w:kern w:val="2"/>
                <w:szCs w:val="22"/>
              </w:rPr>
              <w:t>年版）》可知，本项目属于名录表中“三十一、汽车制造业36”之下的“85汽车零部件及配件制造367”的登记管理项：“</w:t>
            </w:r>
            <w:r>
              <w:rPr>
                <w:rFonts w:hint="eastAsia" w:ascii="Times New Roman" w:cs="Times New Roman"/>
                <w:color w:val="auto"/>
                <w:kern w:val="2"/>
                <w:szCs w:val="21"/>
              </w:rPr>
              <w:t>其他</w:t>
            </w:r>
            <w:r>
              <w:rPr>
                <w:rFonts w:hint="eastAsia" w:ascii="Times New Roman" w:hAnsi="Times New Roman" w:cs="Times New Roman"/>
                <w:color w:val="auto"/>
                <w:kern w:val="2"/>
                <w:szCs w:val="22"/>
              </w:rPr>
              <w:t>”，因</w:t>
            </w:r>
            <w:r>
              <w:rPr>
                <w:rFonts w:hint="default" w:ascii="Times New Roman" w:hAnsi="Times New Roman" w:cs="Times New Roman"/>
                <w:color w:val="auto"/>
                <w:kern w:val="2"/>
                <w:szCs w:val="22"/>
              </w:rPr>
              <w:t>此建设项目排污许可证类别为</w:t>
            </w:r>
            <w:r>
              <w:rPr>
                <w:rFonts w:hint="eastAsia" w:ascii="Times New Roman" w:hAnsi="Times New Roman" w:cs="Times New Roman"/>
                <w:color w:val="auto"/>
                <w:kern w:val="2"/>
                <w:szCs w:val="22"/>
              </w:rPr>
              <w:t>登记</w:t>
            </w:r>
            <w:r>
              <w:rPr>
                <w:rFonts w:hint="default" w:ascii="Times New Roman" w:hAnsi="Times New Roman" w:cs="Times New Roman"/>
                <w:color w:val="auto"/>
                <w:kern w:val="2"/>
                <w:szCs w:val="22"/>
              </w:rPr>
              <w:t>管理</w:t>
            </w:r>
            <w:r>
              <w:rPr>
                <w:rFonts w:hint="eastAsia" w:ascii="Times New Roman" w:hAnsi="Times New Roman" w:cs="Times New Roman"/>
                <w:color w:val="auto"/>
                <w:kern w:val="2"/>
                <w:szCs w:val="22"/>
                <w:lang w:eastAsia="zh-CN"/>
              </w:rPr>
              <w:t>，项目建成投产前及时变更排污许可登记</w:t>
            </w:r>
            <w:r>
              <w:rPr>
                <w:rFonts w:hint="default" w:ascii="Times New Roman" w:hAnsi="Times New Roman" w:cs="Times New Roman"/>
                <w:color w:val="auto"/>
                <w:kern w:val="2"/>
                <w:szCs w:val="22"/>
              </w:rPr>
              <w:t>。</w:t>
            </w:r>
          </w:p>
          <w:p w14:paraId="1B3649BB">
            <w:pPr>
              <w:pStyle w:val="12"/>
              <w:keepNext w:val="0"/>
              <w:keepLines w:val="0"/>
              <w:widowControl/>
              <w:suppressLineNumbers w:val="0"/>
              <w:spacing w:before="0" w:beforeAutospacing="0" w:after="0" w:afterAutospacing="0"/>
              <w:ind w:left="0" w:right="0"/>
              <w:rPr>
                <w:rFonts w:hint="default"/>
                <w:color w:val="auto"/>
                <w:kern w:val="2"/>
              </w:rPr>
            </w:pPr>
          </w:p>
          <w:p w14:paraId="0C7963E0">
            <w:pPr>
              <w:keepNext w:val="0"/>
              <w:keepLines w:val="0"/>
              <w:widowControl/>
              <w:suppressLineNumbers w:val="0"/>
              <w:spacing w:before="0" w:beforeAutospacing="0" w:after="0" w:afterAutospacing="0"/>
              <w:ind w:left="0" w:right="0"/>
              <w:rPr>
                <w:rFonts w:hint="default"/>
                <w:color w:val="auto"/>
                <w:kern w:val="2"/>
              </w:rPr>
            </w:pPr>
          </w:p>
          <w:p w14:paraId="6DA8EFE4">
            <w:pPr>
              <w:pStyle w:val="12"/>
              <w:keepNext w:val="0"/>
              <w:keepLines w:val="0"/>
              <w:widowControl/>
              <w:suppressLineNumbers w:val="0"/>
              <w:spacing w:before="0" w:beforeAutospacing="0" w:after="0" w:afterAutospacing="0"/>
              <w:ind w:left="0" w:right="0"/>
              <w:rPr>
                <w:rFonts w:hint="default"/>
                <w:color w:val="auto"/>
                <w:kern w:val="2"/>
              </w:rPr>
            </w:pPr>
          </w:p>
          <w:p w14:paraId="26087E90">
            <w:pPr>
              <w:pStyle w:val="12"/>
              <w:keepNext w:val="0"/>
              <w:keepLines w:val="0"/>
              <w:widowControl/>
              <w:suppressLineNumbers w:val="0"/>
              <w:spacing w:before="0" w:beforeAutospacing="0" w:after="0" w:afterAutospacing="0"/>
              <w:ind w:left="0" w:right="0"/>
              <w:rPr>
                <w:rFonts w:hint="default"/>
                <w:color w:val="auto"/>
                <w:kern w:val="2"/>
              </w:rPr>
            </w:pPr>
          </w:p>
          <w:p w14:paraId="696C0055">
            <w:pPr>
              <w:keepNext w:val="0"/>
              <w:keepLines w:val="0"/>
              <w:widowControl/>
              <w:suppressLineNumbers w:val="0"/>
              <w:spacing w:before="0" w:beforeAutospacing="0" w:after="0" w:afterAutospacing="0" w:line="348" w:lineRule="auto"/>
              <w:ind w:left="0" w:right="0"/>
              <w:jc w:val="center"/>
              <w:rPr>
                <w:rFonts w:hint="default" w:ascii="Times New Roman" w:hAnsi="Times New Roman" w:eastAsia="黑体" w:cs="Times New Roman"/>
                <w:color w:val="auto"/>
                <w:kern w:val="2"/>
              </w:rPr>
            </w:pPr>
            <w:r>
              <w:rPr>
                <w:rFonts w:hint="default" w:ascii="Times New Roman" w:hAnsi="Times New Roman" w:eastAsia="黑体" w:cs="Times New Roman"/>
                <w:color w:val="auto"/>
                <w:kern w:val="2"/>
              </w:rPr>
              <w:t>表</w:t>
            </w:r>
            <w:r>
              <w:rPr>
                <w:rFonts w:hint="eastAsia" w:ascii="Times New Roman" w:hAnsi="Times New Roman" w:eastAsia="黑体" w:cs="Times New Roman"/>
                <w:color w:val="auto"/>
                <w:kern w:val="2"/>
              </w:rPr>
              <w:t>2</w:t>
            </w:r>
            <w:r>
              <w:rPr>
                <w:rFonts w:hint="default" w:ascii="Times New Roman" w:hAnsi="Times New Roman" w:eastAsia="黑体" w:cs="Times New Roman"/>
                <w:color w:val="auto"/>
                <w:kern w:val="2"/>
              </w:rPr>
              <w:t>-</w:t>
            </w:r>
            <w:r>
              <w:rPr>
                <w:rFonts w:hint="eastAsia" w:ascii="Times New Roman" w:hAnsi="Times New Roman" w:eastAsia="黑体" w:cs="Times New Roman"/>
                <w:color w:val="auto"/>
                <w:kern w:val="2"/>
              </w:rPr>
              <w:t xml:space="preserve">2  </w:t>
            </w:r>
            <w:r>
              <w:rPr>
                <w:rFonts w:hint="default" w:ascii="Times New Roman" w:hAnsi="Times New Roman" w:eastAsia="黑体" w:cs="Times New Roman"/>
                <w:color w:val="auto"/>
                <w:kern w:val="2"/>
              </w:rPr>
              <w:t>排污许可证申领类别一览表</w:t>
            </w:r>
          </w:p>
          <w:tbl>
            <w:tblPr>
              <w:tblStyle w:val="98"/>
              <w:tblW w:w="5000"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2426"/>
              <w:gridCol w:w="1256"/>
              <w:gridCol w:w="2784"/>
              <w:gridCol w:w="1198"/>
            </w:tblGrid>
            <w:tr w14:paraId="7E203EC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31" w:type="pct"/>
                  <w:tcBorders>
                    <w:top w:val="single" w:color="auto" w:sz="12" w:space="0"/>
                    <w:left w:val="nil"/>
                    <w:bottom w:val="single" w:color="auto" w:sz="4" w:space="0"/>
                    <w:right w:val="single" w:color="auto" w:sz="4" w:space="0"/>
                  </w:tcBorders>
                  <w:shd w:val="clear" w:color="auto" w:fill="auto"/>
                  <w:vAlign w:val="center"/>
                </w:tcPr>
                <w:p w14:paraId="37642F00">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eastAsia" w:ascii="Times New Roman" w:hAnsi="Times New Roman" w:cs="Times New Roman"/>
                      <w:b/>
                      <w:bCs/>
                      <w:color w:val="auto"/>
                      <w:kern w:val="2"/>
                      <w:sz w:val="21"/>
                      <w:szCs w:val="21"/>
                    </w:rPr>
                    <w:t>序号</w:t>
                  </w:r>
                </w:p>
              </w:tc>
              <w:tc>
                <w:tcPr>
                  <w:tcW w:w="1446" w:type="pct"/>
                  <w:tcBorders>
                    <w:top w:val="single" w:color="auto" w:sz="12" w:space="0"/>
                    <w:left w:val="single" w:color="auto" w:sz="4" w:space="0"/>
                    <w:bottom w:val="single" w:color="auto" w:sz="4" w:space="0"/>
                    <w:right w:val="single" w:color="auto" w:sz="4" w:space="0"/>
                  </w:tcBorders>
                  <w:shd w:val="clear" w:color="auto" w:fill="auto"/>
                  <w:vAlign w:val="center"/>
                </w:tcPr>
                <w:p w14:paraId="42F02BFF">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eastAsia" w:ascii="Times New Roman" w:hAnsi="Times New Roman" w:cs="Times New Roman"/>
                      <w:b/>
                      <w:bCs/>
                      <w:color w:val="auto"/>
                      <w:kern w:val="2"/>
                      <w:sz w:val="21"/>
                      <w:szCs w:val="21"/>
                    </w:rPr>
                    <w:t>行业类别</w:t>
                  </w:r>
                </w:p>
              </w:tc>
              <w:tc>
                <w:tcPr>
                  <w:tcW w:w="749" w:type="pct"/>
                  <w:tcBorders>
                    <w:top w:val="single" w:color="auto" w:sz="12" w:space="0"/>
                    <w:left w:val="single" w:color="auto" w:sz="4" w:space="0"/>
                    <w:bottom w:val="single" w:color="auto" w:sz="4" w:space="0"/>
                    <w:right w:val="single" w:color="auto" w:sz="4" w:space="0"/>
                  </w:tcBorders>
                  <w:shd w:val="clear" w:color="auto" w:fill="auto"/>
                  <w:vAlign w:val="center"/>
                </w:tcPr>
                <w:p w14:paraId="5E8CE2F5">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eastAsia" w:ascii="Times New Roman" w:hAnsi="Times New Roman" w:cs="Times New Roman"/>
                      <w:b/>
                      <w:bCs/>
                      <w:color w:val="auto"/>
                      <w:kern w:val="2"/>
                      <w:sz w:val="21"/>
                      <w:szCs w:val="21"/>
                    </w:rPr>
                    <w:t>重点管理</w:t>
                  </w:r>
                </w:p>
              </w:tc>
              <w:tc>
                <w:tcPr>
                  <w:tcW w:w="1660" w:type="pct"/>
                  <w:tcBorders>
                    <w:top w:val="single" w:color="auto" w:sz="12" w:space="0"/>
                    <w:left w:val="single" w:color="auto" w:sz="4" w:space="0"/>
                    <w:bottom w:val="single" w:color="auto" w:sz="4" w:space="0"/>
                    <w:right w:val="single" w:color="auto" w:sz="4" w:space="0"/>
                  </w:tcBorders>
                  <w:shd w:val="clear" w:color="auto" w:fill="auto"/>
                  <w:vAlign w:val="center"/>
                </w:tcPr>
                <w:p w14:paraId="205735F1">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eastAsia" w:ascii="Times New Roman" w:hAnsi="Times New Roman" w:cs="Times New Roman"/>
                      <w:b/>
                      <w:bCs/>
                      <w:color w:val="auto"/>
                      <w:kern w:val="2"/>
                      <w:sz w:val="21"/>
                      <w:szCs w:val="21"/>
                    </w:rPr>
                    <w:t>简化管理</w:t>
                  </w:r>
                </w:p>
              </w:tc>
              <w:tc>
                <w:tcPr>
                  <w:tcW w:w="711" w:type="pct"/>
                  <w:tcBorders>
                    <w:top w:val="single" w:color="auto" w:sz="12" w:space="0"/>
                    <w:left w:val="single" w:color="auto" w:sz="4" w:space="0"/>
                    <w:bottom w:val="single" w:color="auto" w:sz="4" w:space="0"/>
                    <w:right w:val="nil"/>
                  </w:tcBorders>
                  <w:shd w:val="clear" w:color="auto" w:fill="auto"/>
                  <w:vAlign w:val="center"/>
                </w:tcPr>
                <w:p w14:paraId="593E28A4">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eastAsia" w:ascii="Times New Roman" w:hAnsi="Times New Roman" w:cs="Times New Roman"/>
                      <w:b/>
                      <w:bCs/>
                      <w:color w:val="auto"/>
                      <w:kern w:val="2"/>
                      <w:sz w:val="21"/>
                      <w:szCs w:val="21"/>
                    </w:rPr>
                    <w:t>登记管理</w:t>
                  </w:r>
                </w:p>
              </w:tc>
            </w:tr>
            <w:tr w14:paraId="1D67FD7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op w:val="single" w:color="auto" w:sz="4" w:space="0"/>
                    <w:left w:val="nil"/>
                    <w:bottom w:val="single" w:color="auto" w:sz="4" w:space="0"/>
                    <w:right w:val="nil"/>
                  </w:tcBorders>
                  <w:shd w:val="clear" w:color="auto" w:fill="auto"/>
                  <w:vAlign w:val="center"/>
                </w:tcPr>
                <w:p w14:paraId="60160860">
                  <w:pPr>
                    <w:keepNext w:val="0"/>
                    <w:keepLines w:val="0"/>
                    <w:widowControl/>
                    <w:suppressLineNumbers w:val="0"/>
                    <w:spacing w:before="0" w:beforeAutospacing="0" w:after="0" w:afterAutospacing="0"/>
                    <w:ind w:left="0" w:right="0"/>
                    <w:rPr>
                      <w:rFonts w:hint="default" w:ascii="Times New Roman" w:hAnsi="Times New Roman" w:cs="Times New Roman"/>
                      <w:b/>
                      <w:bCs/>
                      <w:color w:val="auto"/>
                      <w:kern w:val="2"/>
                      <w:sz w:val="21"/>
                      <w:szCs w:val="21"/>
                    </w:rPr>
                  </w:pPr>
                  <w:r>
                    <w:rPr>
                      <w:rFonts w:hint="eastAsia" w:ascii="Times New Roman" w:hAnsi="Times New Roman" w:cs="Times New Roman"/>
                      <w:b/>
                      <w:bCs/>
                      <w:snapToGrid w:val="0"/>
                      <w:color w:val="auto"/>
                      <w:kern w:val="2"/>
                      <w:sz w:val="21"/>
                      <w:szCs w:val="21"/>
                    </w:rPr>
                    <w:t>三十一、汽车制造业</w:t>
                  </w:r>
                  <w:r>
                    <w:rPr>
                      <w:rFonts w:hint="default" w:ascii="Times New Roman" w:hAnsi="Times New Roman" w:cs="Times New Roman"/>
                      <w:b/>
                      <w:bCs/>
                      <w:snapToGrid w:val="0"/>
                      <w:color w:val="auto"/>
                      <w:kern w:val="2"/>
                      <w:sz w:val="21"/>
                      <w:szCs w:val="21"/>
                    </w:rPr>
                    <w:t>36</w:t>
                  </w:r>
                </w:p>
              </w:tc>
            </w:tr>
            <w:tr w14:paraId="1C92350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jc w:val="center"/>
              </w:trPr>
              <w:tc>
                <w:tcPr>
                  <w:tcW w:w="431" w:type="pct"/>
                  <w:tcBorders>
                    <w:top w:val="single" w:color="auto" w:sz="4" w:space="0"/>
                    <w:left w:val="nil"/>
                    <w:bottom w:val="single" w:color="auto" w:sz="12" w:space="0"/>
                    <w:right w:val="single" w:color="auto" w:sz="4" w:space="0"/>
                  </w:tcBorders>
                  <w:shd w:val="clear" w:color="auto" w:fill="auto"/>
                  <w:vAlign w:val="center"/>
                </w:tcPr>
                <w:p w14:paraId="0773CF6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85</w:t>
                  </w:r>
                </w:p>
              </w:tc>
              <w:tc>
                <w:tcPr>
                  <w:tcW w:w="1446" w:type="pct"/>
                  <w:tcBorders>
                    <w:top w:val="single" w:color="auto" w:sz="4" w:space="0"/>
                    <w:left w:val="single" w:color="auto" w:sz="4" w:space="0"/>
                    <w:bottom w:val="single" w:color="auto" w:sz="12" w:space="0"/>
                    <w:right w:val="single" w:color="auto" w:sz="4" w:space="0"/>
                  </w:tcBorders>
                  <w:shd w:val="clear" w:color="auto" w:fill="auto"/>
                  <w:vAlign w:val="center"/>
                </w:tcPr>
                <w:p w14:paraId="14DB6D4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snapToGrid w:val="0"/>
                      <w:color w:val="auto"/>
                      <w:kern w:val="2"/>
                      <w:sz w:val="21"/>
                      <w:szCs w:val="21"/>
                    </w:rPr>
                    <w:t>汽车整车制造</w:t>
                  </w:r>
                  <w:r>
                    <w:rPr>
                      <w:rFonts w:hint="default" w:ascii="Times New Roman" w:hAnsi="Times New Roman" w:cs="Times New Roman"/>
                      <w:snapToGrid w:val="0"/>
                      <w:color w:val="auto"/>
                      <w:kern w:val="2"/>
                      <w:sz w:val="21"/>
                      <w:szCs w:val="21"/>
                    </w:rPr>
                    <w:t>361</w:t>
                  </w:r>
                  <w:r>
                    <w:rPr>
                      <w:rFonts w:hint="eastAsia" w:ascii="Times New Roman" w:hAnsi="Times New Roman" w:cs="Times New Roman"/>
                      <w:snapToGrid w:val="0"/>
                      <w:color w:val="auto"/>
                      <w:kern w:val="2"/>
                      <w:sz w:val="21"/>
                      <w:szCs w:val="21"/>
                    </w:rPr>
                    <w:t>，汽车用发动机制造</w:t>
                  </w:r>
                  <w:r>
                    <w:rPr>
                      <w:rFonts w:hint="default" w:ascii="Times New Roman" w:hAnsi="Times New Roman" w:cs="Times New Roman"/>
                      <w:snapToGrid w:val="0"/>
                      <w:color w:val="auto"/>
                      <w:kern w:val="2"/>
                      <w:sz w:val="21"/>
                      <w:szCs w:val="21"/>
                    </w:rPr>
                    <w:t>362</w:t>
                  </w:r>
                  <w:r>
                    <w:rPr>
                      <w:rFonts w:hint="eastAsia" w:ascii="Times New Roman" w:hAnsi="Times New Roman" w:cs="Times New Roman"/>
                      <w:snapToGrid w:val="0"/>
                      <w:color w:val="auto"/>
                      <w:kern w:val="2"/>
                      <w:sz w:val="21"/>
                      <w:szCs w:val="21"/>
                    </w:rPr>
                    <w:t>，改装汽车制造</w:t>
                  </w:r>
                  <w:r>
                    <w:rPr>
                      <w:rFonts w:hint="default" w:ascii="Times New Roman" w:hAnsi="Times New Roman" w:cs="Times New Roman"/>
                      <w:snapToGrid w:val="0"/>
                      <w:color w:val="auto"/>
                      <w:kern w:val="2"/>
                      <w:sz w:val="21"/>
                      <w:szCs w:val="21"/>
                    </w:rPr>
                    <w:t>363</w:t>
                  </w:r>
                  <w:r>
                    <w:rPr>
                      <w:rFonts w:hint="eastAsia" w:ascii="Times New Roman" w:hAnsi="Times New Roman" w:cs="Times New Roman"/>
                      <w:snapToGrid w:val="0"/>
                      <w:color w:val="auto"/>
                      <w:kern w:val="2"/>
                      <w:sz w:val="21"/>
                      <w:szCs w:val="21"/>
                    </w:rPr>
                    <w:t>，低速汽车制造</w:t>
                  </w:r>
                  <w:r>
                    <w:rPr>
                      <w:rFonts w:hint="default" w:ascii="Times New Roman" w:hAnsi="Times New Roman" w:cs="Times New Roman"/>
                      <w:snapToGrid w:val="0"/>
                      <w:color w:val="auto"/>
                      <w:kern w:val="2"/>
                      <w:sz w:val="21"/>
                      <w:szCs w:val="21"/>
                    </w:rPr>
                    <w:t>364</w:t>
                  </w:r>
                  <w:r>
                    <w:rPr>
                      <w:rFonts w:hint="eastAsia" w:ascii="Times New Roman" w:hAnsi="Times New Roman" w:cs="Times New Roman"/>
                      <w:snapToGrid w:val="0"/>
                      <w:color w:val="auto"/>
                      <w:kern w:val="2"/>
                      <w:sz w:val="21"/>
                      <w:szCs w:val="21"/>
                    </w:rPr>
                    <w:t>，电车制造</w:t>
                  </w:r>
                  <w:r>
                    <w:rPr>
                      <w:rFonts w:hint="default" w:ascii="Times New Roman" w:hAnsi="Times New Roman" w:cs="Times New Roman"/>
                      <w:snapToGrid w:val="0"/>
                      <w:color w:val="auto"/>
                      <w:kern w:val="2"/>
                      <w:sz w:val="21"/>
                      <w:szCs w:val="21"/>
                    </w:rPr>
                    <w:t>365</w:t>
                  </w:r>
                  <w:r>
                    <w:rPr>
                      <w:rFonts w:hint="eastAsia" w:ascii="Times New Roman" w:hAnsi="Times New Roman" w:cs="Times New Roman"/>
                      <w:snapToGrid w:val="0"/>
                      <w:color w:val="auto"/>
                      <w:kern w:val="2"/>
                      <w:sz w:val="21"/>
                      <w:szCs w:val="21"/>
                    </w:rPr>
                    <w:t>，汽车车身、挂车制造</w:t>
                  </w:r>
                  <w:r>
                    <w:rPr>
                      <w:rFonts w:hint="default" w:ascii="Times New Roman" w:hAnsi="Times New Roman" w:cs="Times New Roman"/>
                      <w:snapToGrid w:val="0"/>
                      <w:color w:val="auto"/>
                      <w:kern w:val="2"/>
                      <w:sz w:val="21"/>
                      <w:szCs w:val="21"/>
                    </w:rPr>
                    <w:t>366</w:t>
                  </w:r>
                  <w:r>
                    <w:rPr>
                      <w:rFonts w:hint="eastAsia" w:ascii="Times New Roman" w:hAnsi="Times New Roman" w:cs="Times New Roman"/>
                      <w:snapToGrid w:val="0"/>
                      <w:color w:val="auto"/>
                      <w:kern w:val="2"/>
                      <w:sz w:val="21"/>
                      <w:szCs w:val="21"/>
                    </w:rPr>
                    <w:t>，汽车零部件及配件制造</w:t>
                  </w:r>
                  <w:r>
                    <w:rPr>
                      <w:rFonts w:hint="default" w:ascii="Times New Roman" w:hAnsi="Times New Roman" w:cs="Times New Roman"/>
                      <w:snapToGrid w:val="0"/>
                      <w:color w:val="auto"/>
                      <w:kern w:val="2"/>
                      <w:sz w:val="21"/>
                      <w:szCs w:val="21"/>
                    </w:rPr>
                    <w:t>367</w:t>
                  </w:r>
                </w:p>
              </w:tc>
              <w:tc>
                <w:tcPr>
                  <w:tcW w:w="749" w:type="pct"/>
                  <w:tcBorders>
                    <w:top w:val="single" w:color="auto" w:sz="4" w:space="0"/>
                    <w:left w:val="single" w:color="auto" w:sz="4" w:space="0"/>
                    <w:bottom w:val="single" w:color="auto" w:sz="12" w:space="0"/>
                    <w:right w:val="single" w:color="auto" w:sz="4" w:space="0"/>
                  </w:tcBorders>
                  <w:shd w:val="clear" w:color="auto" w:fill="auto"/>
                  <w:vAlign w:val="center"/>
                </w:tcPr>
                <w:p w14:paraId="3CDFB0A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纳入重点排污单位名录的</w:t>
                  </w:r>
                </w:p>
              </w:tc>
              <w:tc>
                <w:tcPr>
                  <w:tcW w:w="1660" w:type="pct"/>
                  <w:tcBorders>
                    <w:top w:val="single" w:color="auto" w:sz="4" w:space="0"/>
                    <w:left w:val="single" w:color="auto" w:sz="4" w:space="0"/>
                    <w:bottom w:val="single" w:color="auto" w:sz="12" w:space="0"/>
                    <w:right w:val="single" w:color="auto" w:sz="4" w:space="0"/>
                  </w:tcBorders>
                  <w:shd w:val="clear" w:color="auto" w:fill="auto"/>
                  <w:vAlign w:val="center"/>
                </w:tcPr>
                <w:p w14:paraId="09AB58E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除重点管理以外的汽车整车制造</w:t>
                  </w:r>
                  <w:r>
                    <w:rPr>
                      <w:rFonts w:hint="default" w:ascii="Times New Roman" w:hAnsi="Times New Roman" w:cs="Times New Roman"/>
                      <w:color w:val="auto"/>
                      <w:kern w:val="2"/>
                      <w:sz w:val="21"/>
                      <w:szCs w:val="21"/>
                    </w:rPr>
                    <w:t>361</w:t>
                  </w:r>
                  <w:r>
                    <w:rPr>
                      <w:rFonts w:hint="eastAsia" w:ascii="Times New Roman" w:hAnsi="Times New Roman" w:cs="Times New Roman"/>
                      <w:color w:val="auto"/>
                      <w:kern w:val="2"/>
                      <w:sz w:val="21"/>
                      <w:szCs w:val="21"/>
                    </w:rPr>
                    <w:t>，除重点管理以外的年使用</w:t>
                  </w:r>
                  <w:r>
                    <w:rPr>
                      <w:rFonts w:hint="default" w:ascii="Times New Roman" w:hAnsi="Times New Roman" w:cs="Times New Roman"/>
                      <w:color w:val="auto"/>
                      <w:kern w:val="2"/>
                      <w:sz w:val="21"/>
                      <w:szCs w:val="21"/>
                    </w:rPr>
                    <w:t>10</w:t>
                  </w:r>
                  <w:r>
                    <w:rPr>
                      <w:rFonts w:hint="eastAsia" w:ascii="Times New Roman" w:hAnsi="Times New Roman" w:cs="Times New Roman"/>
                      <w:color w:val="auto"/>
                      <w:kern w:val="2"/>
                      <w:sz w:val="21"/>
                      <w:szCs w:val="21"/>
                    </w:rPr>
                    <w:t>吨及以上溶剂型涂料或者胶粘剂（含稀释剂、固化剂、清洗溶剂）的汽车用发动机制造</w:t>
                  </w:r>
                  <w:r>
                    <w:rPr>
                      <w:rFonts w:hint="default" w:ascii="Times New Roman" w:hAnsi="Times New Roman" w:cs="Times New Roman"/>
                      <w:color w:val="auto"/>
                      <w:kern w:val="2"/>
                      <w:sz w:val="21"/>
                      <w:szCs w:val="21"/>
                    </w:rPr>
                    <w:t>362</w:t>
                  </w:r>
                  <w:r>
                    <w:rPr>
                      <w:rFonts w:hint="eastAsia" w:ascii="Times New Roman" w:hAnsi="Times New Roman" w:cs="Times New Roman"/>
                      <w:color w:val="auto"/>
                      <w:kern w:val="2"/>
                      <w:sz w:val="21"/>
                      <w:szCs w:val="21"/>
                    </w:rPr>
                    <w:t>、改装汽车制造</w:t>
                  </w:r>
                  <w:r>
                    <w:rPr>
                      <w:rFonts w:hint="default" w:ascii="Times New Roman" w:hAnsi="Times New Roman" w:cs="Times New Roman"/>
                      <w:color w:val="auto"/>
                      <w:kern w:val="2"/>
                      <w:sz w:val="21"/>
                      <w:szCs w:val="21"/>
                    </w:rPr>
                    <w:t>363</w:t>
                  </w:r>
                  <w:r>
                    <w:rPr>
                      <w:rFonts w:hint="eastAsia" w:ascii="Times New Roman" w:hAnsi="Times New Roman" w:cs="Times New Roman"/>
                      <w:color w:val="auto"/>
                      <w:kern w:val="2"/>
                      <w:sz w:val="21"/>
                      <w:szCs w:val="21"/>
                    </w:rPr>
                    <w:t>、低速汽车制造</w:t>
                  </w:r>
                  <w:r>
                    <w:rPr>
                      <w:rFonts w:hint="default" w:ascii="Times New Roman" w:hAnsi="Times New Roman" w:cs="Times New Roman"/>
                      <w:color w:val="auto"/>
                      <w:kern w:val="2"/>
                      <w:sz w:val="21"/>
                      <w:szCs w:val="21"/>
                    </w:rPr>
                    <w:t>364</w:t>
                  </w:r>
                  <w:r>
                    <w:rPr>
                      <w:rFonts w:hint="eastAsia" w:ascii="Times New Roman" w:hAnsi="Times New Roman" w:cs="Times New Roman"/>
                      <w:color w:val="auto"/>
                      <w:kern w:val="2"/>
                      <w:sz w:val="21"/>
                      <w:szCs w:val="21"/>
                    </w:rPr>
                    <w:t>、电车制造</w:t>
                  </w:r>
                  <w:r>
                    <w:rPr>
                      <w:rFonts w:hint="default" w:ascii="Times New Roman" w:hAnsi="Times New Roman" w:cs="Times New Roman"/>
                      <w:color w:val="auto"/>
                      <w:kern w:val="2"/>
                      <w:sz w:val="21"/>
                      <w:szCs w:val="21"/>
                    </w:rPr>
                    <w:t>365</w:t>
                  </w:r>
                  <w:r>
                    <w:rPr>
                      <w:rFonts w:hint="eastAsia" w:ascii="Times New Roman" w:hAnsi="Times New Roman" w:cs="Times New Roman"/>
                      <w:color w:val="auto"/>
                      <w:kern w:val="2"/>
                      <w:sz w:val="21"/>
                      <w:szCs w:val="21"/>
                    </w:rPr>
                    <w:t>、汽车车身、挂车制造</w:t>
                  </w:r>
                  <w:r>
                    <w:rPr>
                      <w:rFonts w:hint="default" w:ascii="Times New Roman" w:hAnsi="Times New Roman" w:cs="Times New Roman"/>
                      <w:color w:val="auto"/>
                      <w:kern w:val="2"/>
                      <w:sz w:val="21"/>
                      <w:szCs w:val="21"/>
                    </w:rPr>
                    <w:t>366</w:t>
                  </w:r>
                  <w:r>
                    <w:rPr>
                      <w:rFonts w:hint="eastAsia" w:ascii="Times New Roman" w:hAnsi="Times New Roman" w:cs="Times New Roman"/>
                      <w:color w:val="auto"/>
                      <w:kern w:val="2"/>
                      <w:sz w:val="21"/>
                      <w:szCs w:val="21"/>
                    </w:rPr>
                    <w:t>、汽车零部件及配件制造</w:t>
                  </w:r>
                  <w:r>
                    <w:rPr>
                      <w:rFonts w:hint="default" w:ascii="Times New Roman" w:hAnsi="Times New Roman" w:cs="Times New Roman"/>
                      <w:color w:val="auto"/>
                      <w:kern w:val="2"/>
                      <w:sz w:val="21"/>
                      <w:szCs w:val="21"/>
                    </w:rPr>
                    <w:t>367</w:t>
                  </w:r>
                </w:p>
              </w:tc>
              <w:tc>
                <w:tcPr>
                  <w:tcW w:w="711" w:type="pct"/>
                  <w:tcBorders>
                    <w:top w:val="single" w:color="auto" w:sz="4" w:space="0"/>
                    <w:left w:val="single" w:color="auto" w:sz="4" w:space="0"/>
                    <w:bottom w:val="single" w:color="auto" w:sz="12" w:space="0"/>
                    <w:right w:val="nil"/>
                  </w:tcBorders>
                  <w:shd w:val="pct20" w:color="auto" w:fill="auto"/>
                  <w:vAlign w:val="center"/>
                </w:tcPr>
                <w:p w14:paraId="4B5073B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其他</w:t>
                  </w:r>
                </w:p>
              </w:tc>
            </w:tr>
          </w:tbl>
          <w:p w14:paraId="3B64FDC7">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Cs w:val="22"/>
              </w:rPr>
            </w:pPr>
            <w:r>
              <w:rPr>
                <w:rFonts w:hint="eastAsia" w:ascii="Times New Roman" w:hAnsi="Times New Roman" w:cs="Times New Roman"/>
                <w:color w:val="auto"/>
                <w:kern w:val="2"/>
                <w:szCs w:val="22"/>
              </w:rPr>
              <w:t>3、项目主要</w:t>
            </w:r>
            <w:r>
              <w:rPr>
                <w:rFonts w:hint="default" w:ascii="Times New Roman" w:hAnsi="Times New Roman" w:cs="Times New Roman"/>
                <w:color w:val="auto"/>
                <w:kern w:val="2"/>
                <w:szCs w:val="22"/>
              </w:rPr>
              <w:t>建设内容及规模</w:t>
            </w:r>
          </w:p>
          <w:p w14:paraId="491E511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本项目生产厂</w:t>
            </w:r>
            <w:r>
              <w:rPr>
                <w:rFonts w:hint="eastAsia" w:ascii="Times New Roman" w:hAnsi="Times New Roman" w:cs="Times New Roman"/>
                <w:color w:val="auto"/>
                <w:kern w:val="2"/>
                <w:szCs w:val="22"/>
              </w:rPr>
              <w:t>房</w:t>
            </w:r>
            <w:r>
              <w:rPr>
                <w:rFonts w:hint="default" w:ascii="Times New Roman" w:hAnsi="Times New Roman" w:cs="Times New Roman"/>
                <w:color w:val="auto"/>
                <w:kern w:val="2"/>
                <w:szCs w:val="22"/>
              </w:rPr>
              <w:t>由北到南分别为</w:t>
            </w:r>
            <w:r>
              <w:rPr>
                <w:rFonts w:hint="eastAsia" w:ascii="Times New Roman" w:hAnsi="Times New Roman" w:cs="Times New Roman"/>
                <w:color w:val="auto"/>
                <w:kern w:val="2"/>
                <w:szCs w:val="22"/>
              </w:rPr>
              <w:t>分装线、总装线、测试线、办公区</w:t>
            </w:r>
            <w:r>
              <w:rPr>
                <w:rFonts w:hint="default" w:ascii="Times New Roman" w:hAnsi="Times New Roman" w:cs="Times New Roman"/>
                <w:color w:val="auto"/>
                <w:kern w:val="2"/>
                <w:szCs w:val="22"/>
              </w:rPr>
              <w:t>，</w:t>
            </w:r>
            <w:r>
              <w:rPr>
                <w:rFonts w:hint="eastAsia" w:ascii="Times New Roman" w:hAnsi="Times New Roman" w:cs="Times New Roman"/>
                <w:color w:val="auto"/>
                <w:kern w:val="2"/>
                <w:szCs w:val="22"/>
              </w:rPr>
              <w:t>本次在原34#、36#两栋单层相邻厂房北侧</w:t>
            </w:r>
            <w:r>
              <w:rPr>
                <w:rFonts w:hint="eastAsia"/>
                <w:color w:val="auto"/>
                <w:kern w:val="2"/>
                <w:lang w:val="en-US" w:eastAsia="zh-CN"/>
              </w:rPr>
              <w:t>新租赁</w:t>
            </w:r>
            <w:r>
              <w:rPr>
                <w:rFonts w:hint="eastAsia" w:ascii="Times New Roman" w:hAnsi="Times New Roman" w:cs="Times New Roman"/>
                <w:color w:val="auto"/>
                <w:kern w:val="2"/>
                <w:szCs w:val="22"/>
              </w:rPr>
              <w:t>29#-32#单栋单层厂房</w:t>
            </w:r>
            <w:r>
              <w:rPr>
                <w:rFonts w:hint="eastAsia" w:ascii="Times New Roman" w:hAnsi="Times New Roman" w:cs="Times New Roman"/>
                <w:color w:val="auto"/>
                <w:kern w:val="2"/>
                <w:szCs w:val="22"/>
                <w:lang w:val="en-US" w:eastAsia="zh-CN"/>
              </w:rPr>
              <w:t>作为扩建项目的建设场所</w:t>
            </w:r>
            <w:r>
              <w:rPr>
                <w:rFonts w:hint="default" w:ascii="Times New Roman" w:hAnsi="Times New Roman" w:cs="Times New Roman"/>
                <w:color w:val="auto"/>
                <w:kern w:val="2"/>
                <w:szCs w:val="22"/>
              </w:rPr>
              <w:t>。</w:t>
            </w:r>
          </w:p>
          <w:p w14:paraId="5D867974">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Cs w:val="22"/>
              </w:rPr>
            </w:pPr>
            <w:r>
              <w:rPr>
                <w:rFonts w:hint="default" w:ascii="Times New Roman" w:hAnsi="Times New Roman" w:cs="Times New Roman"/>
                <w:color w:val="auto"/>
                <w:kern w:val="2"/>
                <w:szCs w:val="22"/>
              </w:rPr>
              <w:t>本项目建成后，</w:t>
            </w:r>
            <w:r>
              <w:rPr>
                <w:rFonts w:hint="eastAsia" w:ascii="Times New Roman" w:hAnsi="Times New Roman" w:cs="Times New Roman"/>
                <w:color w:val="auto"/>
                <w:kern w:val="2"/>
                <w:szCs w:val="22"/>
              </w:rPr>
              <w:t>新增年产</w:t>
            </w:r>
            <w:r>
              <w:rPr>
                <w:rFonts w:hint="eastAsia" w:ascii="Times New Roman" w:hAnsi="Times New Roman" w:cs="Times New Roman"/>
                <w:color w:val="auto"/>
                <w:kern w:val="2"/>
                <w:szCs w:val="32"/>
              </w:rPr>
              <w:t>5万台P1+P3构型混动变速箱</w:t>
            </w:r>
            <w:r>
              <w:rPr>
                <w:rFonts w:hint="eastAsia" w:ascii="Times New Roman" w:hAnsi="Times New Roman" w:cs="Times New Roman"/>
                <w:color w:val="auto"/>
                <w:kern w:val="2"/>
                <w:szCs w:val="22"/>
              </w:rPr>
              <w:t>的生产能力</w:t>
            </w:r>
            <w:r>
              <w:rPr>
                <w:rFonts w:hint="default" w:ascii="Times New Roman" w:hAnsi="Times New Roman" w:cs="Times New Roman"/>
                <w:color w:val="auto"/>
                <w:kern w:val="2"/>
                <w:szCs w:val="22"/>
              </w:rPr>
              <w:t>。</w:t>
            </w:r>
          </w:p>
          <w:p w14:paraId="1307243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Cs w:val="22"/>
              </w:rPr>
            </w:pPr>
            <w:r>
              <w:rPr>
                <w:rFonts w:hint="eastAsia" w:ascii="Times New Roman" w:hAnsi="Times New Roman" w:cs="Times New Roman"/>
                <w:color w:val="auto"/>
                <w:kern w:val="2"/>
                <w:szCs w:val="22"/>
              </w:rPr>
              <w:t>本</w:t>
            </w:r>
            <w:r>
              <w:rPr>
                <w:rFonts w:hint="default" w:ascii="Times New Roman" w:hAnsi="Times New Roman" w:cs="Times New Roman"/>
                <w:color w:val="auto"/>
                <w:kern w:val="2"/>
                <w:szCs w:val="22"/>
              </w:rPr>
              <w:t>项目主要内容及规模详见下表：</w:t>
            </w:r>
          </w:p>
          <w:p w14:paraId="4B26E2DC">
            <w:pPr>
              <w:keepNext w:val="0"/>
              <w:keepLines w:val="0"/>
              <w:widowControl/>
              <w:suppressLineNumbers w:val="0"/>
              <w:spacing w:before="0" w:beforeAutospacing="0" w:after="0" w:afterAutospacing="0" w:line="360" w:lineRule="auto"/>
              <w:ind w:left="0" w:right="0"/>
              <w:rPr>
                <w:rFonts w:hint="default" w:ascii="Times New Roman" w:hAnsi="Times New Roman" w:cs="Times New Roman"/>
                <w:bCs/>
                <w:color w:val="auto"/>
                <w:kern w:val="2"/>
              </w:rPr>
            </w:pPr>
          </w:p>
          <w:p w14:paraId="7EF4D624">
            <w:pPr>
              <w:keepNext w:val="0"/>
              <w:keepLines w:val="0"/>
              <w:widowControl/>
              <w:suppressLineNumbers w:val="0"/>
              <w:spacing w:before="0" w:beforeAutospacing="0" w:after="0" w:afterAutospacing="0" w:line="360" w:lineRule="auto"/>
              <w:ind w:left="0" w:right="0"/>
              <w:rPr>
                <w:rFonts w:hint="default" w:ascii="Times New Roman" w:hAnsi="Times New Roman" w:cs="Times New Roman"/>
                <w:bCs/>
                <w:color w:val="auto"/>
                <w:kern w:val="2"/>
              </w:rPr>
            </w:pPr>
          </w:p>
        </w:tc>
      </w:tr>
    </w:tbl>
    <w:p w14:paraId="06709071">
      <w:pPr>
        <w:rPr>
          <w:rFonts w:ascii="Times New Roman" w:hAnsi="Times New Roman"/>
          <w:color w:val="auto"/>
        </w:rPr>
        <w:sectPr>
          <w:headerReference r:id="rId6" w:type="default"/>
          <w:footerReference r:id="rId8" w:type="default"/>
          <w:headerReference r:id="rId7" w:type="even"/>
          <w:pgSz w:w="11906" w:h="16838"/>
          <w:pgMar w:top="1701" w:right="1531" w:bottom="1701" w:left="1531" w:header="851" w:footer="992" w:gutter="0"/>
          <w:cols w:space="720" w:num="1"/>
          <w:docGrid w:type="lines" w:linePitch="312" w:charSpace="0"/>
        </w:sectPr>
      </w:pP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2918"/>
      </w:tblGrid>
      <w:tr w14:paraId="2F9CD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7" w:hRule="atLeast"/>
          <w:jc w:val="center"/>
        </w:trPr>
        <w:tc>
          <w:tcPr>
            <w:tcW w:w="269" w:type="pct"/>
            <w:vAlign w:val="center"/>
          </w:tcPr>
          <w:p w14:paraId="669BD901">
            <w:pPr>
              <w:keepNext w:val="0"/>
              <w:keepLines w:val="0"/>
              <w:widowControl/>
              <w:suppressLineNumbers w:val="0"/>
              <w:spacing w:before="0" w:beforeAutospacing="0" w:after="0" w:afterAutospacing="0"/>
              <w:ind w:left="0" w:right="0"/>
              <w:jc w:val="center"/>
              <w:rPr>
                <w:rFonts w:hint="default" w:ascii="Times New Roman" w:hAnsi="Times New Roman"/>
                <w:color w:val="auto"/>
                <w:kern w:val="2"/>
              </w:rPr>
            </w:pPr>
            <w:r>
              <w:rPr>
                <w:rFonts w:hint="eastAsia"/>
                <w:color w:val="auto"/>
                <w:kern w:val="2"/>
              </w:rPr>
              <w:t>建设内容</w:t>
            </w:r>
          </w:p>
        </w:tc>
        <w:tc>
          <w:tcPr>
            <w:tcW w:w="4731" w:type="pct"/>
          </w:tcPr>
          <w:p w14:paraId="14824987">
            <w:pPr>
              <w:keepNext w:val="0"/>
              <w:keepLines w:val="0"/>
              <w:widowControl/>
              <w:suppressLineNumbers w:val="0"/>
              <w:spacing w:before="0" w:beforeAutospacing="0" w:after="0" w:afterAutospacing="0"/>
              <w:ind w:left="0" w:right="0"/>
              <w:jc w:val="center"/>
              <w:rPr>
                <w:rFonts w:hint="default" w:ascii="Times New Roman" w:hAnsi="Times New Roman" w:eastAsia="黑体" w:cs="Times New Roman"/>
                <w:bCs/>
                <w:color w:val="auto"/>
                <w:kern w:val="2"/>
              </w:rPr>
            </w:pPr>
            <w:r>
              <w:rPr>
                <w:rFonts w:hint="default" w:ascii="Times New Roman" w:hAnsi="Times New Roman" w:eastAsia="黑体" w:cs="Times New Roman"/>
                <w:bCs/>
                <w:color w:val="auto"/>
                <w:kern w:val="2"/>
              </w:rPr>
              <w:t>表2</w:t>
            </w:r>
            <w:bookmarkStart w:id="6" w:name="_Hlk87349170"/>
            <w:r>
              <w:rPr>
                <w:rFonts w:hint="eastAsia" w:ascii="Times New Roman" w:hAnsi="Times New Roman" w:eastAsia="黑体" w:cs="Times New Roman"/>
                <w:bCs/>
                <w:color w:val="auto"/>
                <w:kern w:val="2"/>
              </w:rPr>
              <w:t>-3  项目主要建设内容及规模</w:t>
            </w:r>
            <w:r>
              <w:rPr>
                <w:rFonts w:hint="default" w:ascii="Times New Roman" w:hAnsi="Times New Roman" w:eastAsia="黑体" w:cs="Times New Roman"/>
                <w:bCs/>
                <w:color w:val="auto"/>
                <w:kern w:val="2"/>
              </w:rPr>
              <w:t>组成一览表</w:t>
            </w:r>
            <w:bookmarkEnd w:id="6"/>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91"/>
              <w:gridCol w:w="567"/>
              <w:gridCol w:w="547"/>
              <w:gridCol w:w="895"/>
              <w:gridCol w:w="2274"/>
              <w:gridCol w:w="2474"/>
              <w:gridCol w:w="2474"/>
              <w:gridCol w:w="2653"/>
            </w:tblGrid>
            <w:tr w14:paraId="6070D9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Align w:val="center"/>
                </w:tcPr>
                <w:p w14:paraId="5E0AD509">
                  <w:pPr>
                    <w:keepNext w:val="0"/>
                    <w:keepLines w:val="0"/>
                    <w:widowControl/>
                    <w:suppressLineNumbers w:val="0"/>
                    <w:spacing w:before="0" w:beforeAutospacing="0" w:after="0" w:afterAutospacing="0" w:line="276" w:lineRule="auto"/>
                    <w:ind w:left="0" w:right="0"/>
                    <w:jc w:val="center"/>
                    <w:rPr>
                      <w:rFonts w:hint="default" w:ascii="Times New Roman" w:cs="Times New Roman"/>
                      <w:b/>
                      <w:color w:val="auto"/>
                      <w:kern w:val="21"/>
                      <w:sz w:val="21"/>
                      <w:szCs w:val="21"/>
                    </w:rPr>
                  </w:pPr>
                  <w:r>
                    <w:rPr>
                      <w:rFonts w:hint="default" w:ascii="Times New Roman" w:cs="Times New Roman"/>
                      <w:b/>
                      <w:color w:val="auto"/>
                      <w:kern w:val="21"/>
                      <w:sz w:val="21"/>
                      <w:szCs w:val="21"/>
                    </w:rPr>
                    <w:t>工程类别</w:t>
                  </w:r>
                </w:p>
              </w:tc>
              <w:tc>
                <w:tcPr>
                  <w:tcW w:w="2400" w:type="dxa"/>
                  <w:gridSpan w:val="4"/>
                  <w:vAlign w:val="center"/>
                </w:tcPr>
                <w:p w14:paraId="61010760">
                  <w:pPr>
                    <w:keepNext w:val="0"/>
                    <w:keepLines w:val="0"/>
                    <w:widowControl/>
                    <w:suppressLineNumbers w:val="0"/>
                    <w:spacing w:before="0" w:beforeAutospacing="0" w:after="0" w:afterAutospacing="0" w:line="276" w:lineRule="auto"/>
                    <w:ind w:left="0" w:right="0"/>
                    <w:jc w:val="center"/>
                    <w:rPr>
                      <w:rFonts w:hint="default" w:ascii="Times New Roman" w:cs="Times New Roman"/>
                      <w:b/>
                      <w:color w:val="auto"/>
                      <w:kern w:val="21"/>
                      <w:sz w:val="21"/>
                      <w:szCs w:val="21"/>
                    </w:rPr>
                  </w:pPr>
                  <w:r>
                    <w:rPr>
                      <w:rFonts w:hint="default" w:ascii="Times New Roman" w:cs="Times New Roman"/>
                      <w:b/>
                      <w:color w:val="auto"/>
                      <w:kern w:val="21"/>
                      <w:sz w:val="21"/>
                      <w:szCs w:val="21"/>
                    </w:rPr>
                    <w:t>单项工程名称</w:t>
                  </w:r>
                </w:p>
              </w:tc>
              <w:tc>
                <w:tcPr>
                  <w:tcW w:w="2274" w:type="dxa"/>
                  <w:vAlign w:val="center"/>
                </w:tcPr>
                <w:p w14:paraId="7F0012CA">
                  <w:pPr>
                    <w:keepNext w:val="0"/>
                    <w:keepLines w:val="0"/>
                    <w:widowControl/>
                    <w:suppressLineNumbers w:val="0"/>
                    <w:spacing w:before="0" w:beforeAutospacing="0" w:after="0" w:afterAutospacing="0" w:line="276" w:lineRule="auto"/>
                    <w:ind w:left="0" w:right="0"/>
                    <w:jc w:val="center"/>
                    <w:rPr>
                      <w:rFonts w:hint="default" w:ascii="Times New Roman" w:cs="Times New Roman"/>
                      <w:b/>
                      <w:color w:val="auto"/>
                      <w:kern w:val="21"/>
                      <w:sz w:val="21"/>
                      <w:szCs w:val="21"/>
                    </w:rPr>
                  </w:pPr>
                  <w:r>
                    <w:rPr>
                      <w:rFonts w:hint="default" w:ascii="Times New Roman" w:cs="Times New Roman"/>
                      <w:b/>
                      <w:color w:val="auto"/>
                      <w:kern w:val="21"/>
                      <w:sz w:val="21"/>
                      <w:szCs w:val="21"/>
                    </w:rPr>
                    <w:t>现有项目建设内容及规模</w:t>
                  </w:r>
                </w:p>
              </w:tc>
              <w:tc>
                <w:tcPr>
                  <w:tcW w:w="2474" w:type="dxa"/>
                  <w:vAlign w:val="center"/>
                </w:tcPr>
                <w:p w14:paraId="13C2474B">
                  <w:pPr>
                    <w:keepNext w:val="0"/>
                    <w:keepLines w:val="0"/>
                    <w:widowControl/>
                    <w:suppressLineNumbers w:val="0"/>
                    <w:spacing w:before="0" w:beforeAutospacing="0" w:after="0" w:afterAutospacing="0" w:line="276" w:lineRule="auto"/>
                    <w:ind w:left="0" w:right="0"/>
                    <w:jc w:val="center"/>
                    <w:rPr>
                      <w:rFonts w:hint="default" w:ascii="Times New Roman" w:cs="Times New Roman"/>
                      <w:b/>
                      <w:color w:val="auto"/>
                      <w:kern w:val="21"/>
                      <w:sz w:val="21"/>
                      <w:szCs w:val="21"/>
                    </w:rPr>
                  </w:pPr>
                  <w:r>
                    <w:rPr>
                      <w:rFonts w:hint="eastAsia" w:ascii="Times New Roman" w:cs="Times New Roman"/>
                      <w:b/>
                      <w:color w:val="auto"/>
                      <w:kern w:val="21"/>
                      <w:sz w:val="21"/>
                      <w:szCs w:val="21"/>
                    </w:rPr>
                    <w:t>改建</w:t>
                  </w:r>
                  <w:r>
                    <w:rPr>
                      <w:rFonts w:hint="default" w:ascii="Times New Roman" w:cs="Times New Roman"/>
                      <w:b/>
                      <w:color w:val="auto"/>
                      <w:kern w:val="21"/>
                      <w:sz w:val="21"/>
                      <w:szCs w:val="21"/>
                    </w:rPr>
                    <w:t>项目建设规模与规模</w:t>
                  </w:r>
                </w:p>
              </w:tc>
              <w:tc>
                <w:tcPr>
                  <w:tcW w:w="2474" w:type="dxa"/>
                  <w:vAlign w:val="center"/>
                </w:tcPr>
                <w:p w14:paraId="67FFF0DC">
                  <w:pPr>
                    <w:keepNext w:val="0"/>
                    <w:keepLines w:val="0"/>
                    <w:widowControl/>
                    <w:suppressLineNumbers w:val="0"/>
                    <w:spacing w:before="0" w:beforeAutospacing="0" w:after="0" w:afterAutospacing="0" w:line="276" w:lineRule="auto"/>
                    <w:ind w:left="0" w:right="0"/>
                    <w:jc w:val="center"/>
                    <w:rPr>
                      <w:rFonts w:hint="default" w:ascii="Times New Roman" w:cs="Times New Roman"/>
                      <w:b/>
                      <w:color w:val="auto"/>
                      <w:kern w:val="21"/>
                      <w:sz w:val="21"/>
                      <w:szCs w:val="21"/>
                    </w:rPr>
                  </w:pPr>
                  <w:r>
                    <w:rPr>
                      <w:rFonts w:hint="eastAsia" w:ascii="Times New Roman" w:cs="Times New Roman"/>
                      <w:b/>
                      <w:color w:val="auto"/>
                      <w:kern w:val="21"/>
                      <w:sz w:val="21"/>
                      <w:szCs w:val="21"/>
                    </w:rPr>
                    <w:t>改建</w:t>
                  </w:r>
                  <w:r>
                    <w:rPr>
                      <w:rFonts w:hint="default" w:ascii="Times New Roman" w:cs="Times New Roman"/>
                      <w:b/>
                      <w:color w:val="auto"/>
                      <w:kern w:val="21"/>
                      <w:sz w:val="21"/>
                      <w:szCs w:val="21"/>
                    </w:rPr>
                    <w:t>后全厂建设内容及规模</w:t>
                  </w:r>
                </w:p>
              </w:tc>
              <w:tc>
                <w:tcPr>
                  <w:tcW w:w="2653" w:type="dxa"/>
                  <w:vAlign w:val="center"/>
                </w:tcPr>
                <w:p w14:paraId="36AC600A">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与现有工程依托关系</w:t>
                  </w:r>
                </w:p>
              </w:tc>
            </w:tr>
            <w:tr w14:paraId="154582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27" w:type="dxa"/>
                  <w:vMerge w:val="restart"/>
                  <w:vAlign w:val="center"/>
                </w:tcPr>
                <w:p w14:paraId="09FD6B0C">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主体工程</w:t>
                  </w:r>
                </w:p>
              </w:tc>
              <w:tc>
                <w:tcPr>
                  <w:tcW w:w="391" w:type="dxa"/>
                  <w:vMerge w:val="restart"/>
                  <w:vAlign w:val="center"/>
                </w:tcPr>
                <w:p w14:paraId="1D5F0193">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color w:val="auto"/>
                      <w:kern w:val="2"/>
                      <w:sz w:val="21"/>
                      <w:szCs w:val="21"/>
                    </w:rPr>
                    <w:t>生产车间</w:t>
                  </w:r>
                </w:p>
              </w:tc>
              <w:tc>
                <w:tcPr>
                  <w:tcW w:w="1114" w:type="dxa"/>
                  <w:gridSpan w:val="2"/>
                  <w:vMerge w:val="restart"/>
                  <w:shd w:val="clear" w:color="auto" w:fill="auto"/>
                  <w:vAlign w:val="center"/>
                </w:tcPr>
                <w:p w14:paraId="35132795">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34#厂房（</w:t>
                  </w:r>
                  <w:r>
                    <w:rPr>
                      <w:rFonts w:hint="eastAsia" w:ascii="Times New Roman" w:hAnsi="Times New Roman" w:cs="Times New Roman"/>
                      <w:color w:val="auto"/>
                      <w:kern w:val="2"/>
                      <w:sz w:val="21"/>
                      <w:szCs w:val="21"/>
                      <w:lang w:val="en-US" w:eastAsia="zh-CN"/>
                    </w:rPr>
                    <w:t>钢结构厂房，8m，</w:t>
                  </w:r>
                  <w:r>
                    <w:rPr>
                      <w:rFonts w:hint="default" w:ascii="Times New Roman" w:hAnsi="Times New Roman" w:cs="Times New Roman"/>
                      <w:color w:val="auto"/>
                      <w:kern w:val="2"/>
                      <w:sz w:val="21"/>
                      <w:szCs w:val="21"/>
                    </w:rPr>
                    <w:t>1层）</w:t>
                  </w:r>
                </w:p>
              </w:tc>
              <w:tc>
                <w:tcPr>
                  <w:tcW w:w="895" w:type="dxa"/>
                  <w:shd w:val="clear" w:color="auto" w:fill="auto"/>
                  <w:vAlign w:val="center"/>
                </w:tcPr>
                <w:p w14:paraId="38095EC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总装区（洁净车间）</w:t>
                  </w:r>
                </w:p>
              </w:tc>
              <w:tc>
                <w:tcPr>
                  <w:tcW w:w="2274" w:type="dxa"/>
                  <w:vAlign w:val="center"/>
                </w:tcPr>
                <w:p w14:paraId="592ABB6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负责轴系入壳组装、EM1、EM2转子组装、离壳、变壳组装</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位于34#厂房北侧，建筑面积2500m</w:t>
                  </w:r>
                  <w:r>
                    <w:rPr>
                      <w:rFonts w:hint="default" w:ascii="Times New Roman" w:hAnsi="Times New Roman" w:cs="Times New Roman"/>
                      <w:color w:val="auto"/>
                      <w:kern w:val="2"/>
                      <w:sz w:val="21"/>
                      <w:szCs w:val="21"/>
                      <w:vertAlign w:val="superscript"/>
                    </w:rPr>
                    <w:t>2</w:t>
                  </w:r>
                  <w:r>
                    <w:rPr>
                      <w:rFonts w:hint="eastAsia" w:ascii="Times New Roman" w:hAnsi="Times New Roman" w:cs="Times New Roman"/>
                      <w:color w:val="auto"/>
                      <w:kern w:val="2"/>
                      <w:sz w:val="21"/>
                      <w:szCs w:val="21"/>
                      <w:vertAlign w:val="baseline"/>
                      <w:lang w:eastAsia="zh-CN"/>
                    </w:rPr>
                    <w:t>，</w:t>
                  </w:r>
                  <w:r>
                    <w:rPr>
                      <w:rFonts w:hint="eastAsia" w:ascii="Times New Roman" w:hAnsi="Times New Roman" w:cs="Times New Roman"/>
                      <w:color w:val="auto"/>
                      <w:kern w:val="2"/>
                      <w:sz w:val="21"/>
                      <w:szCs w:val="21"/>
                      <w:vertAlign w:val="baseline"/>
                      <w:lang w:val="en-US" w:eastAsia="zh-CN"/>
                    </w:rPr>
                    <w:t>形成</w:t>
                  </w:r>
                  <w:r>
                    <w:rPr>
                      <w:rFonts w:hint="eastAsia" w:ascii="Times New Roman" w:hAnsi="Times New Roman" w:cs="Times New Roman"/>
                      <w:color w:val="auto"/>
                      <w:kern w:val="2"/>
                      <w:sz w:val="21"/>
                      <w:szCs w:val="21"/>
                      <w:vertAlign w:val="baseline"/>
                      <w:lang w:eastAsia="zh-CN"/>
                    </w:rPr>
                    <w:t>年产DHT变速器20万套的</w:t>
                  </w:r>
                  <w:r>
                    <w:rPr>
                      <w:rFonts w:hint="eastAsia" w:ascii="Times New Roman" w:hAnsi="Times New Roman" w:cs="Times New Roman"/>
                      <w:color w:val="auto"/>
                      <w:kern w:val="2"/>
                      <w:sz w:val="21"/>
                      <w:szCs w:val="21"/>
                      <w:vertAlign w:val="baseline"/>
                      <w:lang w:val="en-US" w:eastAsia="zh-CN"/>
                    </w:rPr>
                    <w:t>生产能力</w:t>
                  </w:r>
                </w:p>
              </w:tc>
              <w:tc>
                <w:tcPr>
                  <w:tcW w:w="2474" w:type="dxa"/>
                  <w:vAlign w:val="center"/>
                </w:tcPr>
                <w:p w14:paraId="57F5C9FD">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w:t>
                  </w:r>
                </w:p>
              </w:tc>
              <w:tc>
                <w:tcPr>
                  <w:tcW w:w="2474" w:type="dxa"/>
                  <w:vAlign w:val="center"/>
                </w:tcPr>
                <w:p w14:paraId="3D511DD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vertAlign w:val="subscript"/>
                      <w:lang w:val="en-US" w:eastAsia="zh-CN"/>
                    </w:rPr>
                  </w:pPr>
                  <w:r>
                    <w:rPr>
                      <w:rFonts w:hint="default" w:ascii="Times New Roman" w:hAnsi="Times New Roman" w:cs="Times New Roman"/>
                      <w:color w:val="auto"/>
                      <w:kern w:val="2"/>
                      <w:sz w:val="21"/>
                      <w:szCs w:val="21"/>
                    </w:rPr>
                    <w:t>负责轴系入壳组装、EM1、EM2转子组装、离壳、变壳组装</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位于34#厂房北侧，建筑面积2500m</w:t>
                  </w:r>
                  <w:r>
                    <w:rPr>
                      <w:rFonts w:hint="default" w:ascii="Times New Roman" w:hAnsi="Times New Roman" w:cs="Times New Roman"/>
                      <w:color w:val="auto"/>
                      <w:kern w:val="2"/>
                      <w:sz w:val="21"/>
                      <w:szCs w:val="21"/>
                      <w:vertAlign w:val="superscript"/>
                    </w:rPr>
                    <w:t>2</w:t>
                  </w:r>
                  <w:r>
                    <w:rPr>
                      <w:rFonts w:hint="eastAsia" w:ascii="Times New Roman" w:hAnsi="Times New Roman" w:cs="Times New Roman"/>
                      <w:color w:val="auto"/>
                      <w:kern w:val="2"/>
                      <w:sz w:val="21"/>
                      <w:szCs w:val="21"/>
                      <w:vertAlign w:val="baseline"/>
                      <w:lang w:eastAsia="zh-CN"/>
                    </w:rPr>
                    <w:t>，</w:t>
                  </w:r>
                  <w:r>
                    <w:rPr>
                      <w:rFonts w:hint="eastAsia" w:ascii="Times New Roman" w:hAnsi="Times New Roman" w:cs="Times New Roman"/>
                      <w:color w:val="auto"/>
                      <w:kern w:val="2"/>
                      <w:sz w:val="21"/>
                      <w:szCs w:val="21"/>
                      <w:vertAlign w:val="baseline"/>
                      <w:lang w:val="en-US" w:eastAsia="zh-CN"/>
                    </w:rPr>
                    <w:t>形成</w:t>
                  </w:r>
                  <w:r>
                    <w:rPr>
                      <w:rFonts w:hint="eastAsia" w:ascii="Times New Roman" w:hAnsi="Times New Roman" w:cs="Times New Roman"/>
                      <w:color w:val="auto"/>
                      <w:kern w:val="2"/>
                      <w:sz w:val="21"/>
                      <w:szCs w:val="21"/>
                      <w:vertAlign w:val="baseline"/>
                      <w:lang w:eastAsia="zh-CN"/>
                    </w:rPr>
                    <w:t>年产DHT变速器20万套的</w:t>
                  </w:r>
                  <w:r>
                    <w:rPr>
                      <w:rFonts w:hint="eastAsia" w:ascii="Times New Roman" w:hAnsi="Times New Roman" w:cs="Times New Roman"/>
                      <w:color w:val="auto"/>
                      <w:kern w:val="2"/>
                      <w:sz w:val="21"/>
                      <w:szCs w:val="21"/>
                      <w:vertAlign w:val="baseline"/>
                      <w:lang w:val="en-US" w:eastAsia="zh-CN"/>
                    </w:rPr>
                    <w:t>生产能力</w:t>
                  </w:r>
                </w:p>
              </w:tc>
              <w:tc>
                <w:tcPr>
                  <w:tcW w:w="2653" w:type="dxa"/>
                  <w:vAlign w:val="center"/>
                </w:tcPr>
                <w:p w14:paraId="4607317F">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cs="Times New Roman"/>
                      <w:color w:val="auto"/>
                      <w:kern w:val="2"/>
                      <w:sz w:val="21"/>
                      <w:szCs w:val="21"/>
                      <w:lang w:eastAsia="zh-CN"/>
                    </w:rPr>
                  </w:pPr>
                  <w:r>
                    <w:rPr>
                      <w:rFonts w:hint="eastAsia" w:ascii="Times New Roman" w:hAnsi="Times New Roman" w:cs="Times New Roman"/>
                      <w:color w:val="auto"/>
                      <w:kern w:val="2"/>
                      <w:sz w:val="21"/>
                      <w:szCs w:val="21"/>
                      <w:lang w:val="en-US" w:eastAsia="zh-CN"/>
                    </w:rPr>
                    <w:t>不变</w:t>
                  </w:r>
                </w:p>
              </w:tc>
            </w:tr>
            <w:tr w14:paraId="1DB33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27" w:type="dxa"/>
                  <w:vMerge w:val="continue"/>
                  <w:vAlign w:val="center"/>
                </w:tcPr>
                <w:p w14:paraId="510D586A">
                  <w:pPr>
                    <w:keepNext w:val="0"/>
                    <w:keepLines w:val="0"/>
                    <w:widowControl/>
                    <w:suppressLineNumbers w:val="0"/>
                    <w:spacing w:before="0" w:beforeAutospacing="0" w:after="0" w:afterAutospacing="0" w:line="276" w:lineRule="auto"/>
                    <w:ind w:left="0" w:right="0"/>
                    <w:jc w:val="center"/>
                    <w:rPr>
                      <w:rFonts w:hint="default"/>
                      <w:color w:val="auto"/>
                      <w:kern w:val="2"/>
                    </w:rPr>
                  </w:pPr>
                </w:p>
              </w:tc>
              <w:tc>
                <w:tcPr>
                  <w:tcW w:w="391" w:type="dxa"/>
                  <w:vMerge w:val="continue"/>
                  <w:vAlign w:val="center"/>
                </w:tcPr>
                <w:p w14:paraId="68CDE0AC">
                  <w:pPr>
                    <w:keepNext w:val="0"/>
                    <w:keepLines w:val="0"/>
                    <w:widowControl/>
                    <w:suppressLineNumbers w:val="0"/>
                    <w:spacing w:before="0" w:beforeAutospacing="0" w:after="0" w:afterAutospacing="0" w:line="276" w:lineRule="auto"/>
                    <w:ind w:left="0" w:right="0"/>
                    <w:jc w:val="center"/>
                    <w:rPr>
                      <w:rFonts w:hint="default"/>
                      <w:color w:val="auto"/>
                      <w:kern w:val="2"/>
                    </w:rPr>
                  </w:pPr>
                </w:p>
              </w:tc>
              <w:tc>
                <w:tcPr>
                  <w:tcW w:w="1114" w:type="dxa"/>
                  <w:gridSpan w:val="2"/>
                  <w:vMerge w:val="continue"/>
                  <w:shd w:val="clear" w:color="auto" w:fill="auto"/>
                  <w:vAlign w:val="center"/>
                </w:tcPr>
                <w:p w14:paraId="296BF775">
                  <w:pPr>
                    <w:keepNext w:val="0"/>
                    <w:keepLines w:val="0"/>
                    <w:widowControl/>
                    <w:suppressLineNumbers w:val="0"/>
                    <w:spacing w:before="0" w:beforeAutospacing="0" w:after="0" w:afterAutospacing="0" w:line="276" w:lineRule="auto"/>
                    <w:ind w:left="0" w:right="0"/>
                    <w:jc w:val="center"/>
                    <w:rPr>
                      <w:rFonts w:hint="default"/>
                      <w:color w:val="auto"/>
                      <w:kern w:val="2"/>
                    </w:rPr>
                  </w:pPr>
                </w:p>
              </w:tc>
              <w:tc>
                <w:tcPr>
                  <w:tcW w:w="895" w:type="dxa"/>
                  <w:shd w:val="clear" w:color="auto" w:fill="auto"/>
                  <w:vAlign w:val="center"/>
                </w:tcPr>
                <w:p w14:paraId="7DD495C1">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测试区</w:t>
                  </w:r>
                </w:p>
              </w:tc>
              <w:tc>
                <w:tcPr>
                  <w:tcW w:w="2274" w:type="dxa"/>
                  <w:vAlign w:val="center"/>
                </w:tcPr>
                <w:p w14:paraId="0852F2B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负责激光打标、MCU装配、气密性测试、称重加油、产品性能预测试、打包出库</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位于34#厂房南侧，建筑面积1500m</w:t>
                  </w:r>
                  <w:r>
                    <w:rPr>
                      <w:rFonts w:hint="default" w:ascii="Times New Roman" w:hAnsi="Times New Roman" w:cs="Times New Roman"/>
                      <w:color w:val="auto"/>
                      <w:kern w:val="2"/>
                      <w:sz w:val="21"/>
                      <w:szCs w:val="21"/>
                      <w:vertAlign w:val="superscript"/>
                    </w:rPr>
                    <w:t>2</w:t>
                  </w:r>
                </w:p>
              </w:tc>
              <w:tc>
                <w:tcPr>
                  <w:tcW w:w="2474" w:type="dxa"/>
                  <w:vAlign w:val="center"/>
                </w:tcPr>
                <w:p w14:paraId="632937A9">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w:t>
                  </w:r>
                </w:p>
              </w:tc>
              <w:tc>
                <w:tcPr>
                  <w:tcW w:w="2474" w:type="dxa"/>
                  <w:vAlign w:val="center"/>
                </w:tcPr>
                <w:p w14:paraId="0CAB077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负责激光打标、MCU装配、气密性测试、称重加油、产品性能预测试、打包出库</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位于34#厂房南侧，建筑面积1500m</w:t>
                  </w:r>
                  <w:r>
                    <w:rPr>
                      <w:rFonts w:hint="default" w:ascii="Times New Roman" w:hAnsi="Times New Roman" w:cs="Times New Roman"/>
                      <w:color w:val="auto"/>
                      <w:kern w:val="2"/>
                      <w:sz w:val="21"/>
                      <w:szCs w:val="21"/>
                      <w:vertAlign w:val="superscript"/>
                    </w:rPr>
                    <w:t>2</w:t>
                  </w:r>
                </w:p>
              </w:tc>
              <w:tc>
                <w:tcPr>
                  <w:tcW w:w="2653" w:type="dxa"/>
                  <w:vAlign w:val="center"/>
                </w:tcPr>
                <w:p w14:paraId="18FA69EE">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不变</w:t>
                  </w:r>
                </w:p>
              </w:tc>
            </w:tr>
            <w:tr w14:paraId="3A216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7" w:type="dxa"/>
                  <w:vMerge w:val="continue"/>
                  <w:vAlign w:val="center"/>
                </w:tcPr>
                <w:p w14:paraId="2464668C">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391" w:type="dxa"/>
                  <w:vMerge w:val="continue"/>
                  <w:vAlign w:val="center"/>
                </w:tcPr>
                <w:p w14:paraId="155F0BDE">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p>
              </w:tc>
              <w:tc>
                <w:tcPr>
                  <w:tcW w:w="1114" w:type="dxa"/>
                  <w:gridSpan w:val="2"/>
                  <w:vMerge w:val="restart"/>
                  <w:shd w:val="clear" w:color="auto" w:fill="auto"/>
                  <w:vAlign w:val="center"/>
                </w:tcPr>
                <w:p w14:paraId="139F8223">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36#厂房（</w:t>
                  </w:r>
                  <w:r>
                    <w:rPr>
                      <w:rFonts w:hint="eastAsia" w:ascii="Times New Roman" w:hAnsi="Times New Roman" w:cs="Times New Roman"/>
                      <w:color w:val="auto"/>
                      <w:kern w:val="2"/>
                      <w:sz w:val="21"/>
                      <w:szCs w:val="21"/>
                      <w:lang w:val="en-US" w:eastAsia="zh-CN"/>
                    </w:rPr>
                    <w:t>钢结构厂房，8m，</w:t>
                  </w:r>
                  <w:r>
                    <w:rPr>
                      <w:rFonts w:hint="default" w:ascii="Times New Roman" w:hAnsi="Times New Roman" w:cs="Times New Roman"/>
                      <w:color w:val="auto"/>
                      <w:kern w:val="2"/>
                      <w:sz w:val="21"/>
                      <w:szCs w:val="21"/>
                    </w:rPr>
                    <w:t>1层）</w:t>
                  </w:r>
                </w:p>
              </w:tc>
              <w:tc>
                <w:tcPr>
                  <w:tcW w:w="895" w:type="dxa"/>
                  <w:shd w:val="clear" w:color="auto" w:fill="auto"/>
                  <w:vAlign w:val="center"/>
                </w:tcPr>
                <w:p w14:paraId="3B11552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轴线区（洁净车间）</w:t>
                  </w:r>
                </w:p>
              </w:tc>
              <w:tc>
                <w:tcPr>
                  <w:tcW w:w="2274" w:type="dxa"/>
                  <w:vAlign w:val="center"/>
                </w:tcPr>
                <w:p w14:paraId="695AE3A0">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负责输入轴总成、输出轴总成、换挡总成装配</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位于36#厂房中部，建筑面积2000 m</w:t>
                  </w:r>
                  <w:r>
                    <w:rPr>
                      <w:rFonts w:hint="default" w:ascii="Times New Roman" w:hAnsi="Times New Roman" w:cs="Times New Roman"/>
                      <w:color w:val="auto"/>
                      <w:kern w:val="2"/>
                      <w:sz w:val="21"/>
                      <w:szCs w:val="21"/>
                      <w:vertAlign w:val="superscript"/>
                    </w:rPr>
                    <w:t>2</w:t>
                  </w:r>
                </w:p>
              </w:tc>
              <w:tc>
                <w:tcPr>
                  <w:tcW w:w="2474" w:type="dxa"/>
                  <w:vAlign w:val="center"/>
                </w:tcPr>
                <w:p w14:paraId="3DF9373C">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w:t>
                  </w:r>
                </w:p>
              </w:tc>
              <w:tc>
                <w:tcPr>
                  <w:tcW w:w="2474" w:type="dxa"/>
                  <w:vAlign w:val="center"/>
                </w:tcPr>
                <w:p w14:paraId="4A6F9A14">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负责输入轴总成、输出轴总成、换挡总成装配</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位于36#厂房中部，建筑面积2000m</w:t>
                  </w:r>
                  <w:r>
                    <w:rPr>
                      <w:rFonts w:hint="default" w:ascii="Times New Roman" w:hAnsi="Times New Roman" w:cs="Times New Roman"/>
                      <w:color w:val="auto"/>
                      <w:kern w:val="2"/>
                      <w:sz w:val="21"/>
                      <w:szCs w:val="21"/>
                      <w:vertAlign w:val="superscript"/>
                    </w:rPr>
                    <w:t>2</w:t>
                  </w:r>
                </w:p>
              </w:tc>
              <w:tc>
                <w:tcPr>
                  <w:tcW w:w="2653" w:type="dxa"/>
                  <w:vAlign w:val="center"/>
                </w:tcPr>
                <w:p w14:paraId="7A3AA2DC">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不变</w:t>
                  </w:r>
                </w:p>
              </w:tc>
            </w:tr>
            <w:tr w14:paraId="56B3FE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7" w:type="dxa"/>
                  <w:vMerge w:val="continue"/>
                  <w:vAlign w:val="center"/>
                </w:tcPr>
                <w:p w14:paraId="239F4B39">
                  <w:pPr>
                    <w:keepNext w:val="0"/>
                    <w:keepLines w:val="0"/>
                    <w:widowControl/>
                    <w:suppressLineNumbers w:val="0"/>
                    <w:spacing w:before="0" w:beforeAutospacing="0" w:after="0" w:afterAutospacing="0" w:line="276" w:lineRule="auto"/>
                    <w:ind w:left="0" w:right="0"/>
                    <w:jc w:val="center"/>
                    <w:rPr>
                      <w:rFonts w:hint="default"/>
                      <w:color w:val="auto"/>
                      <w:kern w:val="2"/>
                    </w:rPr>
                  </w:pPr>
                </w:p>
              </w:tc>
              <w:tc>
                <w:tcPr>
                  <w:tcW w:w="391" w:type="dxa"/>
                  <w:vMerge w:val="continue"/>
                  <w:vAlign w:val="center"/>
                </w:tcPr>
                <w:p w14:paraId="4D95B3FA">
                  <w:pPr>
                    <w:keepNext w:val="0"/>
                    <w:keepLines w:val="0"/>
                    <w:widowControl/>
                    <w:suppressLineNumbers w:val="0"/>
                    <w:spacing w:before="0" w:beforeAutospacing="0" w:after="0" w:afterAutospacing="0" w:line="276" w:lineRule="auto"/>
                    <w:ind w:left="0" w:right="0"/>
                    <w:jc w:val="center"/>
                    <w:rPr>
                      <w:rFonts w:hint="default"/>
                      <w:color w:val="auto"/>
                      <w:kern w:val="2"/>
                    </w:rPr>
                  </w:pPr>
                </w:p>
              </w:tc>
              <w:tc>
                <w:tcPr>
                  <w:tcW w:w="1114" w:type="dxa"/>
                  <w:gridSpan w:val="2"/>
                  <w:vMerge w:val="continue"/>
                  <w:shd w:val="clear" w:color="auto" w:fill="auto"/>
                  <w:vAlign w:val="center"/>
                </w:tcPr>
                <w:p w14:paraId="5510C476">
                  <w:pPr>
                    <w:keepNext w:val="0"/>
                    <w:keepLines w:val="0"/>
                    <w:widowControl/>
                    <w:suppressLineNumbers w:val="0"/>
                    <w:spacing w:before="0" w:beforeAutospacing="0" w:after="0" w:afterAutospacing="0" w:line="276" w:lineRule="auto"/>
                    <w:ind w:left="0" w:right="0"/>
                    <w:jc w:val="center"/>
                    <w:rPr>
                      <w:rFonts w:hint="default"/>
                      <w:color w:val="auto"/>
                      <w:kern w:val="2"/>
                    </w:rPr>
                  </w:pPr>
                </w:p>
              </w:tc>
              <w:tc>
                <w:tcPr>
                  <w:tcW w:w="895" w:type="dxa"/>
                  <w:shd w:val="clear" w:color="auto" w:fill="auto"/>
                  <w:vAlign w:val="center"/>
                </w:tcPr>
                <w:p w14:paraId="527B4AE4">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清洗区</w:t>
                  </w:r>
                </w:p>
              </w:tc>
              <w:tc>
                <w:tcPr>
                  <w:tcW w:w="2274" w:type="dxa"/>
                  <w:vAlign w:val="center"/>
                </w:tcPr>
                <w:p w14:paraId="1311E15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主要是清洗工件表面残留的油液和机械加工碎屑。位于36#厂房北侧，建筑面积800m</w:t>
                  </w:r>
                  <w:r>
                    <w:rPr>
                      <w:rFonts w:hint="default" w:ascii="Times New Roman" w:hAnsi="Times New Roman" w:cs="Times New Roman"/>
                      <w:color w:val="auto"/>
                      <w:kern w:val="2"/>
                      <w:sz w:val="21"/>
                      <w:szCs w:val="21"/>
                      <w:vertAlign w:val="superscript"/>
                    </w:rPr>
                    <w:t>2</w:t>
                  </w:r>
                </w:p>
              </w:tc>
              <w:tc>
                <w:tcPr>
                  <w:tcW w:w="2474" w:type="dxa"/>
                  <w:vAlign w:val="center"/>
                </w:tcPr>
                <w:p w14:paraId="4BB0A07D">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w:t>
                  </w:r>
                </w:p>
              </w:tc>
              <w:tc>
                <w:tcPr>
                  <w:tcW w:w="2474" w:type="dxa"/>
                  <w:vAlign w:val="center"/>
                </w:tcPr>
                <w:p w14:paraId="131585C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主要是清洗工件表面残留的油液和机械加工碎屑。位于36#厂房北侧，建筑面积800m</w:t>
                  </w:r>
                  <w:r>
                    <w:rPr>
                      <w:rFonts w:hint="default" w:ascii="Times New Roman" w:hAnsi="Times New Roman" w:cs="Times New Roman"/>
                      <w:color w:val="auto"/>
                      <w:kern w:val="2"/>
                      <w:sz w:val="21"/>
                      <w:szCs w:val="21"/>
                      <w:vertAlign w:val="superscript"/>
                    </w:rPr>
                    <w:t>2</w:t>
                  </w:r>
                </w:p>
              </w:tc>
              <w:tc>
                <w:tcPr>
                  <w:tcW w:w="2653" w:type="dxa"/>
                  <w:vAlign w:val="center"/>
                </w:tcPr>
                <w:p w14:paraId="48D7D33A">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依托现有</w:t>
                  </w:r>
                </w:p>
              </w:tc>
            </w:tr>
            <w:tr w14:paraId="61EC07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7" w:type="dxa"/>
                  <w:vMerge w:val="continue"/>
                  <w:vAlign w:val="center"/>
                </w:tcPr>
                <w:p w14:paraId="6C91F6C3">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391" w:type="dxa"/>
                  <w:vMerge w:val="continue"/>
                  <w:vAlign w:val="center"/>
                </w:tcPr>
                <w:p w14:paraId="4DFABBFD">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1114" w:type="dxa"/>
                  <w:gridSpan w:val="2"/>
                  <w:vMerge w:val="continue"/>
                  <w:shd w:val="clear" w:color="auto" w:fill="auto"/>
                  <w:vAlign w:val="center"/>
                </w:tcPr>
                <w:p w14:paraId="4E44734C">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895" w:type="dxa"/>
                  <w:shd w:val="clear" w:color="auto" w:fill="auto"/>
                  <w:vAlign w:val="center"/>
                </w:tcPr>
                <w:p w14:paraId="0A1D0A21">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大件拆包区</w:t>
                  </w:r>
                </w:p>
              </w:tc>
              <w:tc>
                <w:tcPr>
                  <w:tcW w:w="2274" w:type="dxa"/>
                  <w:vAlign w:val="center"/>
                </w:tcPr>
                <w:p w14:paraId="6FAD60C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主要是对来料零件进行拆包、分类。位于36#厂房中部，建筑面积800m</w:t>
                  </w:r>
                  <w:r>
                    <w:rPr>
                      <w:rFonts w:hint="default" w:ascii="Times New Roman" w:hAnsi="Times New Roman" w:cs="Times New Roman"/>
                      <w:color w:val="auto"/>
                      <w:kern w:val="2"/>
                      <w:sz w:val="21"/>
                      <w:szCs w:val="21"/>
                      <w:vertAlign w:val="superscript"/>
                    </w:rPr>
                    <w:t>2</w:t>
                  </w:r>
                </w:p>
              </w:tc>
              <w:tc>
                <w:tcPr>
                  <w:tcW w:w="2474" w:type="dxa"/>
                  <w:vAlign w:val="center"/>
                </w:tcPr>
                <w:p w14:paraId="239FAE78">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w:t>
                  </w:r>
                </w:p>
              </w:tc>
              <w:tc>
                <w:tcPr>
                  <w:tcW w:w="2474" w:type="dxa"/>
                  <w:vAlign w:val="center"/>
                </w:tcPr>
                <w:p w14:paraId="4C67140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主要是对来料零件进行拆包、分类。位于36#厂房中部，建筑面积800m</w:t>
                  </w:r>
                  <w:r>
                    <w:rPr>
                      <w:rFonts w:hint="default" w:ascii="Times New Roman" w:hAnsi="Times New Roman" w:cs="Times New Roman"/>
                      <w:color w:val="auto"/>
                      <w:kern w:val="2"/>
                      <w:sz w:val="21"/>
                      <w:szCs w:val="21"/>
                      <w:vertAlign w:val="superscript"/>
                    </w:rPr>
                    <w:t>2</w:t>
                  </w:r>
                </w:p>
              </w:tc>
              <w:tc>
                <w:tcPr>
                  <w:tcW w:w="2653" w:type="dxa"/>
                  <w:vAlign w:val="center"/>
                </w:tcPr>
                <w:p w14:paraId="25878FE7">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依托现有</w:t>
                  </w:r>
                </w:p>
              </w:tc>
            </w:tr>
            <w:tr w14:paraId="0959A2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7" w:type="dxa"/>
                  <w:vMerge w:val="continue"/>
                  <w:vAlign w:val="center"/>
                </w:tcPr>
                <w:p w14:paraId="27711701">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391" w:type="dxa"/>
                  <w:vMerge w:val="continue"/>
                  <w:vAlign w:val="center"/>
                </w:tcPr>
                <w:p w14:paraId="4F48758E">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1114" w:type="dxa"/>
                  <w:gridSpan w:val="2"/>
                  <w:vMerge w:val="continue"/>
                  <w:shd w:val="clear" w:color="auto" w:fill="auto"/>
                  <w:vAlign w:val="center"/>
                </w:tcPr>
                <w:p w14:paraId="05013056">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895" w:type="dxa"/>
                  <w:shd w:val="clear" w:color="auto" w:fill="auto"/>
                  <w:vAlign w:val="center"/>
                </w:tcPr>
                <w:p w14:paraId="4D677908">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拆解（实验）室</w:t>
                  </w:r>
                </w:p>
              </w:tc>
              <w:tc>
                <w:tcPr>
                  <w:tcW w:w="2274" w:type="dxa"/>
                  <w:vAlign w:val="center"/>
                </w:tcPr>
                <w:p w14:paraId="6B277E6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负责不合格品拆解</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位于36#厂房东侧，建筑面积100m</w:t>
                  </w:r>
                  <w:r>
                    <w:rPr>
                      <w:rFonts w:hint="default" w:ascii="Times New Roman" w:hAnsi="Times New Roman" w:cs="Times New Roman"/>
                      <w:color w:val="auto"/>
                      <w:kern w:val="2"/>
                      <w:sz w:val="21"/>
                      <w:szCs w:val="21"/>
                      <w:vertAlign w:val="superscript"/>
                    </w:rPr>
                    <w:t>2</w:t>
                  </w:r>
                </w:p>
              </w:tc>
              <w:tc>
                <w:tcPr>
                  <w:tcW w:w="2474" w:type="dxa"/>
                  <w:vAlign w:val="center"/>
                </w:tcPr>
                <w:p w14:paraId="17703BF6">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w:t>
                  </w:r>
                </w:p>
              </w:tc>
              <w:tc>
                <w:tcPr>
                  <w:tcW w:w="2474" w:type="dxa"/>
                  <w:vAlign w:val="center"/>
                </w:tcPr>
                <w:p w14:paraId="0738D77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负责不合格品拆解</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位于36#厂房东侧，建筑面积100m</w:t>
                  </w:r>
                  <w:r>
                    <w:rPr>
                      <w:rFonts w:hint="default" w:ascii="Times New Roman" w:hAnsi="Times New Roman" w:cs="Times New Roman"/>
                      <w:color w:val="auto"/>
                      <w:kern w:val="2"/>
                      <w:sz w:val="21"/>
                      <w:szCs w:val="21"/>
                      <w:vertAlign w:val="superscript"/>
                    </w:rPr>
                    <w:t>2</w:t>
                  </w:r>
                </w:p>
              </w:tc>
              <w:tc>
                <w:tcPr>
                  <w:tcW w:w="2653" w:type="dxa"/>
                  <w:vAlign w:val="center"/>
                </w:tcPr>
                <w:p w14:paraId="44D3EA33">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依托现有</w:t>
                  </w:r>
                </w:p>
              </w:tc>
            </w:tr>
            <w:tr w14:paraId="6AC621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7" w:type="dxa"/>
                  <w:vMerge w:val="continue"/>
                  <w:vAlign w:val="center"/>
                </w:tcPr>
                <w:p w14:paraId="3822EAA8">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391" w:type="dxa"/>
                  <w:vMerge w:val="continue"/>
                  <w:vAlign w:val="center"/>
                </w:tcPr>
                <w:p w14:paraId="2218418B">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1114" w:type="dxa"/>
                  <w:gridSpan w:val="2"/>
                  <w:vMerge w:val="continue"/>
                  <w:shd w:val="clear" w:color="auto" w:fill="auto"/>
                  <w:vAlign w:val="center"/>
                </w:tcPr>
                <w:p w14:paraId="2EBF6A32">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895" w:type="dxa"/>
                  <w:shd w:val="clear" w:color="auto" w:fill="auto"/>
                  <w:vAlign w:val="center"/>
                </w:tcPr>
                <w:p w14:paraId="1AEAE453">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计量（实验）室</w:t>
                  </w:r>
                </w:p>
              </w:tc>
              <w:tc>
                <w:tcPr>
                  <w:tcW w:w="2274" w:type="dxa"/>
                  <w:vAlign w:val="center"/>
                </w:tcPr>
                <w:p w14:paraId="119EE28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负责产品、零件计量</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位于36#厂房东侧，建筑面积100m</w:t>
                  </w:r>
                  <w:r>
                    <w:rPr>
                      <w:rFonts w:hint="default" w:ascii="Times New Roman" w:hAnsi="Times New Roman" w:cs="Times New Roman"/>
                      <w:color w:val="auto"/>
                      <w:kern w:val="2"/>
                      <w:sz w:val="21"/>
                      <w:szCs w:val="21"/>
                      <w:vertAlign w:val="superscript"/>
                    </w:rPr>
                    <w:t>2</w:t>
                  </w:r>
                </w:p>
              </w:tc>
              <w:tc>
                <w:tcPr>
                  <w:tcW w:w="2474" w:type="dxa"/>
                  <w:vAlign w:val="center"/>
                </w:tcPr>
                <w:p w14:paraId="23262CDE">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w:t>
                  </w:r>
                </w:p>
              </w:tc>
              <w:tc>
                <w:tcPr>
                  <w:tcW w:w="2474" w:type="dxa"/>
                  <w:vAlign w:val="center"/>
                </w:tcPr>
                <w:p w14:paraId="4CC89BA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负责产品、零件计量</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位于36#厂房东侧，建筑面积100m</w:t>
                  </w:r>
                  <w:r>
                    <w:rPr>
                      <w:rFonts w:hint="default" w:ascii="Times New Roman" w:hAnsi="Times New Roman" w:cs="Times New Roman"/>
                      <w:color w:val="auto"/>
                      <w:kern w:val="2"/>
                      <w:sz w:val="21"/>
                      <w:szCs w:val="21"/>
                      <w:vertAlign w:val="superscript"/>
                    </w:rPr>
                    <w:t>2</w:t>
                  </w:r>
                </w:p>
              </w:tc>
              <w:tc>
                <w:tcPr>
                  <w:tcW w:w="2653" w:type="dxa"/>
                  <w:vAlign w:val="center"/>
                </w:tcPr>
                <w:p w14:paraId="1A4A2B1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依托现有</w:t>
                  </w:r>
                </w:p>
              </w:tc>
            </w:tr>
            <w:tr w14:paraId="3491EE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427" w:type="dxa"/>
                  <w:vMerge w:val="continue"/>
                  <w:vAlign w:val="center"/>
                </w:tcPr>
                <w:p w14:paraId="5EC0E42A">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391" w:type="dxa"/>
                  <w:vMerge w:val="continue"/>
                  <w:vAlign w:val="center"/>
                </w:tcPr>
                <w:p w14:paraId="0ED7E45A">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1114" w:type="dxa"/>
                  <w:gridSpan w:val="2"/>
                  <w:vMerge w:val="continue"/>
                  <w:shd w:val="clear" w:color="auto" w:fill="auto"/>
                  <w:vAlign w:val="center"/>
                </w:tcPr>
                <w:p w14:paraId="6F554945">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895" w:type="dxa"/>
                  <w:shd w:val="clear" w:color="auto" w:fill="auto"/>
                  <w:vAlign w:val="center"/>
                </w:tcPr>
                <w:p w14:paraId="65A78468">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检测（实验）室</w:t>
                  </w:r>
                </w:p>
              </w:tc>
              <w:tc>
                <w:tcPr>
                  <w:tcW w:w="2274" w:type="dxa"/>
                  <w:vAlign w:val="center"/>
                </w:tcPr>
                <w:p w14:paraId="6A477C5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负责</w:t>
                  </w:r>
                  <w:r>
                    <w:rPr>
                      <w:rFonts w:hint="eastAsia" w:ascii="Times New Roman" w:hAnsi="Times New Roman" w:cs="Times New Roman"/>
                      <w:color w:val="auto"/>
                      <w:kern w:val="2"/>
                      <w:sz w:val="21"/>
                      <w:szCs w:val="21"/>
                      <w:lang w:val="en-US" w:eastAsia="zh-CN"/>
                    </w:rPr>
                    <w:t>来料</w:t>
                  </w:r>
                  <w:r>
                    <w:rPr>
                      <w:rFonts w:hint="default" w:ascii="Times New Roman" w:hAnsi="Times New Roman" w:cs="Times New Roman"/>
                      <w:color w:val="auto"/>
                      <w:kern w:val="2"/>
                      <w:sz w:val="21"/>
                      <w:szCs w:val="21"/>
                    </w:rPr>
                    <w:t>检测</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位于36#厂房南侧，建筑面积100m</w:t>
                  </w:r>
                  <w:r>
                    <w:rPr>
                      <w:rFonts w:hint="default" w:ascii="Times New Roman" w:hAnsi="Times New Roman" w:cs="Times New Roman"/>
                      <w:color w:val="auto"/>
                      <w:kern w:val="2"/>
                      <w:sz w:val="21"/>
                      <w:szCs w:val="21"/>
                      <w:vertAlign w:val="superscript"/>
                    </w:rPr>
                    <w:t>2</w:t>
                  </w:r>
                </w:p>
              </w:tc>
              <w:tc>
                <w:tcPr>
                  <w:tcW w:w="2474" w:type="dxa"/>
                  <w:vAlign w:val="center"/>
                </w:tcPr>
                <w:p w14:paraId="2EB369B1">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w:t>
                  </w:r>
                </w:p>
              </w:tc>
              <w:tc>
                <w:tcPr>
                  <w:tcW w:w="2474" w:type="dxa"/>
                  <w:vAlign w:val="center"/>
                </w:tcPr>
                <w:p w14:paraId="507F10A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负责</w:t>
                  </w:r>
                  <w:r>
                    <w:rPr>
                      <w:rFonts w:hint="eastAsia" w:ascii="Times New Roman" w:hAnsi="Times New Roman" w:cs="Times New Roman"/>
                      <w:color w:val="auto"/>
                      <w:kern w:val="2"/>
                      <w:sz w:val="21"/>
                      <w:szCs w:val="21"/>
                      <w:lang w:val="en-US" w:eastAsia="zh-CN"/>
                    </w:rPr>
                    <w:t>来料</w:t>
                  </w:r>
                  <w:r>
                    <w:rPr>
                      <w:rFonts w:hint="default" w:ascii="Times New Roman" w:hAnsi="Times New Roman" w:cs="Times New Roman"/>
                      <w:color w:val="auto"/>
                      <w:kern w:val="2"/>
                      <w:sz w:val="21"/>
                      <w:szCs w:val="21"/>
                    </w:rPr>
                    <w:t>检测</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位于36#厂房南侧，建筑面积100m</w:t>
                  </w:r>
                  <w:r>
                    <w:rPr>
                      <w:rFonts w:hint="default" w:ascii="Times New Roman" w:hAnsi="Times New Roman" w:cs="Times New Roman"/>
                      <w:color w:val="auto"/>
                      <w:kern w:val="2"/>
                      <w:sz w:val="21"/>
                      <w:szCs w:val="21"/>
                      <w:vertAlign w:val="superscript"/>
                    </w:rPr>
                    <w:t>2</w:t>
                  </w:r>
                </w:p>
              </w:tc>
              <w:tc>
                <w:tcPr>
                  <w:tcW w:w="2653" w:type="dxa"/>
                  <w:vAlign w:val="center"/>
                </w:tcPr>
                <w:p w14:paraId="7D990F5B">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依托现有</w:t>
                  </w:r>
                </w:p>
              </w:tc>
            </w:tr>
            <w:tr w14:paraId="6CC9FD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27" w:type="dxa"/>
                  <w:vMerge w:val="continue"/>
                  <w:vAlign w:val="center"/>
                </w:tcPr>
                <w:p w14:paraId="236BAAB7">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391" w:type="dxa"/>
                  <w:vMerge w:val="continue"/>
                  <w:vAlign w:val="center"/>
                </w:tcPr>
                <w:p w14:paraId="3F211228">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1114" w:type="dxa"/>
                  <w:gridSpan w:val="2"/>
                  <w:vMerge w:val="restart"/>
                  <w:shd w:val="clear" w:color="auto" w:fill="auto"/>
                  <w:vAlign w:val="center"/>
                </w:tcPr>
                <w:p w14:paraId="250D98AC">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29</w:t>
                  </w:r>
                  <w:r>
                    <w:rPr>
                      <w:rFonts w:hint="default" w:ascii="Times New Roman" w:hAnsi="Times New Roman" w:cs="Times New Roman"/>
                      <w:color w:val="auto"/>
                      <w:kern w:val="2"/>
                      <w:sz w:val="21"/>
                      <w:szCs w:val="21"/>
                    </w:rPr>
                    <w:t>#</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3</w:t>
                  </w:r>
                  <w:r>
                    <w:rPr>
                      <w:rFonts w:hint="eastAsia" w:ascii="Times New Roman" w:hAnsi="Times New Roman" w:cs="Times New Roman"/>
                      <w:color w:val="auto"/>
                      <w:kern w:val="2"/>
                      <w:sz w:val="21"/>
                      <w:szCs w:val="21"/>
                    </w:rPr>
                    <w:t>2</w:t>
                  </w:r>
                  <w:r>
                    <w:rPr>
                      <w:rFonts w:hint="default" w:ascii="Times New Roman" w:hAnsi="Times New Roman" w:cs="Times New Roman"/>
                      <w:color w:val="auto"/>
                      <w:kern w:val="2"/>
                      <w:sz w:val="21"/>
                      <w:szCs w:val="21"/>
                    </w:rPr>
                    <w:t>#厂房（</w:t>
                  </w:r>
                  <w:r>
                    <w:rPr>
                      <w:rFonts w:hint="eastAsia" w:ascii="Times New Roman" w:hAnsi="Times New Roman" w:cs="Times New Roman"/>
                      <w:color w:val="auto"/>
                      <w:kern w:val="2"/>
                      <w:sz w:val="21"/>
                      <w:szCs w:val="21"/>
                      <w:lang w:val="en-US" w:eastAsia="zh-CN"/>
                    </w:rPr>
                    <w:t>钢结构厂房，8m，</w:t>
                  </w:r>
                  <w:r>
                    <w:rPr>
                      <w:rFonts w:hint="default" w:ascii="Times New Roman" w:hAnsi="Times New Roman" w:cs="Times New Roman"/>
                      <w:color w:val="auto"/>
                      <w:kern w:val="2"/>
                      <w:sz w:val="21"/>
                      <w:szCs w:val="21"/>
                    </w:rPr>
                    <w:t>1层）</w:t>
                  </w:r>
                </w:p>
              </w:tc>
              <w:tc>
                <w:tcPr>
                  <w:tcW w:w="895" w:type="dxa"/>
                  <w:shd w:val="clear" w:color="auto" w:fill="auto"/>
                  <w:vAlign w:val="center"/>
                </w:tcPr>
                <w:p w14:paraId="649C666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总装区</w:t>
                  </w:r>
                </w:p>
              </w:tc>
              <w:tc>
                <w:tcPr>
                  <w:tcW w:w="2274" w:type="dxa"/>
                  <w:vAlign w:val="center"/>
                </w:tcPr>
                <w:p w14:paraId="1E6AFFA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w:t>
                  </w:r>
                </w:p>
              </w:tc>
              <w:tc>
                <w:tcPr>
                  <w:tcW w:w="2474" w:type="dxa"/>
                  <w:vAlign w:val="center"/>
                </w:tcPr>
                <w:p w14:paraId="77EB6D3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负责轴系入壳组装、EM1、EM2转子组装、</w:t>
                  </w:r>
                  <w:r>
                    <w:rPr>
                      <w:rFonts w:hint="eastAsia" w:ascii="Times New Roman" w:hAnsi="Times New Roman" w:cs="Times New Roman"/>
                      <w:color w:val="auto"/>
                      <w:kern w:val="2"/>
                      <w:sz w:val="21"/>
                      <w:szCs w:val="21"/>
                    </w:rPr>
                    <w:t>涂胶、</w:t>
                  </w:r>
                  <w:r>
                    <w:rPr>
                      <w:rFonts w:hint="default" w:ascii="Times New Roman" w:hAnsi="Times New Roman" w:cs="Times New Roman"/>
                      <w:color w:val="auto"/>
                      <w:kern w:val="2"/>
                      <w:sz w:val="21"/>
                      <w:szCs w:val="21"/>
                    </w:rPr>
                    <w:t>变壳组装</w:t>
                  </w:r>
                  <w:r>
                    <w:rPr>
                      <w:rFonts w:hint="eastAsia" w:ascii="Times New Roman" w:hAnsi="Times New Roman" w:cs="Times New Roman"/>
                      <w:color w:val="auto"/>
                      <w:kern w:val="2"/>
                      <w:sz w:val="21"/>
                      <w:szCs w:val="21"/>
                    </w:rPr>
                    <w:t>等，</w:t>
                  </w:r>
                  <w:r>
                    <w:rPr>
                      <w:rFonts w:hint="default" w:ascii="Times New Roman" w:hAnsi="Times New Roman" w:cs="Times New Roman"/>
                      <w:color w:val="auto"/>
                      <w:kern w:val="2"/>
                      <w:sz w:val="21"/>
                      <w:szCs w:val="21"/>
                    </w:rPr>
                    <w:t>位于</w:t>
                  </w:r>
                  <w:r>
                    <w:rPr>
                      <w:rFonts w:hint="eastAsia" w:ascii="Times New Roman" w:hAnsi="Times New Roman" w:cs="Times New Roman"/>
                      <w:color w:val="auto"/>
                      <w:kern w:val="2"/>
                      <w:sz w:val="21"/>
                      <w:szCs w:val="21"/>
                    </w:rPr>
                    <w:t>29#-32#</w:t>
                  </w:r>
                  <w:r>
                    <w:rPr>
                      <w:rFonts w:hint="default" w:ascii="Times New Roman" w:hAnsi="Times New Roman" w:cs="Times New Roman"/>
                      <w:color w:val="auto"/>
                      <w:kern w:val="2"/>
                      <w:sz w:val="21"/>
                      <w:szCs w:val="21"/>
                    </w:rPr>
                    <w:t>厂房北</w:t>
                  </w:r>
                  <w:r>
                    <w:rPr>
                      <w:rFonts w:hint="eastAsia" w:ascii="Times New Roman" w:hAnsi="Times New Roman" w:cs="Times New Roman"/>
                      <w:color w:val="auto"/>
                      <w:kern w:val="2"/>
                      <w:sz w:val="21"/>
                      <w:szCs w:val="21"/>
                    </w:rPr>
                    <w:t>部</w:t>
                  </w:r>
                  <w:r>
                    <w:rPr>
                      <w:rFonts w:hint="default" w:ascii="Times New Roman" w:hAnsi="Times New Roman" w:cs="Times New Roman"/>
                      <w:color w:val="auto"/>
                      <w:kern w:val="2"/>
                      <w:sz w:val="21"/>
                      <w:szCs w:val="21"/>
                    </w:rPr>
                    <w:t>，建筑面积2</w:t>
                  </w:r>
                  <w:r>
                    <w:rPr>
                      <w:rFonts w:hint="eastAsia" w:ascii="Times New Roman" w:hAnsi="Times New Roman" w:cs="Times New Roman"/>
                      <w:color w:val="auto"/>
                      <w:kern w:val="2"/>
                      <w:sz w:val="21"/>
                      <w:szCs w:val="21"/>
                    </w:rPr>
                    <w:t>2</w:t>
                  </w:r>
                  <w:r>
                    <w:rPr>
                      <w:rFonts w:hint="default" w:ascii="Times New Roman" w:hAnsi="Times New Roman" w:cs="Times New Roman"/>
                      <w:color w:val="auto"/>
                      <w:kern w:val="2"/>
                      <w:sz w:val="21"/>
                      <w:szCs w:val="21"/>
                    </w:rPr>
                    <w:t>00m</w:t>
                  </w:r>
                  <w:r>
                    <w:rPr>
                      <w:rFonts w:hint="default" w:ascii="Times New Roman" w:hAnsi="Times New Roman" w:cs="Times New Roman"/>
                      <w:color w:val="auto"/>
                      <w:kern w:val="2"/>
                      <w:sz w:val="21"/>
                      <w:szCs w:val="21"/>
                      <w:vertAlign w:val="superscript"/>
                    </w:rPr>
                    <w:t>2</w:t>
                  </w:r>
                  <w:r>
                    <w:rPr>
                      <w:rFonts w:hint="eastAsia" w:ascii="Times New Roman" w:hAnsi="Times New Roman" w:cs="Times New Roman"/>
                      <w:color w:val="auto"/>
                      <w:kern w:val="2"/>
                      <w:sz w:val="21"/>
                      <w:szCs w:val="21"/>
                      <w:vertAlign w:val="baseline"/>
                      <w:lang w:eastAsia="zh-CN"/>
                    </w:rPr>
                    <w:t>，</w:t>
                  </w:r>
                  <w:r>
                    <w:rPr>
                      <w:rFonts w:hint="eastAsia" w:ascii="Times New Roman" w:hAnsi="Times New Roman" w:cs="Times New Roman"/>
                      <w:color w:val="auto"/>
                      <w:kern w:val="2"/>
                      <w:sz w:val="21"/>
                      <w:szCs w:val="21"/>
                      <w:vertAlign w:val="baseline"/>
                      <w:lang w:val="en-US" w:eastAsia="zh-CN"/>
                    </w:rPr>
                    <w:t>建设完成后形成</w:t>
                  </w:r>
                  <w:r>
                    <w:rPr>
                      <w:rFonts w:hint="eastAsia" w:ascii="Times New Roman" w:hAnsi="Times New Roman" w:cs="Times New Roman"/>
                      <w:color w:val="auto"/>
                      <w:kern w:val="2"/>
                      <w:sz w:val="21"/>
                      <w:szCs w:val="21"/>
                      <w:vertAlign w:val="baseline"/>
                      <w:lang w:eastAsia="zh-CN"/>
                    </w:rPr>
                    <w:t>年产</w:t>
                  </w:r>
                  <w:r>
                    <w:rPr>
                      <w:rFonts w:hint="eastAsia" w:ascii="Times New Roman" w:cs="Times New Roman"/>
                      <w:color w:val="auto"/>
                      <w:kern w:val="2"/>
                      <w:sz w:val="21"/>
                      <w:szCs w:val="21"/>
                    </w:rPr>
                    <w:t>P1+P3构型混动变速箱</w:t>
                  </w:r>
                  <w:r>
                    <w:rPr>
                      <w:rFonts w:hint="eastAsia" w:ascii="Times New Roman" w:hAnsi="Times New Roman" w:cs="Times New Roman"/>
                      <w:color w:val="auto"/>
                      <w:kern w:val="2"/>
                      <w:sz w:val="21"/>
                      <w:szCs w:val="21"/>
                      <w:vertAlign w:val="baseline"/>
                      <w:lang w:val="en-US" w:eastAsia="zh-CN"/>
                    </w:rPr>
                    <w:t>5</w:t>
                  </w:r>
                  <w:r>
                    <w:rPr>
                      <w:rFonts w:hint="eastAsia" w:ascii="Times New Roman" w:hAnsi="Times New Roman" w:cs="Times New Roman"/>
                      <w:color w:val="auto"/>
                      <w:kern w:val="2"/>
                      <w:sz w:val="21"/>
                      <w:szCs w:val="21"/>
                      <w:vertAlign w:val="baseline"/>
                      <w:lang w:eastAsia="zh-CN"/>
                    </w:rPr>
                    <w:t>万套的</w:t>
                  </w:r>
                  <w:r>
                    <w:rPr>
                      <w:rFonts w:hint="eastAsia" w:ascii="Times New Roman" w:hAnsi="Times New Roman" w:cs="Times New Roman"/>
                      <w:color w:val="auto"/>
                      <w:kern w:val="2"/>
                      <w:sz w:val="21"/>
                      <w:szCs w:val="21"/>
                      <w:vertAlign w:val="baseline"/>
                      <w:lang w:val="en-US" w:eastAsia="zh-CN"/>
                    </w:rPr>
                    <w:t>生产能力</w:t>
                  </w:r>
                </w:p>
              </w:tc>
              <w:tc>
                <w:tcPr>
                  <w:tcW w:w="2474" w:type="dxa"/>
                  <w:vAlign w:val="center"/>
                </w:tcPr>
                <w:p w14:paraId="7E04907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负责轴系入壳组装、EM1、EM2转子组装、</w:t>
                  </w:r>
                  <w:r>
                    <w:rPr>
                      <w:rFonts w:hint="eastAsia" w:ascii="Times New Roman" w:hAnsi="Times New Roman" w:cs="Times New Roman"/>
                      <w:color w:val="auto"/>
                      <w:kern w:val="2"/>
                      <w:sz w:val="21"/>
                      <w:szCs w:val="21"/>
                    </w:rPr>
                    <w:t>涂胶、</w:t>
                  </w:r>
                  <w:r>
                    <w:rPr>
                      <w:rFonts w:hint="default" w:ascii="Times New Roman" w:hAnsi="Times New Roman" w:cs="Times New Roman"/>
                      <w:color w:val="auto"/>
                      <w:kern w:val="2"/>
                      <w:sz w:val="21"/>
                      <w:szCs w:val="21"/>
                    </w:rPr>
                    <w:t>变壳组装</w:t>
                  </w:r>
                  <w:r>
                    <w:rPr>
                      <w:rFonts w:hint="eastAsia" w:ascii="Times New Roman" w:hAnsi="Times New Roman" w:cs="Times New Roman"/>
                      <w:color w:val="auto"/>
                      <w:kern w:val="2"/>
                      <w:sz w:val="21"/>
                      <w:szCs w:val="21"/>
                    </w:rPr>
                    <w:t>等，</w:t>
                  </w:r>
                  <w:r>
                    <w:rPr>
                      <w:rFonts w:hint="default" w:ascii="Times New Roman" w:hAnsi="Times New Roman" w:cs="Times New Roman"/>
                      <w:color w:val="auto"/>
                      <w:kern w:val="2"/>
                      <w:sz w:val="21"/>
                      <w:szCs w:val="21"/>
                    </w:rPr>
                    <w:t>位于</w:t>
                  </w:r>
                  <w:r>
                    <w:rPr>
                      <w:rFonts w:hint="eastAsia" w:ascii="Times New Roman" w:hAnsi="Times New Roman" w:cs="Times New Roman"/>
                      <w:color w:val="auto"/>
                      <w:kern w:val="2"/>
                      <w:sz w:val="21"/>
                      <w:szCs w:val="21"/>
                    </w:rPr>
                    <w:t>29#-32#</w:t>
                  </w:r>
                  <w:r>
                    <w:rPr>
                      <w:rFonts w:hint="default" w:ascii="Times New Roman" w:hAnsi="Times New Roman" w:cs="Times New Roman"/>
                      <w:color w:val="auto"/>
                      <w:kern w:val="2"/>
                      <w:sz w:val="21"/>
                      <w:szCs w:val="21"/>
                    </w:rPr>
                    <w:t>厂房北</w:t>
                  </w:r>
                  <w:r>
                    <w:rPr>
                      <w:rFonts w:hint="eastAsia" w:ascii="Times New Roman" w:hAnsi="Times New Roman" w:cs="Times New Roman"/>
                      <w:color w:val="auto"/>
                      <w:kern w:val="2"/>
                      <w:sz w:val="21"/>
                      <w:szCs w:val="21"/>
                    </w:rPr>
                    <w:t>部</w:t>
                  </w:r>
                  <w:r>
                    <w:rPr>
                      <w:rFonts w:hint="default" w:ascii="Times New Roman" w:hAnsi="Times New Roman" w:cs="Times New Roman"/>
                      <w:color w:val="auto"/>
                      <w:kern w:val="2"/>
                      <w:sz w:val="21"/>
                      <w:szCs w:val="21"/>
                    </w:rPr>
                    <w:t>，建筑面积2</w:t>
                  </w:r>
                  <w:r>
                    <w:rPr>
                      <w:rFonts w:hint="eastAsia" w:ascii="Times New Roman" w:hAnsi="Times New Roman" w:cs="Times New Roman"/>
                      <w:color w:val="auto"/>
                      <w:kern w:val="2"/>
                      <w:sz w:val="21"/>
                      <w:szCs w:val="21"/>
                    </w:rPr>
                    <w:t>2</w:t>
                  </w:r>
                  <w:r>
                    <w:rPr>
                      <w:rFonts w:hint="default" w:ascii="Times New Roman" w:hAnsi="Times New Roman" w:cs="Times New Roman"/>
                      <w:color w:val="auto"/>
                      <w:kern w:val="2"/>
                      <w:sz w:val="21"/>
                      <w:szCs w:val="21"/>
                    </w:rPr>
                    <w:t>00m</w:t>
                  </w:r>
                  <w:r>
                    <w:rPr>
                      <w:rFonts w:hint="default" w:ascii="Times New Roman" w:hAnsi="Times New Roman" w:cs="Times New Roman"/>
                      <w:color w:val="auto"/>
                      <w:kern w:val="2"/>
                      <w:sz w:val="21"/>
                      <w:szCs w:val="21"/>
                      <w:vertAlign w:val="superscript"/>
                    </w:rPr>
                    <w:t>2</w:t>
                  </w:r>
                  <w:r>
                    <w:rPr>
                      <w:rFonts w:hint="eastAsia" w:ascii="Times New Roman" w:hAnsi="Times New Roman" w:cs="Times New Roman"/>
                      <w:color w:val="auto"/>
                      <w:kern w:val="2"/>
                      <w:sz w:val="21"/>
                      <w:szCs w:val="21"/>
                      <w:vertAlign w:val="baseline"/>
                      <w:lang w:eastAsia="zh-CN"/>
                    </w:rPr>
                    <w:t>，</w:t>
                  </w:r>
                  <w:r>
                    <w:rPr>
                      <w:rFonts w:hint="eastAsia" w:ascii="Times New Roman" w:hAnsi="Times New Roman" w:cs="Times New Roman"/>
                      <w:color w:val="auto"/>
                      <w:kern w:val="2"/>
                      <w:sz w:val="21"/>
                      <w:szCs w:val="21"/>
                      <w:vertAlign w:val="baseline"/>
                      <w:lang w:val="en-US" w:eastAsia="zh-CN"/>
                    </w:rPr>
                    <w:t>建设完成后形成</w:t>
                  </w:r>
                  <w:r>
                    <w:rPr>
                      <w:rFonts w:hint="eastAsia" w:ascii="Times New Roman" w:hAnsi="Times New Roman" w:cs="Times New Roman"/>
                      <w:color w:val="auto"/>
                      <w:kern w:val="2"/>
                      <w:sz w:val="21"/>
                      <w:szCs w:val="21"/>
                      <w:vertAlign w:val="baseline"/>
                      <w:lang w:eastAsia="zh-CN"/>
                    </w:rPr>
                    <w:t>年产</w:t>
                  </w:r>
                  <w:r>
                    <w:rPr>
                      <w:rFonts w:hint="eastAsia" w:ascii="Times New Roman" w:cs="Times New Roman"/>
                      <w:color w:val="auto"/>
                      <w:kern w:val="2"/>
                      <w:sz w:val="21"/>
                      <w:szCs w:val="21"/>
                    </w:rPr>
                    <w:t>P1+P3构型混动变速箱</w:t>
                  </w:r>
                  <w:r>
                    <w:rPr>
                      <w:rFonts w:hint="eastAsia" w:ascii="Times New Roman" w:cs="Times New Roman"/>
                      <w:color w:val="auto"/>
                      <w:kern w:val="2"/>
                      <w:sz w:val="21"/>
                      <w:szCs w:val="21"/>
                      <w:lang w:val="en-US" w:eastAsia="zh-CN"/>
                    </w:rPr>
                    <w:t>5</w:t>
                  </w:r>
                  <w:r>
                    <w:rPr>
                      <w:rFonts w:hint="eastAsia" w:ascii="Times New Roman" w:hAnsi="Times New Roman" w:cs="Times New Roman"/>
                      <w:color w:val="auto"/>
                      <w:kern w:val="2"/>
                      <w:sz w:val="21"/>
                      <w:szCs w:val="21"/>
                      <w:vertAlign w:val="baseline"/>
                      <w:lang w:eastAsia="zh-CN"/>
                    </w:rPr>
                    <w:t>万套的</w:t>
                  </w:r>
                  <w:r>
                    <w:rPr>
                      <w:rFonts w:hint="eastAsia" w:ascii="Times New Roman" w:hAnsi="Times New Roman" w:cs="Times New Roman"/>
                      <w:color w:val="auto"/>
                      <w:kern w:val="2"/>
                      <w:sz w:val="21"/>
                      <w:szCs w:val="21"/>
                      <w:vertAlign w:val="baseline"/>
                      <w:lang w:val="en-US" w:eastAsia="zh-CN"/>
                    </w:rPr>
                    <w:t>生产能力</w:t>
                  </w:r>
                </w:p>
              </w:tc>
              <w:tc>
                <w:tcPr>
                  <w:tcW w:w="2653" w:type="dxa"/>
                  <w:vAlign w:val="center"/>
                </w:tcPr>
                <w:p w14:paraId="701FA68B">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w:t>
                  </w:r>
                </w:p>
              </w:tc>
            </w:tr>
            <w:tr w14:paraId="4A12D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27" w:type="dxa"/>
                  <w:vMerge w:val="continue"/>
                  <w:vAlign w:val="center"/>
                </w:tcPr>
                <w:p w14:paraId="6808BF65">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391" w:type="dxa"/>
                  <w:vMerge w:val="continue"/>
                  <w:vAlign w:val="center"/>
                </w:tcPr>
                <w:p w14:paraId="2270FF4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1114" w:type="dxa"/>
                  <w:gridSpan w:val="2"/>
                  <w:vMerge w:val="continue"/>
                  <w:shd w:val="clear" w:color="auto" w:fill="auto"/>
                  <w:vAlign w:val="center"/>
                </w:tcPr>
                <w:p w14:paraId="6CA5EA4B">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895" w:type="dxa"/>
                  <w:shd w:val="clear" w:color="auto" w:fill="auto"/>
                  <w:vAlign w:val="center"/>
                </w:tcPr>
                <w:p w14:paraId="0C78DF6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1#</w:t>
                  </w:r>
                  <w:r>
                    <w:rPr>
                      <w:rFonts w:hint="eastAsia" w:ascii="Times New Roman" w:hAnsi="Times New Roman" w:cs="Times New Roman"/>
                      <w:color w:val="auto"/>
                      <w:kern w:val="2"/>
                      <w:sz w:val="21"/>
                      <w:szCs w:val="21"/>
                    </w:rPr>
                    <w:t>分装</w:t>
                  </w:r>
                  <w:r>
                    <w:rPr>
                      <w:rFonts w:hint="default" w:ascii="Times New Roman" w:hAnsi="Times New Roman" w:cs="Times New Roman"/>
                      <w:color w:val="auto"/>
                      <w:kern w:val="2"/>
                      <w:sz w:val="21"/>
                      <w:szCs w:val="21"/>
                    </w:rPr>
                    <w:t>区</w:t>
                  </w:r>
                </w:p>
              </w:tc>
              <w:tc>
                <w:tcPr>
                  <w:tcW w:w="2274" w:type="dxa"/>
                  <w:shd w:val="clear" w:color="auto" w:fill="auto"/>
                  <w:vAlign w:val="center"/>
                </w:tcPr>
                <w:p w14:paraId="3DB91D40">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bCs/>
                      <w:color w:val="auto"/>
                      <w:kern w:val="2"/>
                      <w:sz w:val="21"/>
                      <w:szCs w:val="21"/>
                      <w:lang w:val="en-US" w:eastAsia="zh-CN"/>
                    </w:rPr>
                  </w:pPr>
                  <w:r>
                    <w:rPr>
                      <w:rFonts w:hint="eastAsia" w:ascii="Times New Roman" w:hAnsi="Times New Roman" w:cs="Times New Roman"/>
                      <w:bCs/>
                      <w:color w:val="auto"/>
                      <w:kern w:val="2"/>
                      <w:sz w:val="21"/>
                      <w:szCs w:val="21"/>
                      <w:lang w:val="en-US" w:eastAsia="zh-CN"/>
                    </w:rPr>
                    <w:t>/</w:t>
                  </w:r>
                </w:p>
              </w:tc>
              <w:tc>
                <w:tcPr>
                  <w:tcW w:w="2474" w:type="dxa"/>
                  <w:vAlign w:val="center"/>
                </w:tcPr>
                <w:p w14:paraId="59B357A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负责</w:t>
                  </w:r>
                  <w:r>
                    <w:rPr>
                      <w:rFonts w:hint="eastAsia" w:ascii="Times New Roman" w:hAnsi="Times New Roman" w:cs="Times New Roman"/>
                      <w:color w:val="auto"/>
                      <w:kern w:val="2"/>
                      <w:sz w:val="21"/>
                      <w:szCs w:val="21"/>
                    </w:rPr>
                    <w:t>变壳、后盖、</w:t>
                  </w:r>
                  <w:r>
                    <w:rPr>
                      <w:rFonts w:hint="default" w:ascii="Times New Roman" w:hAnsi="Times New Roman" w:cs="Times New Roman"/>
                      <w:color w:val="auto"/>
                      <w:kern w:val="2"/>
                      <w:sz w:val="21"/>
                      <w:szCs w:val="21"/>
                    </w:rPr>
                    <w:t>EM1、EM2转子</w:t>
                  </w:r>
                  <w:r>
                    <w:rPr>
                      <w:rFonts w:hint="eastAsia" w:ascii="Times New Roman" w:hAnsi="Times New Roman" w:cs="Times New Roman"/>
                      <w:color w:val="auto"/>
                      <w:kern w:val="2"/>
                      <w:sz w:val="21"/>
                      <w:szCs w:val="21"/>
                    </w:rPr>
                    <w:t>分装，</w:t>
                  </w:r>
                  <w:r>
                    <w:rPr>
                      <w:rFonts w:hint="default" w:ascii="Times New Roman" w:hAnsi="Times New Roman" w:cs="Times New Roman"/>
                      <w:color w:val="auto"/>
                      <w:kern w:val="2"/>
                      <w:sz w:val="21"/>
                      <w:szCs w:val="21"/>
                    </w:rPr>
                    <w:t>位于</w:t>
                  </w:r>
                  <w:r>
                    <w:rPr>
                      <w:rFonts w:hint="eastAsia" w:ascii="Times New Roman" w:hAnsi="Times New Roman" w:cs="Times New Roman"/>
                      <w:color w:val="auto"/>
                      <w:kern w:val="2"/>
                      <w:sz w:val="21"/>
                      <w:szCs w:val="21"/>
                    </w:rPr>
                    <w:t>29#-32#</w:t>
                  </w:r>
                  <w:r>
                    <w:rPr>
                      <w:rFonts w:hint="default" w:ascii="Times New Roman" w:hAnsi="Times New Roman" w:cs="Times New Roman"/>
                      <w:color w:val="auto"/>
                      <w:kern w:val="2"/>
                      <w:sz w:val="21"/>
                      <w:szCs w:val="21"/>
                    </w:rPr>
                    <w:t>厂房中部，建筑面积</w:t>
                  </w:r>
                  <w:r>
                    <w:rPr>
                      <w:rFonts w:hint="eastAsia" w:ascii="Times New Roman" w:hAnsi="Times New Roman" w:cs="Times New Roman"/>
                      <w:color w:val="auto"/>
                      <w:kern w:val="2"/>
                      <w:sz w:val="21"/>
                      <w:szCs w:val="21"/>
                      <w:lang w:val="en-US" w:eastAsia="zh-CN"/>
                    </w:rPr>
                    <w:t>1</w:t>
                  </w:r>
                  <w:r>
                    <w:rPr>
                      <w:rFonts w:hint="default" w:ascii="Times New Roman" w:hAnsi="Times New Roman" w:cs="Times New Roman"/>
                      <w:color w:val="auto"/>
                      <w:kern w:val="2"/>
                      <w:sz w:val="21"/>
                      <w:szCs w:val="21"/>
                    </w:rPr>
                    <w:t>000m</w:t>
                  </w:r>
                  <w:r>
                    <w:rPr>
                      <w:rFonts w:hint="default" w:ascii="Times New Roman" w:hAnsi="Times New Roman" w:cs="Times New Roman"/>
                      <w:color w:val="auto"/>
                      <w:kern w:val="2"/>
                      <w:sz w:val="21"/>
                      <w:szCs w:val="21"/>
                      <w:vertAlign w:val="superscript"/>
                    </w:rPr>
                    <w:t>2</w:t>
                  </w:r>
                </w:p>
              </w:tc>
              <w:tc>
                <w:tcPr>
                  <w:tcW w:w="2474" w:type="dxa"/>
                  <w:vAlign w:val="center"/>
                </w:tcPr>
                <w:p w14:paraId="60F3A65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负责</w:t>
                  </w:r>
                  <w:r>
                    <w:rPr>
                      <w:rFonts w:hint="eastAsia" w:ascii="Times New Roman" w:hAnsi="Times New Roman" w:cs="Times New Roman"/>
                      <w:color w:val="auto"/>
                      <w:kern w:val="2"/>
                      <w:sz w:val="21"/>
                      <w:szCs w:val="21"/>
                    </w:rPr>
                    <w:t>变壳、后盖、</w:t>
                  </w:r>
                  <w:r>
                    <w:rPr>
                      <w:rFonts w:hint="default" w:ascii="Times New Roman" w:hAnsi="Times New Roman" w:cs="Times New Roman"/>
                      <w:color w:val="auto"/>
                      <w:kern w:val="2"/>
                      <w:sz w:val="21"/>
                      <w:szCs w:val="21"/>
                    </w:rPr>
                    <w:t>EM1、EM2转子</w:t>
                  </w:r>
                  <w:r>
                    <w:rPr>
                      <w:rFonts w:hint="eastAsia" w:ascii="Times New Roman" w:hAnsi="Times New Roman" w:cs="Times New Roman"/>
                      <w:color w:val="auto"/>
                      <w:kern w:val="2"/>
                      <w:sz w:val="21"/>
                      <w:szCs w:val="21"/>
                    </w:rPr>
                    <w:t>分装，</w:t>
                  </w:r>
                  <w:r>
                    <w:rPr>
                      <w:rFonts w:hint="default" w:ascii="Times New Roman" w:hAnsi="Times New Roman" w:cs="Times New Roman"/>
                      <w:color w:val="auto"/>
                      <w:kern w:val="2"/>
                      <w:sz w:val="21"/>
                      <w:szCs w:val="21"/>
                    </w:rPr>
                    <w:t>位于</w:t>
                  </w:r>
                  <w:r>
                    <w:rPr>
                      <w:rFonts w:hint="eastAsia" w:ascii="Times New Roman" w:hAnsi="Times New Roman" w:cs="Times New Roman"/>
                      <w:color w:val="auto"/>
                      <w:kern w:val="2"/>
                      <w:sz w:val="21"/>
                      <w:szCs w:val="21"/>
                    </w:rPr>
                    <w:t>29#-32#</w:t>
                  </w:r>
                  <w:r>
                    <w:rPr>
                      <w:rFonts w:hint="default" w:ascii="Times New Roman" w:hAnsi="Times New Roman" w:cs="Times New Roman"/>
                      <w:color w:val="auto"/>
                      <w:kern w:val="2"/>
                      <w:sz w:val="21"/>
                      <w:szCs w:val="21"/>
                    </w:rPr>
                    <w:t>厂房中部，建筑面积</w:t>
                  </w:r>
                  <w:r>
                    <w:rPr>
                      <w:rFonts w:hint="eastAsia" w:ascii="Times New Roman" w:hAnsi="Times New Roman" w:cs="Times New Roman"/>
                      <w:color w:val="auto"/>
                      <w:kern w:val="2"/>
                      <w:sz w:val="21"/>
                      <w:szCs w:val="21"/>
                      <w:lang w:val="en-US" w:eastAsia="zh-CN"/>
                    </w:rPr>
                    <w:t>1</w:t>
                  </w:r>
                  <w:r>
                    <w:rPr>
                      <w:rFonts w:hint="default" w:ascii="Times New Roman" w:hAnsi="Times New Roman" w:cs="Times New Roman"/>
                      <w:color w:val="auto"/>
                      <w:kern w:val="2"/>
                      <w:sz w:val="21"/>
                      <w:szCs w:val="21"/>
                    </w:rPr>
                    <w:t>000m</w:t>
                  </w:r>
                  <w:r>
                    <w:rPr>
                      <w:rFonts w:hint="default" w:ascii="Times New Roman" w:hAnsi="Times New Roman" w:cs="Times New Roman"/>
                      <w:color w:val="auto"/>
                      <w:kern w:val="2"/>
                      <w:sz w:val="21"/>
                      <w:szCs w:val="21"/>
                      <w:vertAlign w:val="superscript"/>
                    </w:rPr>
                    <w:t>2</w:t>
                  </w:r>
                </w:p>
              </w:tc>
              <w:tc>
                <w:tcPr>
                  <w:tcW w:w="2653" w:type="dxa"/>
                  <w:vAlign w:val="center"/>
                </w:tcPr>
                <w:p w14:paraId="193DA8EC">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w:t>
                  </w:r>
                </w:p>
              </w:tc>
            </w:tr>
            <w:tr w14:paraId="3D23DF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27" w:type="dxa"/>
                  <w:vMerge w:val="continue"/>
                  <w:vAlign w:val="center"/>
                </w:tcPr>
                <w:p w14:paraId="71EDF76D">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391" w:type="dxa"/>
                  <w:vMerge w:val="continue"/>
                  <w:vAlign w:val="center"/>
                </w:tcPr>
                <w:p w14:paraId="4C3B98F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1114" w:type="dxa"/>
                  <w:gridSpan w:val="2"/>
                  <w:vMerge w:val="continue"/>
                  <w:shd w:val="clear" w:color="auto" w:fill="auto"/>
                  <w:vAlign w:val="center"/>
                </w:tcPr>
                <w:p w14:paraId="4D4A8E76">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895" w:type="dxa"/>
                  <w:shd w:val="clear" w:color="auto" w:fill="auto"/>
                  <w:vAlign w:val="center"/>
                </w:tcPr>
                <w:p w14:paraId="32DA6602">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rPr>
                    <w:t>2#</w:t>
                  </w:r>
                  <w:r>
                    <w:rPr>
                      <w:rFonts w:hint="eastAsia" w:ascii="Times New Roman" w:hAnsi="Times New Roman" w:cs="Times New Roman"/>
                      <w:color w:val="auto"/>
                      <w:kern w:val="2"/>
                      <w:sz w:val="21"/>
                      <w:szCs w:val="21"/>
                    </w:rPr>
                    <w:t>分装</w:t>
                  </w:r>
                  <w:r>
                    <w:rPr>
                      <w:rFonts w:hint="default" w:ascii="Times New Roman" w:hAnsi="Times New Roman" w:cs="Times New Roman"/>
                      <w:color w:val="auto"/>
                      <w:kern w:val="2"/>
                      <w:sz w:val="21"/>
                      <w:szCs w:val="21"/>
                    </w:rPr>
                    <w:t>区</w:t>
                  </w:r>
                </w:p>
              </w:tc>
              <w:tc>
                <w:tcPr>
                  <w:tcW w:w="2274" w:type="dxa"/>
                  <w:shd w:val="clear" w:color="auto" w:fill="auto"/>
                  <w:vAlign w:val="center"/>
                </w:tcPr>
                <w:p w14:paraId="788E03E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w:t>
                  </w:r>
                </w:p>
              </w:tc>
              <w:tc>
                <w:tcPr>
                  <w:tcW w:w="2474" w:type="dxa"/>
                  <w:shd w:val="clear" w:color="auto" w:fill="auto"/>
                  <w:vAlign w:val="center"/>
                </w:tcPr>
                <w:p w14:paraId="5F75426D">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负责</w:t>
                  </w:r>
                  <w:r>
                    <w:rPr>
                      <w:rFonts w:hint="eastAsia" w:ascii="Times New Roman" w:hAnsi="Times New Roman" w:cs="Times New Roman"/>
                      <w:color w:val="auto"/>
                      <w:kern w:val="2"/>
                      <w:sz w:val="21"/>
                      <w:szCs w:val="21"/>
                    </w:rPr>
                    <w:t>离壳分装、</w:t>
                  </w:r>
                  <w:r>
                    <w:rPr>
                      <w:rFonts w:hint="default" w:ascii="Times New Roman" w:hAnsi="Times New Roman" w:cs="Times New Roman"/>
                      <w:color w:val="auto"/>
                      <w:kern w:val="2"/>
                      <w:sz w:val="21"/>
                      <w:szCs w:val="21"/>
                    </w:rPr>
                    <w:t>EM1、EM2</w:t>
                  </w:r>
                  <w:r>
                    <w:rPr>
                      <w:rFonts w:hint="eastAsia" w:ascii="Times New Roman" w:hAnsi="Times New Roman" w:cs="Times New Roman"/>
                      <w:color w:val="auto"/>
                      <w:kern w:val="2"/>
                      <w:sz w:val="21"/>
                      <w:szCs w:val="21"/>
                    </w:rPr>
                    <w:t>驱动轴、输入轴、差速器、电驱动输出轴分装，</w:t>
                  </w:r>
                  <w:r>
                    <w:rPr>
                      <w:rFonts w:hint="default" w:ascii="Times New Roman" w:hAnsi="Times New Roman" w:cs="Times New Roman"/>
                      <w:color w:val="auto"/>
                      <w:kern w:val="2"/>
                      <w:sz w:val="21"/>
                      <w:szCs w:val="21"/>
                    </w:rPr>
                    <w:t>位于</w:t>
                  </w:r>
                  <w:r>
                    <w:rPr>
                      <w:rFonts w:hint="eastAsia" w:ascii="Times New Roman" w:hAnsi="Times New Roman" w:cs="Times New Roman"/>
                      <w:color w:val="auto"/>
                      <w:kern w:val="2"/>
                      <w:sz w:val="21"/>
                      <w:szCs w:val="21"/>
                    </w:rPr>
                    <w:t>29#-32#</w:t>
                  </w:r>
                  <w:r>
                    <w:rPr>
                      <w:rFonts w:hint="default" w:ascii="Times New Roman" w:hAnsi="Times New Roman" w:cs="Times New Roman"/>
                      <w:color w:val="auto"/>
                      <w:kern w:val="2"/>
                      <w:sz w:val="21"/>
                      <w:szCs w:val="21"/>
                    </w:rPr>
                    <w:t>厂房中部，建筑面积</w:t>
                  </w:r>
                  <w:r>
                    <w:rPr>
                      <w:rFonts w:hint="eastAsia" w:ascii="Times New Roman" w:hAnsi="Times New Roman" w:cs="Times New Roman"/>
                      <w:color w:val="auto"/>
                      <w:kern w:val="2"/>
                      <w:sz w:val="21"/>
                      <w:szCs w:val="21"/>
                      <w:lang w:val="en-US" w:eastAsia="zh-CN"/>
                    </w:rPr>
                    <w:t>1</w:t>
                  </w:r>
                  <w:r>
                    <w:rPr>
                      <w:rFonts w:hint="default" w:ascii="Times New Roman" w:hAnsi="Times New Roman" w:cs="Times New Roman"/>
                      <w:color w:val="auto"/>
                      <w:kern w:val="2"/>
                      <w:sz w:val="21"/>
                      <w:szCs w:val="21"/>
                    </w:rPr>
                    <w:t>000m</w:t>
                  </w:r>
                  <w:r>
                    <w:rPr>
                      <w:rFonts w:hint="default" w:ascii="Times New Roman" w:hAnsi="Times New Roman" w:cs="Times New Roman"/>
                      <w:color w:val="auto"/>
                      <w:kern w:val="2"/>
                      <w:sz w:val="21"/>
                      <w:szCs w:val="21"/>
                      <w:vertAlign w:val="superscript"/>
                    </w:rPr>
                    <w:t>2</w:t>
                  </w:r>
                </w:p>
              </w:tc>
              <w:tc>
                <w:tcPr>
                  <w:tcW w:w="2474" w:type="dxa"/>
                  <w:shd w:val="clear" w:color="auto" w:fill="auto"/>
                  <w:vAlign w:val="center"/>
                </w:tcPr>
                <w:p w14:paraId="0A3A9B5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负责</w:t>
                  </w:r>
                  <w:r>
                    <w:rPr>
                      <w:rFonts w:hint="eastAsia" w:ascii="Times New Roman" w:hAnsi="Times New Roman" w:cs="Times New Roman"/>
                      <w:color w:val="auto"/>
                      <w:kern w:val="2"/>
                      <w:sz w:val="21"/>
                      <w:szCs w:val="21"/>
                    </w:rPr>
                    <w:t>离壳分装、</w:t>
                  </w:r>
                  <w:r>
                    <w:rPr>
                      <w:rFonts w:hint="default" w:ascii="Times New Roman" w:hAnsi="Times New Roman" w:cs="Times New Roman"/>
                      <w:color w:val="auto"/>
                      <w:kern w:val="2"/>
                      <w:sz w:val="21"/>
                      <w:szCs w:val="21"/>
                    </w:rPr>
                    <w:t>EM1、EM2</w:t>
                  </w:r>
                  <w:r>
                    <w:rPr>
                      <w:rFonts w:hint="eastAsia" w:ascii="Times New Roman" w:hAnsi="Times New Roman" w:cs="Times New Roman"/>
                      <w:color w:val="auto"/>
                      <w:kern w:val="2"/>
                      <w:sz w:val="21"/>
                      <w:szCs w:val="21"/>
                    </w:rPr>
                    <w:t>驱动轴、输入轴、差速器、电驱动输出轴分装，</w:t>
                  </w:r>
                  <w:r>
                    <w:rPr>
                      <w:rFonts w:hint="default" w:ascii="Times New Roman" w:hAnsi="Times New Roman" w:cs="Times New Roman"/>
                      <w:color w:val="auto"/>
                      <w:kern w:val="2"/>
                      <w:sz w:val="21"/>
                      <w:szCs w:val="21"/>
                    </w:rPr>
                    <w:t>位于</w:t>
                  </w:r>
                  <w:r>
                    <w:rPr>
                      <w:rFonts w:hint="eastAsia" w:ascii="Times New Roman" w:hAnsi="Times New Roman" w:cs="Times New Roman"/>
                      <w:color w:val="auto"/>
                      <w:kern w:val="2"/>
                      <w:sz w:val="21"/>
                      <w:szCs w:val="21"/>
                    </w:rPr>
                    <w:t>29#-32#</w:t>
                  </w:r>
                  <w:r>
                    <w:rPr>
                      <w:rFonts w:hint="default" w:ascii="Times New Roman" w:hAnsi="Times New Roman" w:cs="Times New Roman"/>
                      <w:color w:val="auto"/>
                      <w:kern w:val="2"/>
                      <w:sz w:val="21"/>
                      <w:szCs w:val="21"/>
                    </w:rPr>
                    <w:t>厂房中部，建筑面积</w:t>
                  </w:r>
                  <w:r>
                    <w:rPr>
                      <w:rFonts w:hint="eastAsia" w:ascii="Times New Roman" w:hAnsi="Times New Roman" w:cs="Times New Roman"/>
                      <w:color w:val="auto"/>
                      <w:kern w:val="2"/>
                      <w:sz w:val="21"/>
                      <w:szCs w:val="21"/>
                      <w:lang w:val="en-US" w:eastAsia="zh-CN"/>
                    </w:rPr>
                    <w:t>1</w:t>
                  </w:r>
                  <w:r>
                    <w:rPr>
                      <w:rFonts w:hint="default" w:ascii="Times New Roman" w:hAnsi="Times New Roman" w:cs="Times New Roman"/>
                      <w:color w:val="auto"/>
                      <w:kern w:val="2"/>
                      <w:sz w:val="21"/>
                      <w:szCs w:val="21"/>
                    </w:rPr>
                    <w:t>000m</w:t>
                  </w:r>
                  <w:r>
                    <w:rPr>
                      <w:rFonts w:hint="default" w:ascii="Times New Roman" w:hAnsi="Times New Roman" w:cs="Times New Roman"/>
                      <w:color w:val="auto"/>
                      <w:kern w:val="2"/>
                      <w:sz w:val="21"/>
                      <w:szCs w:val="21"/>
                      <w:vertAlign w:val="superscript"/>
                    </w:rPr>
                    <w:t>2</w:t>
                  </w:r>
                </w:p>
              </w:tc>
              <w:tc>
                <w:tcPr>
                  <w:tcW w:w="2653" w:type="dxa"/>
                  <w:shd w:val="clear" w:color="auto" w:fill="auto"/>
                  <w:vAlign w:val="center"/>
                </w:tcPr>
                <w:p w14:paraId="7F9D0DA6">
                  <w:pPr>
                    <w:keepNext w:val="0"/>
                    <w:keepLines w:val="0"/>
                    <w:widowControl/>
                    <w:suppressLineNumbers w:val="0"/>
                    <w:spacing w:before="0" w:beforeAutospacing="0" w:after="0" w:afterAutospacing="0" w:line="276" w:lineRule="auto"/>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rPr>
                    <w:t>/</w:t>
                  </w:r>
                </w:p>
              </w:tc>
            </w:tr>
            <w:tr w14:paraId="6BE962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27" w:type="dxa"/>
                  <w:vMerge w:val="continue"/>
                  <w:vAlign w:val="center"/>
                </w:tcPr>
                <w:p w14:paraId="5E4FE48E">
                  <w:pPr>
                    <w:keepNext w:val="0"/>
                    <w:keepLines w:val="0"/>
                    <w:widowControl/>
                    <w:suppressLineNumbers w:val="0"/>
                    <w:spacing w:before="0" w:beforeAutospacing="0" w:after="0" w:afterAutospacing="0" w:line="276" w:lineRule="auto"/>
                    <w:ind w:left="0" w:right="0"/>
                    <w:jc w:val="center"/>
                    <w:rPr>
                      <w:rFonts w:hint="default"/>
                      <w:color w:val="auto"/>
                      <w:kern w:val="2"/>
                    </w:rPr>
                  </w:pPr>
                </w:p>
              </w:tc>
              <w:tc>
                <w:tcPr>
                  <w:tcW w:w="391" w:type="dxa"/>
                  <w:vMerge w:val="continue"/>
                  <w:vAlign w:val="center"/>
                </w:tcPr>
                <w:p w14:paraId="206AD7AF">
                  <w:pPr>
                    <w:keepNext w:val="0"/>
                    <w:keepLines w:val="0"/>
                    <w:widowControl/>
                    <w:suppressLineNumbers w:val="0"/>
                    <w:spacing w:before="0" w:beforeAutospacing="0" w:after="0" w:afterAutospacing="0" w:line="276" w:lineRule="auto"/>
                    <w:ind w:left="0" w:right="0"/>
                    <w:jc w:val="center"/>
                    <w:rPr>
                      <w:rFonts w:hint="default"/>
                      <w:color w:val="auto"/>
                      <w:kern w:val="2"/>
                    </w:rPr>
                  </w:pPr>
                </w:p>
              </w:tc>
              <w:tc>
                <w:tcPr>
                  <w:tcW w:w="1114" w:type="dxa"/>
                  <w:gridSpan w:val="2"/>
                  <w:vMerge w:val="continue"/>
                  <w:shd w:val="clear" w:color="auto" w:fill="auto"/>
                  <w:vAlign w:val="center"/>
                </w:tcPr>
                <w:p w14:paraId="233106E4">
                  <w:pPr>
                    <w:keepNext w:val="0"/>
                    <w:keepLines w:val="0"/>
                    <w:widowControl/>
                    <w:suppressLineNumbers w:val="0"/>
                    <w:spacing w:before="0" w:beforeAutospacing="0" w:after="0" w:afterAutospacing="0" w:line="276" w:lineRule="auto"/>
                    <w:ind w:left="0" w:right="0"/>
                    <w:jc w:val="center"/>
                    <w:rPr>
                      <w:rFonts w:hint="default"/>
                      <w:color w:val="auto"/>
                      <w:kern w:val="2"/>
                    </w:rPr>
                  </w:pPr>
                </w:p>
              </w:tc>
              <w:tc>
                <w:tcPr>
                  <w:tcW w:w="895" w:type="dxa"/>
                  <w:shd w:val="clear" w:color="auto" w:fill="auto"/>
                  <w:vAlign w:val="center"/>
                </w:tcPr>
                <w:p w14:paraId="75FF0E21">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测试区</w:t>
                  </w:r>
                </w:p>
              </w:tc>
              <w:tc>
                <w:tcPr>
                  <w:tcW w:w="2274" w:type="dxa"/>
                  <w:vAlign w:val="center"/>
                </w:tcPr>
                <w:p w14:paraId="60A325F9">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w:t>
                  </w:r>
                </w:p>
              </w:tc>
              <w:tc>
                <w:tcPr>
                  <w:tcW w:w="2474" w:type="dxa"/>
                  <w:vAlign w:val="center"/>
                </w:tcPr>
                <w:p w14:paraId="00B4614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负责MCU装配、气密性测试、</w:t>
                  </w:r>
                  <w:r>
                    <w:rPr>
                      <w:rFonts w:hint="eastAsia" w:ascii="Times New Roman" w:hAnsi="Times New Roman" w:cs="Times New Roman"/>
                      <w:color w:val="auto"/>
                      <w:kern w:val="2"/>
                      <w:sz w:val="21"/>
                      <w:szCs w:val="21"/>
                    </w:rPr>
                    <w:t>变速箱</w:t>
                  </w:r>
                  <w:r>
                    <w:rPr>
                      <w:rFonts w:hint="default" w:ascii="Times New Roman" w:hAnsi="Times New Roman" w:cs="Times New Roman"/>
                      <w:color w:val="auto"/>
                      <w:kern w:val="2"/>
                      <w:sz w:val="21"/>
                      <w:szCs w:val="21"/>
                    </w:rPr>
                    <w:t>加油、</w:t>
                  </w:r>
                  <w:r>
                    <w:rPr>
                      <w:rFonts w:hint="eastAsia" w:ascii="Times New Roman" w:hAnsi="Times New Roman" w:cs="Times New Roman"/>
                      <w:color w:val="auto"/>
                      <w:kern w:val="2"/>
                      <w:sz w:val="21"/>
                      <w:szCs w:val="21"/>
                    </w:rPr>
                    <w:t>视觉检测等，</w:t>
                  </w:r>
                  <w:r>
                    <w:rPr>
                      <w:rFonts w:hint="default" w:ascii="Times New Roman" w:hAnsi="Times New Roman" w:cs="Times New Roman"/>
                      <w:color w:val="auto"/>
                      <w:kern w:val="2"/>
                      <w:sz w:val="21"/>
                      <w:szCs w:val="21"/>
                    </w:rPr>
                    <w:t>位于</w:t>
                  </w:r>
                  <w:r>
                    <w:rPr>
                      <w:rFonts w:hint="eastAsia" w:ascii="Times New Roman" w:hAnsi="Times New Roman" w:cs="Times New Roman"/>
                      <w:color w:val="auto"/>
                      <w:kern w:val="2"/>
                      <w:sz w:val="21"/>
                      <w:szCs w:val="21"/>
                    </w:rPr>
                    <w:t>29#-32#</w:t>
                  </w:r>
                  <w:r>
                    <w:rPr>
                      <w:rFonts w:hint="default" w:ascii="Times New Roman" w:hAnsi="Times New Roman" w:cs="Times New Roman"/>
                      <w:color w:val="auto"/>
                      <w:kern w:val="2"/>
                      <w:sz w:val="21"/>
                      <w:szCs w:val="21"/>
                    </w:rPr>
                    <w:t>厂房南</w:t>
                  </w:r>
                  <w:r>
                    <w:rPr>
                      <w:rFonts w:hint="eastAsia" w:ascii="Times New Roman" w:hAnsi="Times New Roman" w:cs="Times New Roman"/>
                      <w:color w:val="auto"/>
                      <w:kern w:val="2"/>
                      <w:sz w:val="21"/>
                      <w:szCs w:val="21"/>
                    </w:rPr>
                    <w:t>部</w:t>
                  </w:r>
                  <w:r>
                    <w:rPr>
                      <w:rFonts w:hint="default" w:ascii="Times New Roman" w:hAnsi="Times New Roman" w:cs="Times New Roman"/>
                      <w:color w:val="auto"/>
                      <w:kern w:val="2"/>
                      <w:sz w:val="21"/>
                      <w:szCs w:val="21"/>
                    </w:rPr>
                    <w:t>，建筑面积1</w:t>
                  </w:r>
                  <w:r>
                    <w:rPr>
                      <w:rFonts w:hint="eastAsia" w:ascii="Times New Roman" w:hAnsi="Times New Roman" w:cs="Times New Roman"/>
                      <w:color w:val="auto"/>
                      <w:kern w:val="2"/>
                      <w:sz w:val="21"/>
                      <w:szCs w:val="21"/>
                    </w:rPr>
                    <w:t>6</w:t>
                  </w:r>
                  <w:r>
                    <w:rPr>
                      <w:rFonts w:hint="default" w:ascii="Times New Roman" w:hAnsi="Times New Roman" w:cs="Times New Roman"/>
                      <w:color w:val="auto"/>
                      <w:kern w:val="2"/>
                      <w:sz w:val="21"/>
                      <w:szCs w:val="21"/>
                    </w:rPr>
                    <w:t>00m</w:t>
                  </w:r>
                  <w:r>
                    <w:rPr>
                      <w:rFonts w:hint="default" w:ascii="Times New Roman" w:hAnsi="Times New Roman" w:cs="Times New Roman"/>
                      <w:color w:val="auto"/>
                      <w:kern w:val="2"/>
                      <w:sz w:val="21"/>
                      <w:szCs w:val="21"/>
                      <w:vertAlign w:val="superscript"/>
                    </w:rPr>
                    <w:t>2</w:t>
                  </w:r>
                </w:p>
              </w:tc>
              <w:tc>
                <w:tcPr>
                  <w:tcW w:w="2474" w:type="dxa"/>
                  <w:vAlign w:val="center"/>
                </w:tcPr>
                <w:p w14:paraId="5485519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负责MCU装配、气密性测试、</w:t>
                  </w:r>
                  <w:r>
                    <w:rPr>
                      <w:rFonts w:hint="eastAsia" w:ascii="Times New Roman" w:hAnsi="Times New Roman" w:cs="Times New Roman"/>
                      <w:color w:val="auto"/>
                      <w:kern w:val="2"/>
                      <w:sz w:val="21"/>
                      <w:szCs w:val="21"/>
                    </w:rPr>
                    <w:t>变速箱</w:t>
                  </w:r>
                  <w:r>
                    <w:rPr>
                      <w:rFonts w:hint="default" w:ascii="Times New Roman" w:hAnsi="Times New Roman" w:cs="Times New Roman"/>
                      <w:color w:val="auto"/>
                      <w:kern w:val="2"/>
                      <w:sz w:val="21"/>
                      <w:szCs w:val="21"/>
                    </w:rPr>
                    <w:t>加油、</w:t>
                  </w:r>
                  <w:r>
                    <w:rPr>
                      <w:rFonts w:hint="eastAsia" w:ascii="Times New Roman" w:hAnsi="Times New Roman" w:cs="Times New Roman"/>
                      <w:color w:val="auto"/>
                      <w:kern w:val="2"/>
                      <w:sz w:val="21"/>
                      <w:szCs w:val="21"/>
                    </w:rPr>
                    <w:t>视觉检测等，</w:t>
                  </w:r>
                  <w:r>
                    <w:rPr>
                      <w:rFonts w:hint="default" w:ascii="Times New Roman" w:hAnsi="Times New Roman" w:cs="Times New Roman"/>
                      <w:color w:val="auto"/>
                      <w:kern w:val="2"/>
                      <w:sz w:val="21"/>
                      <w:szCs w:val="21"/>
                    </w:rPr>
                    <w:t>位于</w:t>
                  </w:r>
                  <w:r>
                    <w:rPr>
                      <w:rFonts w:hint="eastAsia" w:ascii="Times New Roman" w:hAnsi="Times New Roman" w:cs="Times New Roman"/>
                      <w:color w:val="auto"/>
                      <w:kern w:val="2"/>
                      <w:sz w:val="21"/>
                      <w:szCs w:val="21"/>
                    </w:rPr>
                    <w:t>29#-32#</w:t>
                  </w:r>
                  <w:r>
                    <w:rPr>
                      <w:rFonts w:hint="default" w:ascii="Times New Roman" w:hAnsi="Times New Roman" w:cs="Times New Roman"/>
                      <w:color w:val="auto"/>
                      <w:kern w:val="2"/>
                      <w:sz w:val="21"/>
                      <w:szCs w:val="21"/>
                    </w:rPr>
                    <w:t>厂房南</w:t>
                  </w:r>
                  <w:r>
                    <w:rPr>
                      <w:rFonts w:hint="eastAsia" w:ascii="Times New Roman" w:hAnsi="Times New Roman" w:cs="Times New Roman"/>
                      <w:color w:val="auto"/>
                      <w:kern w:val="2"/>
                      <w:sz w:val="21"/>
                      <w:szCs w:val="21"/>
                    </w:rPr>
                    <w:t>部</w:t>
                  </w:r>
                  <w:r>
                    <w:rPr>
                      <w:rFonts w:hint="default" w:ascii="Times New Roman" w:hAnsi="Times New Roman" w:cs="Times New Roman"/>
                      <w:color w:val="auto"/>
                      <w:kern w:val="2"/>
                      <w:sz w:val="21"/>
                      <w:szCs w:val="21"/>
                    </w:rPr>
                    <w:t>，建筑面积1</w:t>
                  </w:r>
                  <w:r>
                    <w:rPr>
                      <w:rFonts w:hint="eastAsia" w:ascii="Times New Roman" w:hAnsi="Times New Roman" w:cs="Times New Roman"/>
                      <w:color w:val="auto"/>
                      <w:kern w:val="2"/>
                      <w:sz w:val="21"/>
                      <w:szCs w:val="21"/>
                    </w:rPr>
                    <w:t>6</w:t>
                  </w:r>
                  <w:r>
                    <w:rPr>
                      <w:rFonts w:hint="default" w:ascii="Times New Roman" w:hAnsi="Times New Roman" w:cs="Times New Roman"/>
                      <w:color w:val="auto"/>
                      <w:kern w:val="2"/>
                      <w:sz w:val="21"/>
                      <w:szCs w:val="21"/>
                    </w:rPr>
                    <w:t>00m</w:t>
                  </w:r>
                  <w:r>
                    <w:rPr>
                      <w:rFonts w:hint="default" w:ascii="Times New Roman" w:hAnsi="Times New Roman" w:cs="Times New Roman"/>
                      <w:color w:val="auto"/>
                      <w:kern w:val="2"/>
                      <w:sz w:val="21"/>
                      <w:szCs w:val="21"/>
                      <w:vertAlign w:val="superscript"/>
                    </w:rPr>
                    <w:t>2</w:t>
                  </w:r>
                </w:p>
              </w:tc>
              <w:tc>
                <w:tcPr>
                  <w:tcW w:w="2653" w:type="dxa"/>
                  <w:vAlign w:val="center"/>
                </w:tcPr>
                <w:p w14:paraId="364C4A6C">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w:t>
                  </w:r>
                </w:p>
              </w:tc>
            </w:tr>
            <w:tr w14:paraId="7A392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vAlign w:val="center"/>
                </w:tcPr>
                <w:p w14:paraId="2667F9C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辅助工程</w:t>
                  </w:r>
                </w:p>
              </w:tc>
              <w:tc>
                <w:tcPr>
                  <w:tcW w:w="2400" w:type="dxa"/>
                  <w:gridSpan w:val="4"/>
                  <w:vAlign w:val="center"/>
                </w:tcPr>
                <w:p w14:paraId="08BE8BA2">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办公区</w:t>
                  </w:r>
                </w:p>
              </w:tc>
              <w:tc>
                <w:tcPr>
                  <w:tcW w:w="2274" w:type="dxa"/>
                  <w:vAlign w:val="center"/>
                </w:tcPr>
                <w:p w14:paraId="5D213AA6">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包括物流控制室、更衣区、办公室</w:t>
                  </w:r>
                  <w:r>
                    <w:rPr>
                      <w:rFonts w:hint="eastAsia" w:ascii="Times New Roman" w:hAnsi="Times New Roman" w:cs="Times New Roman"/>
                      <w:bCs/>
                      <w:color w:val="auto"/>
                      <w:kern w:val="2"/>
                      <w:sz w:val="21"/>
                      <w:szCs w:val="21"/>
                    </w:rPr>
                    <w:t>，</w:t>
                  </w:r>
                  <w:r>
                    <w:rPr>
                      <w:rFonts w:hint="default" w:ascii="Times New Roman" w:hAnsi="Times New Roman" w:cs="Times New Roman"/>
                      <w:color w:val="auto"/>
                      <w:kern w:val="2"/>
                      <w:sz w:val="21"/>
                      <w:szCs w:val="21"/>
                    </w:rPr>
                    <w:t>位于36#厂房南侧，建筑面积300m</w:t>
                  </w:r>
                  <w:r>
                    <w:rPr>
                      <w:rFonts w:hint="default" w:ascii="Times New Roman" w:hAnsi="Times New Roman" w:cs="Times New Roman"/>
                      <w:color w:val="auto"/>
                      <w:kern w:val="2"/>
                      <w:sz w:val="21"/>
                      <w:szCs w:val="21"/>
                      <w:vertAlign w:val="superscript"/>
                    </w:rPr>
                    <w:t>2</w:t>
                  </w:r>
                </w:p>
              </w:tc>
              <w:tc>
                <w:tcPr>
                  <w:tcW w:w="2474" w:type="dxa"/>
                  <w:vAlign w:val="center"/>
                </w:tcPr>
                <w:p w14:paraId="6560CAA6">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新增</w:t>
                  </w:r>
                  <w:r>
                    <w:rPr>
                      <w:rFonts w:hint="default" w:ascii="Times New Roman" w:hAnsi="Times New Roman" w:cs="Times New Roman"/>
                      <w:bCs/>
                      <w:color w:val="auto"/>
                      <w:kern w:val="2"/>
                      <w:sz w:val="21"/>
                      <w:szCs w:val="21"/>
                    </w:rPr>
                    <w:t>包括物流控制室、更衣区、办公室</w:t>
                  </w:r>
                  <w:r>
                    <w:rPr>
                      <w:rFonts w:hint="eastAsia" w:ascii="Times New Roman" w:hAnsi="Times New Roman" w:cs="Times New Roman"/>
                      <w:bCs/>
                      <w:color w:val="auto"/>
                      <w:kern w:val="2"/>
                      <w:sz w:val="21"/>
                      <w:szCs w:val="21"/>
                    </w:rPr>
                    <w:t>，</w:t>
                  </w:r>
                  <w:r>
                    <w:rPr>
                      <w:rFonts w:hint="default" w:ascii="Times New Roman" w:hAnsi="Times New Roman" w:cs="Times New Roman"/>
                      <w:color w:val="auto"/>
                      <w:kern w:val="2"/>
                      <w:sz w:val="21"/>
                      <w:szCs w:val="21"/>
                    </w:rPr>
                    <w:t>位于</w:t>
                  </w:r>
                  <w:r>
                    <w:rPr>
                      <w:rFonts w:hint="eastAsia" w:ascii="Times New Roman" w:hAnsi="Times New Roman" w:cs="Times New Roman"/>
                      <w:color w:val="auto"/>
                      <w:kern w:val="2"/>
                      <w:sz w:val="21"/>
                      <w:szCs w:val="21"/>
                    </w:rPr>
                    <w:t>29#-32#</w:t>
                  </w:r>
                  <w:r>
                    <w:rPr>
                      <w:rFonts w:hint="default" w:ascii="Times New Roman" w:hAnsi="Times New Roman" w:cs="Times New Roman"/>
                      <w:color w:val="auto"/>
                      <w:kern w:val="2"/>
                      <w:sz w:val="21"/>
                      <w:szCs w:val="21"/>
                    </w:rPr>
                    <w:t>厂房</w:t>
                  </w:r>
                  <w:r>
                    <w:rPr>
                      <w:rFonts w:hint="eastAsia" w:ascii="Times New Roman" w:hAnsi="Times New Roman" w:cs="Times New Roman"/>
                      <w:color w:val="auto"/>
                      <w:kern w:val="2"/>
                      <w:sz w:val="21"/>
                      <w:szCs w:val="21"/>
                    </w:rPr>
                    <w:t>东侧</w:t>
                  </w:r>
                  <w:r>
                    <w:rPr>
                      <w:rFonts w:hint="default" w:ascii="Times New Roman" w:hAnsi="Times New Roman" w:cs="Times New Roman"/>
                      <w:color w:val="auto"/>
                      <w:kern w:val="2"/>
                      <w:sz w:val="21"/>
                      <w:szCs w:val="21"/>
                    </w:rPr>
                    <w:t>，建筑面积300m</w:t>
                  </w:r>
                  <w:r>
                    <w:rPr>
                      <w:rFonts w:hint="default" w:ascii="Times New Roman" w:hAnsi="Times New Roman" w:cs="Times New Roman"/>
                      <w:color w:val="auto"/>
                      <w:kern w:val="2"/>
                      <w:sz w:val="21"/>
                      <w:szCs w:val="21"/>
                      <w:vertAlign w:val="superscript"/>
                    </w:rPr>
                    <w:t>2</w:t>
                  </w:r>
                </w:p>
              </w:tc>
              <w:tc>
                <w:tcPr>
                  <w:tcW w:w="2474" w:type="dxa"/>
                  <w:vAlign w:val="center"/>
                </w:tcPr>
                <w:p w14:paraId="41A198F2">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包括物流控制室、更衣区、办公室</w:t>
                  </w:r>
                  <w:r>
                    <w:rPr>
                      <w:rFonts w:hint="eastAsia" w:ascii="Times New Roman" w:hAnsi="Times New Roman" w:cs="Times New Roman"/>
                      <w:bCs/>
                      <w:color w:val="auto"/>
                      <w:kern w:val="2"/>
                      <w:sz w:val="21"/>
                      <w:szCs w:val="21"/>
                    </w:rPr>
                    <w:t>，</w:t>
                  </w:r>
                  <w:r>
                    <w:rPr>
                      <w:rFonts w:hint="default" w:ascii="Times New Roman" w:hAnsi="Times New Roman" w:cs="Times New Roman"/>
                      <w:color w:val="auto"/>
                      <w:kern w:val="2"/>
                      <w:sz w:val="21"/>
                      <w:szCs w:val="21"/>
                    </w:rPr>
                    <w:t>位于36#厂房南侧</w:t>
                  </w:r>
                  <w:r>
                    <w:rPr>
                      <w:rFonts w:hint="eastAsia" w:ascii="Times New Roman" w:hAnsi="Times New Roman" w:cs="Times New Roman"/>
                      <w:color w:val="auto"/>
                      <w:kern w:val="2"/>
                      <w:sz w:val="21"/>
                      <w:szCs w:val="21"/>
                    </w:rPr>
                    <w:t>、29#-32#</w:t>
                  </w:r>
                  <w:r>
                    <w:rPr>
                      <w:rFonts w:hint="default" w:ascii="Times New Roman" w:hAnsi="Times New Roman" w:cs="Times New Roman"/>
                      <w:color w:val="auto"/>
                      <w:kern w:val="2"/>
                      <w:sz w:val="21"/>
                      <w:szCs w:val="21"/>
                    </w:rPr>
                    <w:t>厂房</w:t>
                  </w:r>
                  <w:r>
                    <w:rPr>
                      <w:rFonts w:hint="eastAsia" w:ascii="Times New Roman" w:hAnsi="Times New Roman" w:cs="Times New Roman"/>
                      <w:color w:val="auto"/>
                      <w:kern w:val="2"/>
                      <w:sz w:val="21"/>
                      <w:szCs w:val="21"/>
                    </w:rPr>
                    <w:t>东侧</w:t>
                  </w:r>
                  <w:r>
                    <w:rPr>
                      <w:rFonts w:hint="default" w:ascii="Times New Roman" w:hAnsi="Times New Roman" w:cs="Times New Roman"/>
                      <w:color w:val="auto"/>
                      <w:kern w:val="2"/>
                      <w:sz w:val="21"/>
                      <w:szCs w:val="21"/>
                    </w:rPr>
                    <w:t>，建筑面积</w:t>
                  </w:r>
                  <w:r>
                    <w:rPr>
                      <w:rFonts w:hint="eastAsia" w:ascii="Times New Roman" w:hAnsi="Times New Roman" w:cs="Times New Roman"/>
                      <w:color w:val="auto"/>
                      <w:kern w:val="2"/>
                      <w:sz w:val="21"/>
                      <w:szCs w:val="21"/>
                    </w:rPr>
                    <w:t>6</w:t>
                  </w:r>
                  <w:r>
                    <w:rPr>
                      <w:rFonts w:hint="default" w:ascii="Times New Roman" w:hAnsi="Times New Roman" w:cs="Times New Roman"/>
                      <w:color w:val="auto"/>
                      <w:kern w:val="2"/>
                      <w:sz w:val="21"/>
                      <w:szCs w:val="21"/>
                    </w:rPr>
                    <w:t>00m</w:t>
                  </w:r>
                  <w:r>
                    <w:rPr>
                      <w:rFonts w:hint="default" w:ascii="Times New Roman" w:hAnsi="Times New Roman" w:cs="Times New Roman"/>
                      <w:color w:val="auto"/>
                      <w:kern w:val="2"/>
                      <w:sz w:val="21"/>
                      <w:szCs w:val="21"/>
                      <w:vertAlign w:val="superscript"/>
                    </w:rPr>
                    <w:t>2</w:t>
                  </w:r>
                </w:p>
              </w:tc>
              <w:tc>
                <w:tcPr>
                  <w:tcW w:w="2653" w:type="dxa"/>
                  <w:vAlign w:val="center"/>
                </w:tcPr>
                <w:p w14:paraId="1E1750D9">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cs="Times New Roman"/>
                      <w:bCs/>
                      <w:color w:val="auto"/>
                      <w:kern w:val="2"/>
                      <w:sz w:val="21"/>
                      <w:szCs w:val="21"/>
                      <w:lang w:eastAsia="zh-CN"/>
                    </w:rPr>
                  </w:pPr>
                  <w:r>
                    <w:rPr>
                      <w:rFonts w:hint="eastAsia" w:ascii="Times New Roman" w:hAnsi="Times New Roman" w:cs="Times New Roman"/>
                      <w:bCs/>
                      <w:color w:val="auto"/>
                      <w:kern w:val="2"/>
                      <w:sz w:val="21"/>
                      <w:szCs w:val="21"/>
                      <w:lang w:val="en-US" w:eastAsia="zh-CN"/>
                    </w:rPr>
                    <w:t>不变</w:t>
                  </w:r>
                </w:p>
              </w:tc>
            </w:tr>
            <w:tr w14:paraId="73B42F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2A9EE9A1">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2400" w:type="dxa"/>
                  <w:gridSpan w:val="4"/>
                  <w:vAlign w:val="center"/>
                </w:tcPr>
                <w:p w14:paraId="63A44F8D">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配电房</w:t>
                  </w:r>
                </w:p>
              </w:tc>
              <w:tc>
                <w:tcPr>
                  <w:tcW w:w="2274" w:type="dxa"/>
                  <w:vAlign w:val="center"/>
                </w:tcPr>
                <w:p w14:paraId="0E4DF71E">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w:t>
                  </w:r>
                </w:p>
              </w:tc>
              <w:tc>
                <w:tcPr>
                  <w:tcW w:w="2474" w:type="dxa"/>
                  <w:vAlign w:val="center"/>
                </w:tcPr>
                <w:p w14:paraId="0AE643EC">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位于</w:t>
                  </w:r>
                  <w:r>
                    <w:rPr>
                      <w:rFonts w:hint="eastAsia" w:ascii="Times New Roman" w:hAnsi="Times New Roman" w:cs="Times New Roman"/>
                      <w:color w:val="auto"/>
                      <w:kern w:val="2"/>
                      <w:sz w:val="21"/>
                      <w:szCs w:val="21"/>
                    </w:rPr>
                    <w:t>29#-32#</w:t>
                  </w:r>
                  <w:r>
                    <w:rPr>
                      <w:rFonts w:hint="default" w:ascii="Times New Roman" w:hAnsi="Times New Roman" w:cs="Times New Roman"/>
                      <w:color w:val="auto"/>
                      <w:kern w:val="2"/>
                      <w:sz w:val="21"/>
                      <w:szCs w:val="21"/>
                    </w:rPr>
                    <w:t>厂房</w:t>
                  </w:r>
                  <w:r>
                    <w:rPr>
                      <w:rFonts w:hint="eastAsia" w:ascii="Times New Roman" w:hAnsi="Times New Roman" w:cs="Times New Roman"/>
                      <w:bCs/>
                      <w:color w:val="auto"/>
                      <w:kern w:val="2"/>
                      <w:sz w:val="21"/>
                      <w:szCs w:val="21"/>
                    </w:rPr>
                    <w:t>北部，建筑面积160m</w:t>
                  </w:r>
                  <w:r>
                    <w:rPr>
                      <w:rFonts w:hint="eastAsia" w:ascii="Times New Roman" w:hAnsi="Times New Roman" w:cs="Times New Roman"/>
                      <w:bCs/>
                      <w:color w:val="auto"/>
                      <w:kern w:val="2"/>
                      <w:sz w:val="21"/>
                      <w:szCs w:val="21"/>
                      <w:vertAlign w:val="superscript"/>
                    </w:rPr>
                    <w:t>2</w:t>
                  </w:r>
                </w:p>
              </w:tc>
              <w:tc>
                <w:tcPr>
                  <w:tcW w:w="2474" w:type="dxa"/>
                  <w:shd w:val="clear" w:color="auto" w:fill="auto"/>
                  <w:vAlign w:val="center"/>
                </w:tcPr>
                <w:p w14:paraId="453B6B99">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位于</w:t>
                  </w:r>
                  <w:r>
                    <w:rPr>
                      <w:rFonts w:hint="eastAsia" w:ascii="Times New Roman" w:hAnsi="Times New Roman" w:cs="Times New Roman"/>
                      <w:color w:val="auto"/>
                      <w:kern w:val="2"/>
                      <w:sz w:val="21"/>
                      <w:szCs w:val="21"/>
                    </w:rPr>
                    <w:t>29#-32#</w:t>
                  </w:r>
                  <w:r>
                    <w:rPr>
                      <w:rFonts w:hint="default" w:ascii="Times New Roman" w:hAnsi="Times New Roman" w:cs="Times New Roman"/>
                      <w:color w:val="auto"/>
                      <w:kern w:val="2"/>
                      <w:sz w:val="21"/>
                      <w:szCs w:val="21"/>
                    </w:rPr>
                    <w:t>厂房</w:t>
                  </w:r>
                  <w:r>
                    <w:rPr>
                      <w:rFonts w:hint="eastAsia" w:ascii="Times New Roman" w:hAnsi="Times New Roman" w:cs="Times New Roman"/>
                      <w:bCs/>
                      <w:color w:val="auto"/>
                      <w:kern w:val="2"/>
                      <w:sz w:val="21"/>
                      <w:szCs w:val="21"/>
                    </w:rPr>
                    <w:t>北部，建筑面积160m</w:t>
                  </w:r>
                  <w:r>
                    <w:rPr>
                      <w:rFonts w:hint="eastAsia" w:ascii="Times New Roman" w:hAnsi="Times New Roman" w:cs="Times New Roman"/>
                      <w:bCs/>
                      <w:color w:val="auto"/>
                      <w:kern w:val="2"/>
                      <w:sz w:val="21"/>
                      <w:szCs w:val="21"/>
                      <w:vertAlign w:val="superscript"/>
                    </w:rPr>
                    <w:t>2</w:t>
                  </w:r>
                </w:p>
              </w:tc>
              <w:tc>
                <w:tcPr>
                  <w:tcW w:w="2653" w:type="dxa"/>
                  <w:vAlign w:val="center"/>
                </w:tcPr>
                <w:p w14:paraId="4985FA4B">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本次扩建</w:t>
                  </w:r>
                </w:p>
              </w:tc>
            </w:tr>
            <w:tr w14:paraId="0AD6BF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vAlign w:val="center"/>
                </w:tcPr>
                <w:p w14:paraId="32061804">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储运工程</w:t>
                  </w:r>
                </w:p>
              </w:tc>
              <w:tc>
                <w:tcPr>
                  <w:tcW w:w="2400" w:type="dxa"/>
                  <w:gridSpan w:val="4"/>
                  <w:vAlign w:val="center"/>
                </w:tcPr>
                <w:p w14:paraId="227FCF58">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原材料仓库</w:t>
                  </w:r>
                </w:p>
              </w:tc>
              <w:tc>
                <w:tcPr>
                  <w:tcW w:w="2274" w:type="dxa"/>
                  <w:vAlign w:val="center"/>
                </w:tcPr>
                <w:p w14:paraId="774AB602">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主要用于电机、外壳、轴齿、轴承、差速器总成、换挡机构、驻车机构等原材料储存</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位于36#厂房西侧，建筑面积200m</w:t>
                  </w:r>
                  <w:r>
                    <w:rPr>
                      <w:rFonts w:hint="default" w:ascii="Times New Roman" w:hAnsi="Times New Roman" w:cs="Times New Roman"/>
                      <w:color w:val="auto"/>
                      <w:kern w:val="2"/>
                      <w:sz w:val="21"/>
                      <w:szCs w:val="21"/>
                      <w:vertAlign w:val="superscript"/>
                    </w:rPr>
                    <w:t>2</w:t>
                  </w:r>
                </w:p>
              </w:tc>
              <w:tc>
                <w:tcPr>
                  <w:tcW w:w="2474" w:type="dxa"/>
                  <w:vAlign w:val="center"/>
                </w:tcPr>
                <w:p w14:paraId="4708E71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w:t>
                  </w:r>
                </w:p>
              </w:tc>
              <w:tc>
                <w:tcPr>
                  <w:tcW w:w="2474" w:type="dxa"/>
                  <w:shd w:val="clear" w:color="auto" w:fill="auto"/>
                  <w:vAlign w:val="center"/>
                </w:tcPr>
                <w:p w14:paraId="41A7308C">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主要用于电机、外壳、轴齿、轴承、差速器总成、换挡机构、驻车机构等原材料储存</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位于36#厂房西侧，建筑面积200m</w:t>
                  </w:r>
                  <w:r>
                    <w:rPr>
                      <w:rFonts w:hint="default" w:ascii="Times New Roman" w:hAnsi="Times New Roman" w:cs="Times New Roman"/>
                      <w:color w:val="auto"/>
                      <w:kern w:val="2"/>
                      <w:sz w:val="21"/>
                      <w:szCs w:val="21"/>
                      <w:vertAlign w:val="superscript"/>
                    </w:rPr>
                    <w:t>2</w:t>
                  </w:r>
                </w:p>
              </w:tc>
              <w:tc>
                <w:tcPr>
                  <w:tcW w:w="2653" w:type="dxa"/>
                  <w:vAlign w:val="center"/>
                </w:tcPr>
                <w:p w14:paraId="7841F4C6">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default" w:ascii="Times New Roman" w:hAnsi="Times New Roman" w:cs="Times New Roman"/>
                      <w:bCs/>
                      <w:color w:val="auto"/>
                      <w:kern w:val="2"/>
                      <w:sz w:val="21"/>
                      <w:szCs w:val="21"/>
                    </w:rPr>
                    <w:t>依托现有</w:t>
                  </w:r>
                </w:p>
              </w:tc>
            </w:tr>
            <w:tr w14:paraId="61D2EA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61210CAA">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2400" w:type="dxa"/>
                  <w:gridSpan w:val="4"/>
                  <w:vAlign w:val="center"/>
                </w:tcPr>
                <w:p w14:paraId="36F1851A">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化学品暂存区</w:t>
                  </w:r>
                </w:p>
              </w:tc>
              <w:tc>
                <w:tcPr>
                  <w:tcW w:w="2274" w:type="dxa"/>
                  <w:vAlign w:val="center"/>
                </w:tcPr>
                <w:p w14:paraId="0DFA450A">
                  <w:pPr>
                    <w:keepNext w:val="0"/>
                    <w:keepLines w:val="0"/>
                    <w:widowControl/>
                    <w:suppressLineNumbers w:val="0"/>
                    <w:spacing w:before="0" w:beforeAutospacing="0" w:after="0" w:afterAutospacing="0"/>
                    <w:ind w:left="0" w:right="0"/>
                    <w:jc w:val="center"/>
                    <w:rPr>
                      <w:rFonts w:hint="default" w:ascii="Times New Roman" w:cs="Times New Roman"/>
                      <w:color w:val="auto"/>
                      <w:kern w:val="2"/>
                      <w:sz w:val="21"/>
                      <w:szCs w:val="21"/>
                    </w:rPr>
                  </w:pPr>
                  <w:r>
                    <w:rPr>
                      <w:rFonts w:hint="default" w:ascii="Times New Roman" w:hAnsi="Times New Roman" w:cs="Times New Roman"/>
                      <w:color w:val="auto"/>
                      <w:kern w:val="2"/>
                      <w:sz w:val="21"/>
                      <w:szCs w:val="21"/>
                    </w:rPr>
                    <w:t>主要用于储存碳氢清洗剂、变速箱油等化学品</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位于36#厂房东南侧，建筑面积50m</w:t>
                  </w:r>
                  <w:r>
                    <w:rPr>
                      <w:rFonts w:hint="default" w:ascii="Times New Roman" w:hAnsi="Times New Roman" w:cs="Times New Roman"/>
                      <w:color w:val="auto"/>
                      <w:kern w:val="2"/>
                      <w:sz w:val="21"/>
                      <w:szCs w:val="21"/>
                      <w:vertAlign w:val="superscript"/>
                    </w:rPr>
                    <w:t>2</w:t>
                  </w:r>
                </w:p>
              </w:tc>
              <w:tc>
                <w:tcPr>
                  <w:tcW w:w="2474" w:type="dxa"/>
                  <w:vAlign w:val="center"/>
                </w:tcPr>
                <w:p w14:paraId="7D1050B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w:t>
                  </w:r>
                </w:p>
              </w:tc>
              <w:tc>
                <w:tcPr>
                  <w:tcW w:w="2474" w:type="dxa"/>
                  <w:shd w:val="clear" w:color="auto" w:fill="auto"/>
                  <w:vAlign w:val="center"/>
                </w:tcPr>
                <w:p w14:paraId="7D89FCFA">
                  <w:pPr>
                    <w:keepNext w:val="0"/>
                    <w:keepLines w:val="0"/>
                    <w:widowControl/>
                    <w:suppressLineNumbers w:val="0"/>
                    <w:spacing w:before="0" w:beforeAutospacing="0" w:after="0" w:afterAutospacing="0"/>
                    <w:ind w:left="0" w:right="0"/>
                    <w:jc w:val="center"/>
                    <w:rPr>
                      <w:rFonts w:hint="default" w:ascii="Times New Roman" w:cs="Times New Roman"/>
                      <w:color w:val="auto"/>
                      <w:kern w:val="2"/>
                      <w:sz w:val="21"/>
                      <w:szCs w:val="21"/>
                    </w:rPr>
                  </w:pPr>
                  <w:r>
                    <w:rPr>
                      <w:rFonts w:hint="default" w:ascii="Times New Roman" w:hAnsi="Times New Roman" w:cs="Times New Roman"/>
                      <w:color w:val="auto"/>
                      <w:kern w:val="2"/>
                      <w:sz w:val="21"/>
                      <w:szCs w:val="21"/>
                    </w:rPr>
                    <w:t>主要用于储存碳氢清洗剂、变速箱油等化学品</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位于36#厂房东南侧，建筑面积50m</w:t>
                  </w:r>
                  <w:r>
                    <w:rPr>
                      <w:rFonts w:hint="default" w:ascii="Times New Roman" w:hAnsi="Times New Roman" w:cs="Times New Roman"/>
                      <w:color w:val="auto"/>
                      <w:kern w:val="2"/>
                      <w:sz w:val="21"/>
                      <w:szCs w:val="21"/>
                      <w:vertAlign w:val="superscript"/>
                    </w:rPr>
                    <w:t>2</w:t>
                  </w:r>
                </w:p>
              </w:tc>
              <w:tc>
                <w:tcPr>
                  <w:tcW w:w="2653" w:type="dxa"/>
                  <w:vAlign w:val="center"/>
                </w:tcPr>
                <w:p w14:paraId="60012BB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依托现有</w:t>
                  </w:r>
                </w:p>
              </w:tc>
            </w:tr>
            <w:tr w14:paraId="622112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34A3BBA6">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2400" w:type="dxa"/>
                  <w:gridSpan w:val="4"/>
                  <w:vAlign w:val="center"/>
                </w:tcPr>
                <w:p w14:paraId="5C4139E4">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成品仓库</w:t>
                  </w:r>
                </w:p>
              </w:tc>
              <w:tc>
                <w:tcPr>
                  <w:tcW w:w="2274" w:type="dxa"/>
                  <w:vAlign w:val="center"/>
                </w:tcPr>
                <w:p w14:paraId="5176B400">
                  <w:pPr>
                    <w:keepNext w:val="0"/>
                    <w:keepLines w:val="0"/>
                    <w:widowControl/>
                    <w:suppressLineNumbers w:val="0"/>
                    <w:spacing w:before="0" w:beforeAutospacing="0" w:after="0" w:afterAutospacing="0"/>
                    <w:ind w:left="0" w:right="0"/>
                    <w:jc w:val="center"/>
                    <w:rPr>
                      <w:rFonts w:hint="default" w:ascii="Times New Roman" w:cs="Times New Roman"/>
                      <w:color w:val="auto"/>
                      <w:kern w:val="2"/>
                      <w:sz w:val="21"/>
                      <w:szCs w:val="21"/>
                    </w:rPr>
                  </w:pPr>
                  <w:r>
                    <w:rPr>
                      <w:rFonts w:hint="default" w:ascii="Times New Roman" w:hAnsi="Times New Roman" w:cs="Times New Roman"/>
                      <w:color w:val="auto"/>
                      <w:kern w:val="2"/>
                      <w:sz w:val="21"/>
                      <w:szCs w:val="21"/>
                    </w:rPr>
                    <w:t>主要用于成品储存</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位于36#厂房北侧，建筑面积800m</w:t>
                  </w:r>
                  <w:r>
                    <w:rPr>
                      <w:rFonts w:hint="default" w:ascii="Times New Roman" w:hAnsi="Times New Roman" w:cs="Times New Roman"/>
                      <w:color w:val="auto"/>
                      <w:kern w:val="2"/>
                      <w:sz w:val="21"/>
                      <w:szCs w:val="21"/>
                      <w:vertAlign w:val="superscript"/>
                    </w:rPr>
                    <w:t>2</w:t>
                  </w:r>
                </w:p>
              </w:tc>
              <w:tc>
                <w:tcPr>
                  <w:tcW w:w="2474" w:type="dxa"/>
                  <w:vAlign w:val="center"/>
                </w:tcPr>
                <w:p w14:paraId="37F6E6C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w:t>
                  </w:r>
                </w:p>
              </w:tc>
              <w:tc>
                <w:tcPr>
                  <w:tcW w:w="2474" w:type="dxa"/>
                  <w:shd w:val="clear" w:color="auto" w:fill="auto"/>
                  <w:vAlign w:val="center"/>
                </w:tcPr>
                <w:p w14:paraId="4578A64A">
                  <w:pPr>
                    <w:keepNext w:val="0"/>
                    <w:keepLines w:val="0"/>
                    <w:widowControl/>
                    <w:suppressLineNumbers w:val="0"/>
                    <w:spacing w:before="0" w:beforeAutospacing="0" w:after="0" w:afterAutospacing="0"/>
                    <w:ind w:left="0" w:right="0"/>
                    <w:jc w:val="center"/>
                    <w:rPr>
                      <w:rFonts w:hint="default" w:ascii="Times New Roman" w:cs="Times New Roman"/>
                      <w:color w:val="auto"/>
                      <w:kern w:val="2"/>
                      <w:sz w:val="21"/>
                      <w:szCs w:val="21"/>
                    </w:rPr>
                  </w:pPr>
                  <w:r>
                    <w:rPr>
                      <w:rFonts w:hint="default" w:ascii="Times New Roman" w:hAnsi="Times New Roman" w:cs="Times New Roman"/>
                      <w:color w:val="auto"/>
                      <w:kern w:val="2"/>
                      <w:sz w:val="21"/>
                      <w:szCs w:val="21"/>
                    </w:rPr>
                    <w:t>主要用于成品储存</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位于36#厂房北侧，建筑面积800m</w:t>
                  </w:r>
                  <w:r>
                    <w:rPr>
                      <w:rFonts w:hint="default" w:ascii="Times New Roman" w:hAnsi="Times New Roman" w:cs="Times New Roman"/>
                      <w:color w:val="auto"/>
                      <w:kern w:val="2"/>
                      <w:sz w:val="21"/>
                      <w:szCs w:val="21"/>
                      <w:vertAlign w:val="superscript"/>
                    </w:rPr>
                    <w:t>2</w:t>
                  </w:r>
                </w:p>
              </w:tc>
              <w:tc>
                <w:tcPr>
                  <w:tcW w:w="2653" w:type="dxa"/>
                  <w:vAlign w:val="center"/>
                </w:tcPr>
                <w:p w14:paraId="2C247557">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default" w:ascii="Times New Roman" w:hAnsi="Times New Roman" w:cs="Times New Roman"/>
                      <w:bCs/>
                      <w:color w:val="auto"/>
                      <w:kern w:val="2"/>
                      <w:sz w:val="21"/>
                      <w:szCs w:val="21"/>
                    </w:rPr>
                    <w:t>依托现有</w:t>
                  </w:r>
                </w:p>
              </w:tc>
            </w:tr>
            <w:tr w14:paraId="5FC29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vAlign w:val="center"/>
                </w:tcPr>
                <w:p w14:paraId="742E7E1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公用工程</w:t>
                  </w:r>
                </w:p>
              </w:tc>
              <w:tc>
                <w:tcPr>
                  <w:tcW w:w="2400" w:type="dxa"/>
                  <w:gridSpan w:val="4"/>
                  <w:vAlign w:val="center"/>
                </w:tcPr>
                <w:p w14:paraId="585AB390">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供电</w:t>
                  </w:r>
                </w:p>
              </w:tc>
              <w:tc>
                <w:tcPr>
                  <w:tcW w:w="2274" w:type="dxa"/>
                  <w:vAlign w:val="center"/>
                </w:tcPr>
                <w:p w14:paraId="72B974B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color w:val="auto"/>
                      <w:kern w:val="2"/>
                      <w:sz w:val="21"/>
                      <w:szCs w:val="21"/>
                    </w:rPr>
                    <w:t>市政</w:t>
                  </w:r>
                  <w:r>
                    <w:rPr>
                      <w:rFonts w:hint="default" w:ascii="Times New Roman" w:hAnsi="Times New Roman" w:cs="Times New Roman"/>
                      <w:color w:val="auto"/>
                      <w:kern w:val="2"/>
                      <w:sz w:val="21"/>
                      <w:szCs w:val="21"/>
                    </w:rPr>
                    <w:t>电网供电</w:t>
                  </w:r>
                  <w:r>
                    <w:rPr>
                      <w:rFonts w:hint="default" w:ascii="Times New Roman" w:hAnsi="Times New Roman" w:cs="Times New Roman"/>
                      <w:bCs/>
                      <w:color w:val="auto"/>
                      <w:kern w:val="2"/>
                      <w:sz w:val="21"/>
                      <w:szCs w:val="21"/>
                    </w:rPr>
                    <w:t>，</w:t>
                  </w:r>
                  <w:r>
                    <w:rPr>
                      <w:rFonts w:hint="eastAsia" w:ascii="Times New Roman" w:hAnsi="Times New Roman" w:cs="Times New Roman"/>
                      <w:bCs/>
                      <w:color w:val="auto"/>
                      <w:kern w:val="2"/>
                      <w:sz w:val="21"/>
                      <w:szCs w:val="21"/>
                    </w:rPr>
                    <w:t>350</w:t>
                  </w:r>
                  <w:r>
                    <w:rPr>
                      <w:rFonts w:hint="default" w:ascii="Times New Roman" w:hAnsi="Times New Roman" w:cs="Times New Roman"/>
                      <w:bCs/>
                      <w:color w:val="auto"/>
                      <w:kern w:val="2"/>
                      <w:sz w:val="21"/>
                      <w:szCs w:val="21"/>
                    </w:rPr>
                    <w:t>万kW•h/a</w:t>
                  </w:r>
                </w:p>
              </w:tc>
              <w:tc>
                <w:tcPr>
                  <w:tcW w:w="2474" w:type="dxa"/>
                  <w:vAlign w:val="center"/>
                </w:tcPr>
                <w:p w14:paraId="1B35E897">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color w:val="auto"/>
                      <w:kern w:val="2"/>
                      <w:sz w:val="21"/>
                      <w:szCs w:val="21"/>
                    </w:rPr>
                    <w:t>市政</w:t>
                  </w:r>
                  <w:r>
                    <w:rPr>
                      <w:rFonts w:hint="default" w:ascii="Times New Roman" w:hAnsi="Times New Roman" w:cs="Times New Roman"/>
                      <w:color w:val="auto"/>
                      <w:kern w:val="2"/>
                      <w:sz w:val="21"/>
                      <w:szCs w:val="21"/>
                    </w:rPr>
                    <w:t>电网供电</w:t>
                  </w:r>
                  <w:r>
                    <w:rPr>
                      <w:rFonts w:hint="eastAsia" w:ascii="Times New Roman" w:hAnsi="Times New Roman" w:cs="Times New Roman"/>
                      <w:color w:val="auto"/>
                      <w:kern w:val="2"/>
                      <w:sz w:val="21"/>
                      <w:szCs w:val="21"/>
                    </w:rPr>
                    <w:t>，新增</w:t>
                  </w:r>
                  <w:r>
                    <w:rPr>
                      <w:rFonts w:hint="default" w:ascii="Times New Roman" w:hAnsi="Times New Roman" w:cs="Times New Roman"/>
                      <w:bCs/>
                      <w:color w:val="auto"/>
                      <w:kern w:val="2"/>
                      <w:sz w:val="21"/>
                      <w:szCs w:val="21"/>
                    </w:rPr>
                    <w:t>用电量</w:t>
                  </w:r>
                  <w:r>
                    <w:rPr>
                      <w:rFonts w:hint="eastAsia" w:ascii="Times New Roman" w:hAnsi="Times New Roman" w:cs="Times New Roman"/>
                      <w:color w:val="auto"/>
                      <w:kern w:val="2"/>
                      <w:sz w:val="21"/>
                      <w:szCs w:val="21"/>
                    </w:rPr>
                    <w:t>100</w:t>
                  </w:r>
                  <w:r>
                    <w:rPr>
                      <w:rFonts w:hint="default" w:ascii="Times New Roman" w:hAnsi="Times New Roman" w:cs="Times New Roman"/>
                      <w:color w:val="auto"/>
                      <w:kern w:val="2"/>
                      <w:sz w:val="21"/>
                      <w:szCs w:val="21"/>
                    </w:rPr>
                    <w:t>万</w:t>
                  </w:r>
                  <w:r>
                    <w:rPr>
                      <w:rFonts w:hint="eastAsia" w:ascii="Times New Roman" w:hAnsi="Times New Roman" w:cs="Times New Roman"/>
                      <w:color w:val="auto"/>
                      <w:kern w:val="2"/>
                      <w:sz w:val="21"/>
                      <w:szCs w:val="21"/>
                    </w:rPr>
                    <w:t>kW</w:t>
                  </w:r>
                  <w:r>
                    <w:rPr>
                      <w:rFonts w:hint="default" w:ascii="Times New Roman" w:hAnsi="Times New Roman" w:cs="Times New Roman"/>
                      <w:bCs/>
                      <w:color w:val="auto"/>
                      <w:kern w:val="2"/>
                      <w:sz w:val="21"/>
                      <w:szCs w:val="21"/>
                    </w:rPr>
                    <w:t>·h/a</w:t>
                  </w:r>
                </w:p>
              </w:tc>
              <w:tc>
                <w:tcPr>
                  <w:tcW w:w="2474" w:type="dxa"/>
                  <w:vAlign w:val="center"/>
                </w:tcPr>
                <w:p w14:paraId="4BC30037">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color w:val="auto"/>
                      <w:kern w:val="2"/>
                      <w:sz w:val="21"/>
                      <w:szCs w:val="21"/>
                    </w:rPr>
                    <w:t>市政</w:t>
                  </w:r>
                  <w:r>
                    <w:rPr>
                      <w:rFonts w:hint="default" w:ascii="Times New Roman" w:hAnsi="Times New Roman" w:cs="Times New Roman"/>
                      <w:color w:val="auto"/>
                      <w:kern w:val="2"/>
                      <w:sz w:val="21"/>
                      <w:szCs w:val="21"/>
                    </w:rPr>
                    <w:t>电网供电</w:t>
                  </w:r>
                  <w:r>
                    <w:rPr>
                      <w:rFonts w:hint="eastAsia" w:ascii="Times New Roman" w:hAnsi="Times New Roman" w:cs="Times New Roman"/>
                      <w:color w:val="auto"/>
                      <w:kern w:val="2"/>
                      <w:sz w:val="21"/>
                      <w:szCs w:val="21"/>
                    </w:rPr>
                    <w:t>，总</w:t>
                  </w:r>
                  <w:r>
                    <w:rPr>
                      <w:rFonts w:hint="default" w:ascii="Times New Roman" w:hAnsi="Times New Roman" w:cs="Times New Roman"/>
                      <w:bCs/>
                      <w:color w:val="auto"/>
                      <w:kern w:val="2"/>
                      <w:sz w:val="21"/>
                      <w:szCs w:val="21"/>
                    </w:rPr>
                    <w:t>用电量</w:t>
                  </w:r>
                  <w:r>
                    <w:rPr>
                      <w:rFonts w:hint="eastAsia" w:ascii="Times New Roman" w:hAnsi="Times New Roman" w:cs="Times New Roman"/>
                      <w:color w:val="auto"/>
                      <w:kern w:val="2"/>
                      <w:sz w:val="21"/>
                      <w:szCs w:val="21"/>
                    </w:rPr>
                    <w:t>450</w:t>
                  </w:r>
                  <w:r>
                    <w:rPr>
                      <w:rFonts w:hint="default" w:ascii="Times New Roman" w:hAnsi="Times New Roman" w:cs="Times New Roman"/>
                      <w:color w:val="auto"/>
                      <w:kern w:val="2"/>
                      <w:sz w:val="21"/>
                      <w:szCs w:val="21"/>
                    </w:rPr>
                    <w:t>万</w:t>
                  </w:r>
                  <w:r>
                    <w:rPr>
                      <w:rFonts w:hint="eastAsia" w:ascii="Times New Roman" w:hAnsi="Times New Roman" w:cs="Times New Roman"/>
                      <w:color w:val="auto"/>
                      <w:kern w:val="2"/>
                      <w:sz w:val="21"/>
                      <w:szCs w:val="21"/>
                    </w:rPr>
                    <w:t>kW</w:t>
                  </w:r>
                  <w:r>
                    <w:rPr>
                      <w:rFonts w:hint="default" w:ascii="Times New Roman" w:hAnsi="Times New Roman" w:cs="Times New Roman"/>
                      <w:bCs/>
                      <w:color w:val="auto"/>
                      <w:kern w:val="2"/>
                      <w:sz w:val="21"/>
                      <w:szCs w:val="21"/>
                    </w:rPr>
                    <w:t>·h/a</w:t>
                  </w:r>
                </w:p>
              </w:tc>
              <w:tc>
                <w:tcPr>
                  <w:tcW w:w="2653" w:type="dxa"/>
                  <w:vAlign w:val="center"/>
                </w:tcPr>
                <w:p w14:paraId="4ECF98BD">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依托现有</w:t>
                  </w:r>
                  <w:r>
                    <w:rPr>
                      <w:rFonts w:hint="eastAsia" w:ascii="Times New Roman" w:hAnsi="Times New Roman" w:cs="Times New Roman"/>
                      <w:color w:val="auto"/>
                      <w:kern w:val="2"/>
                      <w:sz w:val="21"/>
                      <w:szCs w:val="21"/>
                    </w:rPr>
                    <w:t>市政</w:t>
                  </w:r>
                  <w:r>
                    <w:rPr>
                      <w:rFonts w:hint="default" w:ascii="Times New Roman" w:hAnsi="Times New Roman" w:cs="Times New Roman"/>
                      <w:color w:val="auto"/>
                      <w:kern w:val="2"/>
                      <w:sz w:val="21"/>
                      <w:szCs w:val="21"/>
                    </w:rPr>
                    <w:t>电网</w:t>
                  </w:r>
                  <w:r>
                    <w:rPr>
                      <w:rFonts w:hint="default"/>
                      <w:color w:val="auto"/>
                      <w:kern w:val="2"/>
                      <w:sz w:val="21"/>
                      <w:szCs w:val="21"/>
                    </w:rPr>
                    <w:t>，新增用电量</w:t>
                  </w:r>
                </w:p>
              </w:tc>
            </w:tr>
            <w:tr w14:paraId="6E8EF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63B22FDC">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2400" w:type="dxa"/>
                  <w:gridSpan w:val="4"/>
                  <w:vAlign w:val="center"/>
                </w:tcPr>
                <w:p w14:paraId="405C04F8">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给水</w:t>
                  </w:r>
                </w:p>
              </w:tc>
              <w:tc>
                <w:tcPr>
                  <w:tcW w:w="2274" w:type="dxa"/>
                  <w:vAlign w:val="center"/>
                </w:tcPr>
                <w:p w14:paraId="4D2D1A6C">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市政供水，</w:t>
                  </w:r>
                  <w:r>
                    <w:rPr>
                      <w:rFonts w:hint="eastAsia" w:ascii="Times New Roman" w:hAnsi="Times New Roman" w:cs="Times New Roman"/>
                      <w:bCs/>
                      <w:color w:val="auto"/>
                      <w:kern w:val="2"/>
                      <w:sz w:val="21"/>
                      <w:szCs w:val="21"/>
                    </w:rPr>
                    <w:t>年</w:t>
                  </w:r>
                  <w:r>
                    <w:rPr>
                      <w:rFonts w:hint="default" w:ascii="Times New Roman" w:hAnsi="Times New Roman" w:cs="Times New Roman"/>
                      <w:bCs/>
                      <w:color w:val="auto"/>
                      <w:kern w:val="2"/>
                      <w:sz w:val="21"/>
                      <w:szCs w:val="21"/>
                    </w:rPr>
                    <w:t>用水量</w:t>
                  </w:r>
                  <w:r>
                    <w:rPr>
                      <w:rFonts w:hint="eastAsia" w:ascii="Times New Roman" w:hAnsi="Times New Roman" w:cs="Times New Roman"/>
                      <w:bCs/>
                      <w:color w:val="auto"/>
                      <w:kern w:val="2"/>
                      <w:sz w:val="21"/>
                      <w:szCs w:val="21"/>
                    </w:rPr>
                    <w:t>5246.8</w:t>
                  </w:r>
                  <w:r>
                    <w:rPr>
                      <w:rFonts w:hint="default" w:ascii="Times New Roman" w:hAnsi="Times New Roman" w:cs="Times New Roman"/>
                      <w:bCs/>
                      <w:color w:val="auto"/>
                      <w:kern w:val="2"/>
                      <w:sz w:val="21"/>
                      <w:szCs w:val="21"/>
                    </w:rPr>
                    <w:t>m</w:t>
                  </w:r>
                  <w:r>
                    <w:rPr>
                      <w:rFonts w:hint="default" w:ascii="Times New Roman" w:hAnsi="Times New Roman" w:cs="Times New Roman"/>
                      <w:bCs/>
                      <w:color w:val="auto"/>
                      <w:kern w:val="2"/>
                      <w:sz w:val="21"/>
                      <w:szCs w:val="21"/>
                      <w:vertAlign w:val="superscript"/>
                    </w:rPr>
                    <w:t>3</w:t>
                  </w:r>
                </w:p>
              </w:tc>
              <w:tc>
                <w:tcPr>
                  <w:tcW w:w="2474" w:type="dxa"/>
                  <w:vAlign w:val="center"/>
                </w:tcPr>
                <w:p w14:paraId="09F8E539">
                  <w:pPr>
                    <w:pStyle w:val="89"/>
                    <w:keepNext w:val="0"/>
                    <w:keepLines w:val="0"/>
                    <w:widowControl/>
                    <w:suppressLineNumbers w:val="0"/>
                    <w:spacing w:before="0" w:beforeAutospacing="0" w:after="0" w:afterAutospacing="0" w:line="276" w:lineRule="auto"/>
                    <w:ind w:left="0" w:right="0"/>
                    <w:jc w:val="center"/>
                    <w:rPr>
                      <w:rFonts w:hint="default"/>
                      <w:bCs/>
                      <w:color w:val="auto"/>
                    </w:rPr>
                  </w:pPr>
                  <w:r>
                    <w:rPr>
                      <w:rFonts w:hint="eastAsia" w:ascii="宋体" w:hAnsi="宋体"/>
                      <w:bCs/>
                      <w:color w:val="auto"/>
                    </w:rPr>
                    <w:t>/</w:t>
                  </w:r>
                </w:p>
              </w:tc>
              <w:tc>
                <w:tcPr>
                  <w:tcW w:w="2474" w:type="dxa"/>
                  <w:vAlign w:val="center"/>
                </w:tcPr>
                <w:p w14:paraId="66E76E70">
                  <w:pPr>
                    <w:pStyle w:val="89"/>
                    <w:keepNext w:val="0"/>
                    <w:keepLines w:val="0"/>
                    <w:widowControl/>
                    <w:suppressLineNumbers w:val="0"/>
                    <w:spacing w:before="0" w:beforeAutospacing="0" w:after="0" w:afterAutospacing="0" w:line="276" w:lineRule="auto"/>
                    <w:ind w:left="0" w:right="0"/>
                    <w:jc w:val="center"/>
                    <w:rPr>
                      <w:rFonts w:hint="default"/>
                      <w:bCs/>
                      <w:color w:val="auto"/>
                    </w:rPr>
                  </w:pPr>
                  <w:r>
                    <w:rPr>
                      <w:rFonts w:hint="eastAsia" w:ascii="宋体" w:hAnsi="宋体"/>
                      <w:bCs/>
                      <w:color w:val="auto"/>
                    </w:rPr>
                    <w:t>市政供水，</w:t>
                  </w:r>
                  <w:r>
                    <w:rPr>
                      <w:rFonts w:hint="eastAsia"/>
                      <w:color w:val="auto"/>
                    </w:rPr>
                    <w:t>总用水量</w:t>
                  </w:r>
                  <w:r>
                    <w:rPr>
                      <w:rFonts w:hint="eastAsia"/>
                      <w:bCs/>
                      <w:color w:val="auto"/>
                    </w:rPr>
                    <w:t>5246.8m</w:t>
                  </w:r>
                  <w:r>
                    <w:rPr>
                      <w:rFonts w:hint="eastAsia"/>
                      <w:bCs/>
                      <w:color w:val="auto"/>
                      <w:vertAlign w:val="superscript"/>
                    </w:rPr>
                    <w:t>3</w:t>
                  </w:r>
                  <w:r>
                    <w:rPr>
                      <w:rFonts w:hint="default"/>
                      <w:bCs/>
                      <w:color w:val="auto"/>
                    </w:rPr>
                    <w:t>/</w:t>
                  </w:r>
                  <w:r>
                    <w:rPr>
                      <w:rFonts w:hint="eastAsia"/>
                      <w:bCs/>
                      <w:color w:val="auto"/>
                    </w:rPr>
                    <w:t>a</w:t>
                  </w:r>
                </w:p>
              </w:tc>
              <w:tc>
                <w:tcPr>
                  <w:tcW w:w="2653" w:type="dxa"/>
                  <w:vAlign w:val="center"/>
                </w:tcPr>
                <w:p w14:paraId="71365A1F">
                  <w:pPr>
                    <w:pStyle w:val="89"/>
                    <w:keepNext w:val="0"/>
                    <w:keepLines w:val="0"/>
                    <w:widowControl/>
                    <w:suppressLineNumbers w:val="0"/>
                    <w:spacing w:before="0" w:beforeAutospacing="0" w:after="0" w:afterAutospacing="0" w:line="276" w:lineRule="auto"/>
                    <w:ind w:left="0" w:right="0"/>
                    <w:jc w:val="center"/>
                    <w:rPr>
                      <w:rFonts w:hint="eastAsia" w:eastAsia="宋体"/>
                      <w:color w:val="auto"/>
                      <w:lang w:eastAsia="zh-CN"/>
                    </w:rPr>
                  </w:pPr>
                  <w:r>
                    <w:rPr>
                      <w:rFonts w:hint="default"/>
                      <w:bCs/>
                      <w:color w:val="auto"/>
                    </w:rPr>
                    <w:t>依托</w:t>
                  </w:r>
                  <w:r>
                    <w:rPr>
                      <w:rFonts w:hint="eastAsia" w:ascii="宋体" w:hAnsi="宋体"/>
                      <w:bCs/>
                      <w:color w:val="auto"/>
                    </w:rPr>
                    <w:t>现有市政供水</w:t>
                  </w:r>
                  <w:r>
                    <w:rPr>
                      <w:rStyle w:val="28"/>
                      <w:rFonts w:hint="eastAsia" w:ascii="宋体" w:hAnsi="宋体" w:cs="宋体"/>
                      <w:color w:val="auto"/>
                      <w:kern w:val="0"/>
                      <w:lang w:eastAsia="zh-CN"/>
                    </w:rPr>
                    <w:t>，没有变化</w:t>
                  </w:r>
                </w:p>
              </w:tc>
            </w:tr>
            <w:tr w14:paraId="7AB57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1BF946ED">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2400" w:type="dxa"/>
                  <w:gridSpan w:val="4"/>
                  <w:vAlign w:val="center"/>
                </w:tcPr>
                <w:p w14:paraId="124F0A0C">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排水</w:t>
                  </w:r>
                </w:p>
              </w:tc>
              <w:tc>
                <w:tcPr>
                  <w:tcW w:w="2274" w:type="dxa"/>
                  <w:vAlign w:val="center"/>
                </w:tcPr>
                <w:p w14:paraId="3AC9E1B9">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雨污分流系统。项目无生产废水外排，生活污水经园区化粪池预处理后接入市政污水管网排入凤台县经济开发区凤凰湖园区污水处理厂</w:t>
                  </w:r>
                </w:p>
              </w:tc>
              <w:tc>
                <w:tcPr>
                  <w:tcW w:w="2474" w:type="dxa"/>
                  <w:vAlign w:val="center"/>
                </w:tcPr>
                <w:p w14:paraId="7A3C244D">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w:t>
                  </w:r>
                </w:p>
              </w:tc>
              <w:tc>
                <w:tcPr>
                  <w:tcW w:w="2474" w:type="dxa"/>
                  <w:vAlign w:val="center"/>
                </w:tcPr>
                <w:p w14:paraId="621947CD">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雨污分流系统。项目无生产废水外排，生活污水经园区化粪池预处理后接入市政污水管网排入凤台县经济开发区凤凰湖园区污水处理厂</w:t>
                  </w:r>
                </w:p>
              </w:tc>
              <w:tc>
                <w:tcPr>
                  <w:tcW w:w="2653" w:type="dxa"/>
                  <w:vAlign w:val="center"/>
                </w:tcPr>
                <w:p w14:paraId="26314DDB">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依托现有</w:t>
                  </w:r>
                </w:p>
              </w:tc>
            </w:tr>
            <w:tr w14:paraId="70F3B2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vAlign w:val="center"/>
                </w:tcPr>
                <w:p w14:paraId="60803544">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环保工程</w:t>
                  </w:r>
                </w:p>
              </w:tc>
              <w:tc>
                <w:tcPr>
                  <w:tcW w:w="2400" w:type="dxa"/>
                  <w:gridSpan w:val="4"/>
                  <w:vMerge w:val="restart"/>
                  <w:vAlign w:val="center"/>
                </w:tcPr>
                <w:p w14:paraId="323E3CE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废气</w:t>
                  </w:r>
                </w:p>
              </w:tc>
              <w:tc>
                <w:tcPr>
                  <w:tcW w:w="2274" w:type="dxa"/>
                  <w:vAlign w:val="center"/>
                </w:tcPr>
                <w:p w14:paraId="2243596F">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color w:val="auto"/>
                      <w:kern w:val="2"/>
                      <w:sz w:val="21"/>
                      <w:szCs w:val="21"/>
                    </w:rPr>
                    <w:t>DHT变速器生产线</w:t>
                  </w:r>
                  <w:r>
                    <w:rPr>
                      <w:rFonts w:hint="default" w:ascii="Times New Roman" w:hAnsi="Times New Roman" w:cs="Times New Roman"/>
                      <w:color w:val="auto"/>
                      <w:kern w:val="2"/>
                      <w:sz w:val="21"/>
                      <w:szCs w:val="21"/>
                    </w:rPr>
                    <w:t>涂胶及烘干废气</w:t>
                  </w:r>
                  <w:r>
                    <w:rPr>
                      <w:rFonts w:hint="eastAsia" w:ascii="Times New Roman" w:hAnsi="Times New Roman" w:cs="Times New Roman"/>
                      <w:color w:val="auto"/>
                      <w:kern w:val="2"/>
                      <w:sz w:val="21"/>
                      <w:szCs w:val="21"/>
                    </w:rPr>
                    <w:t>无组织排放</w:t>
                  </w:r>
                </w:p>
              </w:tc>
              <w:tc>
                <w:tcPr>
                  <w:tcW w:w="2474" w:type="dxa"/>
                  <w:vAlign w:val="center"/>
                </w:tcPr>
                <w:p w14:paraId="728FEF94">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cs="Times New Roman"/>
                      <w:b/>
                      <w:color w:val="auto"/>
                      <w:kern w:val="2"/>
                      <w:sz w:val="21"/>
                      <w:szCs w:val="21"/>
                    </w:rPr>
                    <w:t>/</w:t>
                  </w:r>
                </w:p>
              </w:tc>
              <w:tc>
                <w:tcPr>
                  <w:tcW w:w="2474" w:type="dxa"/>
                  <w:vAlign w:val="center"/>
                </w:tcPr>
                <w:p w14:paraId="5EE3B228">
                  <w:pPr>
                    <w:keepNext w:val="0"/>
                    <w:keepLines w:val="0"/>
                    <w:widowControl/>
                    <w:suppressLineNumbers w:val="0"/>
                    <w:spacing w:before="0" w:beforeAutospacing="0" w:after="0" w:afterAutospacing="0"/>
                    <w:ind w:left="0" w:right="0"/>
                    <w:jc w:val="center"/>
                    <w:rPr>
                      <w:rFonts w:hint="default" w:ascii="Times New Roman" w:cs="Times New Roman"/>
                      <w:bCs/>
                      <w:color w:val="auto"/>
                      <w:kern w:val="2"/>
                      <w:sz w:val="21"/>
                      <w:szCs w:val="21"/>
                    </w:rPr>
                  </w:pPr>
                  <w:r>
                    <w:rPr>
                      <w:rFonts w:hint="eastAsia" w:ascii="Times New Roman" w:hAnsi="Times New Roman" w:cs="Times New Roman"/>
                      <w:color w:val="auto"/>
                      <w:kern w:val="2"/>
                      <w:sz w:val="21"/>
                      <w:szCs w:val="21"/>
                    </w:rPr>
                    <w:t>DHT变速器生产线</w:t>
                  </w:r>
                  <w:r>
                    <w:rPr>
                      <w:rFonts w:hint="default" w:ascii="Times New Roman" w:hAnsi="Times New Roman" w:cs="Times New Roman"/>
                      <w:color w:val="auto"/>
                      <w:kern w:val="2"/>
                      <w:sz w:val="21"/>
                      <w:szCs w:val="21"/>
                    </w:rPr>
                    <w:t>涂胶及烘干废气</w:t>
                  </w:r>
                  <w:r>
                    <w:rPr>
                      <w:rFonts w:hint="eastAsia" w:ascii="Times New Roman" w:hAnsi="Times New Roman" w:cs="Times New Roman"/>
                      <w:color w:val="auto"/>
                      <w:kern w:val="2"/>
                      <w:sz w:val="21"/>
                      <w:szCs w:val="21"/>
                    </w:rPr>
                    <w:t>无组织排放</w:t>
                  </w:r>
                </w:p>
              </w:tc>
              <w:tc>
                <w:tcPr>
                  <w:tcW w:w="2653" w:type="dxa"/>
                  <w:vAlign w:val="center"/>
                </w:tcPr>
                <w:p w14:paraId="0EEB814D">
                  <w:pPr>
                    <w:keepNext w:val="0"/>
                    <w:keepLines w:val="0"/>
                    <w:widowControl/>
                    <w:suppressLineNumbers w:val="0"/>
                    <w:spacing w:before="0" w:beforeAutospacing="0" w:after="0" w:afterAutospacing="0" w:line="276" w:lineRule="auto"/>
                    <w:ind w:left="0" w:right="0"/>
                    <w:jc w:val="center"/>
                    <w:rPr>
                      <w:rFonts w:hint="default"/>
                      <w:color w:val="auto"/>
                      <w:kern w:val="2"/>
                    </w:rPr>
                  </w:pPr>
                  <w:r>
                    <w:rPr>
                      <w:rFonts w:hint="default" w:ascii="Times New Roman" w:hAnsi="Times New Roman" w:cs="Times New Roman"/>
                      <w:bCs/>
                      <w:color w:val="auto"/>
                      <w:kern w:val="2"/>
                      <w:sz w:val="21"/>
                      <w:szCs w:val="21"/>
                    </w:rPr>
                    <w:t>依托现有</w:t>
                  </w:r>
                </w:p>
              </w:tc>
            </w:tr>
            <w:tr w14:paraId="01BC5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3E303661">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2400" w:type="dxa"/>
                  <w:gridSpan w:val="4"/>
                  <w:vMerge w:val="continue"/>
                  <w:vAlign w:val="center"/>
                </w:tcPr>
                <w:p w14:paraId="6C4333FC">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2274" w:type="dxa"/>
                  <w:vAlign w:val="center"/>
                </w:tcPr>
                <w:p w14:paraId="3262C02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DHT变速器生产线</w:t>
                  </w:r>
                  <w:r>
                    <w:rPr>
                      <w:rFonts w:hint="default" w:ascii="Times New Roman" w:hAnsi="Times New Roman" w:cs="Times New Roman"/>
                      <w:color w:val="auto"/>
                      <w:kern w:val="2"/>
                      <w:sz w:val="21"/>
                      <w:szCs w:val="21"/>
                    </w:rPr>
                    <w:t>加油、抽油</w:t>
                  </w:r>
                  <w:r>
                    <w:rPr>
                      <w:rFonts w:hint="eastAsia" w:ascii="Times New Roman" w:hAnsi="Times New Roman" w:cs="Times New Roman"/>
                      <w:color w:val="auto"/>
                      <w:kern w:val="2"/>
                      <w:sz w:val="21"/>
                      <w:szCs w:val="21"/>
                    </w:rPr>
                    <w:t>废气无组织</w:t>
                  </w:r>
                  <w:r>
                    <w:rPr>
                      <w:rFonts w:hint="default" w:ascii="Times New Roman" w:hAnsi="Times New Roman" w:cs="Times New Roman"/>
                      <w:color w:val="auto"/>
                      <w:kern w:val="2"/>
                      <w:sz w:val="21"/>
                      <w:szCs w:val="21"/>
                    </w:rPr>
                    <w:t>排放</w:t>
                  </w:r>
                </w:p>
              </w:tc>
              <w:tc>
                <w:tcPr>
                  <w:tcW w:w="2474" w:type="dxa"/>
                  <w:vAlign w:val="center"/>
                </w:tcPr>
                <w:p w14:paraId="28C72733">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cs="Times New Roman"/>
                      <w:b/>
                      <w:bCs/>
                      <w:color w:val="auto"/>
                      <w:kern w:val="2"/>
                      <w:sz w:val="21"/>
                      <w:szCs w:val="21"/>
                    </w:rPr>
                    <w:t>/</w:t>
                  </w:r>
                </w:p>
              </w:tc>
              <w:tc>
                <w:tcPr>
                  <w:tcW w:w="2474" w:type="dxa"/>
                  <w:vAlign w:val="center"/>
                </w:tcPr>
                <w:p w14:paraId="4A8CF24A">
                  <w:pPr>
                    <w:keepNext w:val="0"/>
                    <w:keepLines w:val="0"/>
                    <w:widowControl/>
                    <w:suppressLineNumbers w:val="0"/>
                    <w:spacing w:before="0" w:beforeAutospacing="0" w:after="0" w:afterAutospacing="0"/>
                    <w:ind w:left="0" w:right="0"/>
                    <w:jc w:val="center"/>
                    <w:rPr>
                      <w:rFonts w:hint="default" w:ascii="Times New Roman"/>
                      <w:bCs/>
                      <w:color w:val="auto"/>
                      <w:kern w:val="2"/>
                      <w:sz w:val="21"/>
                      <w:szCs w:val="21"/>
                    </w:rPr>
                  </w:pPr>
                  <w:r>
                    <w:rPr>
                      <w:rFonts w:hint="eastAsia" w:ascii="Times New Roman" w:hAnsi="Times New Roman" w:cs="Times New Roman"/>
                      <w:color w:val="auto"/>
                      <w:kern w:val="2"/>
                      <w:sz w:val="21"/>
                      <w:szCs w:val="21"/>
                    </w:rPr>
                    <w:t>DHT变速器生产线</w:t>
                  </w:r>
                  <w:r>
                    <w:rPr>
                      <w:rFonts w:hint="default" w:ascii="Times New Roman" w:hAnsi="Times New Roman" w:cs="Times New Roman"/>
                      <w:color w:val="auto"/>
                      <w:kern w:val="2"/>
                      <w:sz w:val="21"/>
                      <w:szCs w:val="21"/>
                    </w:rPr>
                    <w:t>加油、抽油</w:t>
                  </w:r>
                  <w:r>
                    <w:rPr>
                      <w:rFonts w:hint="eastAsia" w:ascii="Times New Roman" w:hAnsi="Times New Roman" w:cs="Times New Roman"/>
                      <w:color w:val="auto"/>
                      <w:kern w:val="2"/>
                      <w:sz w:val="21"/>
                      <w:szCs w:val="21"/>
                    </w:rPr>
                    <w:t>废气无组织</w:t>
                  </w:r>
                  <w:r>
                    <w:rPr>
                      <w:rFonts w:hint="default" w:ascii="Times New Roman" w:hAnsi="Times New Roman" w:cs="Times New Roman"/>
                      <w:color w:val="auto"/>
                      <w:kern w:val="2"/>
                      <w:sz w:val="21"/>
                      <w:szCs w:val="21"/>
                    </w:rPr>
                    <w:t>排放</w:t>
                  </w:r>
                </w:p>
              </w:tc>
              <w:tc>
                <w:tcPr>
                  <w:tcW w:w="2653" w:type="dxa"/>
                  <w:vAlign w:val="center"/>
                </w:tcPr>
                <w:p w14:paraId="71561E8E">
                  <w:pPr>
                    <w:keepNext w:val="0"/>
                    <w:keepLines w:val="0"/>
                    <w:widowControl/>
                    <w:suppressLineNumbers w:val="0"/>
                    <w:spacing w:before="0" w:beforeAutospacing="0" w:after="0" w:afterAutospacing="0" w:line="276" w:lineRule="auto"/>
                    <w:ind w:left="0" w:right="0"/>
                    <w:jc w:val="center"/>
                    <w:rPr>
                      <w:rFonts w:hint="default"/>
                      <w:bCs/>
                      <w:color w:val="auto"/>
                      <w:kern w:val="2"/>
                    </w:rPr>
                  </w:pPr>
                  <w:r>
                    <w:rPr>
                      <w:rFonts w:hint="default" w:ascii="Times New Roman" w:hAnsi="Times New Roman" w:cs="Times New Roman"/>
                      <w:bCs/>
                      <w:color w:val="auto"/>
                      <w:kern w:val="2"/>
                      <w:sz w:val="21"/>
                      <w:szCs w:val="21"/>
                    </w:rPr>
                    <w:t>依托现有</w:t>
                  </w:r>
                </w:p>
              </w:tc>
            </w:tr>
            <w:tr w14:paraId="2AA11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41B3E43A">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2400" w:type="dxa"/>
                  <w:gridSpan w:val="4"/>
                  <w:vMerge w:val="continue"/>
                  <w:vAlign w:val="center"/>
                </w:tcPr>
                <w:p w14:paraId="15A1D398">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2274" w:type="dxa"/>
                  <w:vAlign w:val="center"/>
                </w:tcPr>
                <w:p w14:paraId="3619818D">
                  <w:pPr>
                    <w:keepNext w:val="0"/>
                    <w:keepLines w:val="0"/>
                    <w:widowControl/>
                    <w:suppressLineNumbers w:val="0"/>
                    <w:spacing w:before="0" w:beforeAutospacing="0" w:after="0" w:afterAutospacing="0"/>
                    <w:ind w:left="0" w:right="0"/>
                    <w:jc w:val="center"/>
                    <w:rPr>
                      <w:rFonts w:hint="default" w:ascii="Times New Roman" w:cs="Times New Roman"/>
                      <w:b/>
                      <w:bCs/>
                      <w:color w:val="auto"/>
                      <w:kern w:val="2"/>
                      <w:sz w:val="21"/>
                      <w:szCs w:val="21"/>
                    </w:rPr>
                  </w:pPr>
                  <w:r>
                    <w:rPr>
                      <w:rFonts w:hint="default" w:ascii="Times New Roman" w:hAnsi="Times New Roman" w:cs="Times New Roman"/>
                      <w:color w:val="auto"/>
                      <w:kern w:val="2"/>
                      <w:sz w:val="21"/>
                      <w:szCs w:val="21"/>
                    </w:rPr>
                    <w:t>激光打标废气采用移动式激光烟雾净化器</w:t>
                  </w:r>
                </w:p>
              </w:tc>
              <w:tc>
                <w:tcPr>
                  <w:tcW w:w="2474" w:type="dxa"/>
                  <w:vAlign w:val="center"/>
                </w:tcPr>
                <w:p w14:paraId="60A5EACE">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cs="Times New Roman"/>
                      <w:b/>
                      <w:bCs/>
                      <w:color w:val="auto"/>
                      <w:kern w:val="2"/>
                      <w:sz w:val="21"/>
                      <w:szCs w:val="21"/>
                    </w:rPr>
                  </w:pPr>
                  <w:r>
                    <w:rPr>
                      <w:rFonts w:hint="eastAsia" w:ascii="Times New Roman" w:cs="Times New Roman"/>
                      <w:b/>
                      <w:bCs/>
                      <w:color w:val="auto"/>
                      <w:kern w:val="2"/>
                      <w:sz w:val="21"/>
                      <w:szCs w:val="21"/>
                    </w:rPr>
                    <w:t>/</w:t>
                  </w:r>
                </w:p>
              </w:tc>
              <w:tc>
                <w:tcPr>
                  <w:tcW w:w="2474" w:type="dxa"/>
                  <w:vAlign w:val="center"/>
                </w:tcPr>
                <w:p w14:paraId="232AD7FA">
                  <w:pPr>
                    <w:keepNext w:val="0"/>
                    <w:keepLines w:val="0"/>
                    <w:widowControl/>
                    <w:suppressLineNumbers w:val="0"/>
                    <w:spacing w:before="0" w:beforeAutospacing="0" w:after="0" w:afterAutospacing="0"/>
                    <w:ind w:left="0" w:right="0"/>
                    <w:jc w:val="center"/>
                    <w:rPr>
                      <w:rFonts w:hint="default" w:ascii="Times New Roman"/>
                      <w:bCs/>
                      <w:color w:val="auto"/>
                      <w:kern w:val="2"/>
                      <w:sz w:val="21"/>
                      <w:szCs w:val="21"/>
                    </w:rPr>
                  </w:pPr>
                  <w:r>
                    <w:rPr>
                      <w:rFonts w:hint="default" w:ascii="Times New Roman" w:hAnsi="Times New Roman" w:cs="Times New Roman"/>
                      <w:color w:val="auto"/>
                      <w:kern w:val="2"/>
                      <w:sz w:val="21"/>
                      <w:szCs w:val="21"/>
                    </w:rPr>
                    <w:t>激光打标废气采用移动式激光烟雾净化器</w:t>
                  </w:r>
                </w:p>
              </w:tc>
              <w:tc>
                <w:tcPr>
                  <w:tcW w:w="2653" w:type="dxa"/>
                  <w:vAlign w:val="center"/>
                </w:tcPr>
                <w:p w14:paraId="5355E3FF">
                  <w:pPr>
                    <w:pStyle w:val="29"/>
                    <w:suppressLineNumbers w:val="0"/>
                    <w:adjustRightInd/>
                    <w:spacing w:beforeAutospacing="0" w:afterAutospacing="0" w:line="276" w:lineRule="auto"/>
                    <w:ind w:left="0" w:right="0"/>
                    <w:jc w:val="center"/>
                    <w:rPr>
                      <w:rFonts w:hint="default" w:ascii="Times New Roman"/>
                      <w:color w:val="auto"/>
                      <w:kern w:val="2"/>
                      <w:sz w:val="21"/>
                      <w:szCs w:val="21"/>
                    </w:rPr>
                  </w:pPr>
                  <w:r>
                    <w:rPr>
                      <w:rFonts w:hint="eastAsia" w:ascii="Times New Roman"/>
                      <w:color w:val="auto"/>
                      <w:kern w:val="2"/>
                      <w:sz w:val="21"/>
                      <w:szCs w:val="21"/>
                    </w:rPr>
                    <w:t>/</w:t>
                  </w:r>
                </w:p>
              </w:tc>
            </w:tr>
            <w:tr w14:paraId="520A38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30794F8E">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2400" w:type="dxa"/>
                  <w:gridSpan w:val="4"/>
                  <w:vMerge w:val="continue"/>
                  <w:vAlign w:val="center"/>
                </w:tcPr>
                <w:p w14:paraId="15C8DA86">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2274" w:type="dxa"/>
                  <w:vAlign w:val="center"/>
                </w:tcPr>
                <w:p w14:paraId="59914AA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碳氢清洗机</w:t>
                  </w:r>
                  <w:r>
                    <w:rPr>
                      <w:rFonts w:hint="eastAsia" w:ascii="Times New Roman" w:hAnsi="Times New Roman" w:cs="Times New Roman"/>
                      <w:color w:val="auto"/>
                      <w:kern w:val="2"/>
                      <w:sz w:val="21"/>
                      <w:szCs w:val="21"/>
                      <w:lang w:val="en-US" w:eastAsia="zh-CN"/>
                    </w:rPr>
                    <w:t>和蒸馏再生系统</w:t>
                  </w:r>
                  <w:r>
                    <w:rPr>
                      <w:rFonts w:hint="default" w:ascii="Times New Roman" w:hAnsi="Times New Roman" w:cs="Times New Roman"/>
                      <w:color w:val="auto"/>
                      <w:kern w:val="2"/>
                      <w:sz w:val="21"/>
                      <w:szCs w:val="21"/>
                    </w:rPr>
                    <w:t>产生的废气采用密闭收集+二级活性炭吸附装置+15m排气筒（DA00</w:t>
                  </w:r>
                  <w:r>
                    <w:rPr>
                      <w:rFonts w:hint="eastAsia" w:ascii="Times New Roman" w:hAnsi="Times New Roman" w:cs="Times New Roman"/>
                      <w:color w:val="auto"/>
                      <w:kern w:val="2"/>
                      <w:sz w:val="21"/>
                      <w:szCs w:val="21"/>
                    </w:rPr>
                    <w:t>1</w:t>
                  </w:r>
                  <w:r>
                    <w:rPr>
                      <w:rFonts w:hint="default" w:ascii="Times New Roman" w:hAnsi="Times New Roman" w:cs="Times New Roman"/>
                      <w:color w:val="auto"/>
                      <w:kern w:val="2"/>
                      <w:sz w:val="21"/>
                      <w:szCs w:val="21"/>
                    </w:rPr>
                    <w:t>）</w:t>
                  </w:r>
                </w:p>
              </w:tc>
              <w:tc>
                <w:tcPr>
                  <w:tcW w:w="2474" w:type="dxa"/>
                  <w:vAlign w:val="center"/>
                </w:tcPr>
                <w:p w14:paraId="43E50F49">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cs="Times New Roman"/>
                      <w:b/>
                      <w:bCs/>
                      <w:color w:val="auto"/>
                      <w:kern w:val="2"/>
                      <w:sz w:val="21"/>
                      <w:szCs w:val="21"/>
                    </w:rPr>
                  </w:pPr>
                  <w:r>
                    <w:rPr>
                      <w:rFonts w:hint="eastAsia" w:ascii="Times New Roman" w:cs="Times New Roman"/>
                      <w:b/>
                      <w:bCs/>
                      <w:color w:val="auto"/>
                      <w:kern w:val="2"/>
                      <w:sz w:val="21"/>
                      <w:szCs w:val="21"/>
                    </w:rPr>
                    <w:t>/</w:t>
                  </w:r>
                </w:p>
              </w:tc>
              <w:tc>
                <w:tcPr>
                  <w:tcW w:w="2474" w:type="dxa"/>
                  <w:vAlign w:val="center"/>
                </w:tcPr>
                <w:p w14:paraId="4D4AA69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碳氢清洗机</w:t>
                  </w:r>
                  <w:r>
                    <w:rPr>
                      <w:rFonts w:hint="eastAsia" w:ascii="Times New Roman" w:hAnsi="Times New Roman" w:cs="Times New Roman"/>
                      <w:color w:val="auto"/>
                      <w:kern w:val="2"/>
                      <w:sz w:val="21"/>
                      <w:szCs w:val="21"/>
                      <w:lang w:val="en-US" w:eastAsia="zh-CN"/>
                    </w:rPr>
                    <w:t>和蒸馏再生系统</w:t>
                  </w:r>
                  <w:r>
                    <w:rPr>
                      <w:rFonts w:hint="default" w:ascii="Times New Roman" w:hAnsi="Times New Roman" w:cs="Times New Roman"/>
                      <w:color w:val="auto"/>
                      <w:kern w:val="2"/>
                      <w:sz w:val="21"/>
                      <w:szCs w:val="21"/>
                    </w:rPr>
                    <w:t>产生的废气采用密闭收集+二级活性炭吸附装置+15m排气筒（DA00</w:t>
                  </w:r>
                  <w:r>
                    <w:rPr>
                      <w:rFonts w:hint="eastAsia" w:ascii="Times New Roman" w:hAnsi="Times New Roman" w:cs="Times New Roman"/>
                      <w:color w:val="auto"/>
                      <w:kern w:val="2"/>
                      <w:sz w:val="21"/>
                      <w:szCs w:val="21"/>
                    </w:rPr>
                    <w:t>1</w:t>
                  </w:r>
                  <w:r>
                    <w:rPr>
                      <w:rFonts w:hint="default" w:ascii="Times New Roman" w:hAnsi="Times New Roman" w:cs="Times New Roman"/>
                      <w:color w:val="auto"/>
                      <w:kern w:val="2"/>
                      <w:sz w:val="21"/>
                      <w:szCs w:val="21"/>
                    </w:rPr>
                    <w:t>）</w:t>
                  </w:r>
                </w:p>
              </w:tc>
              <w:tc>
                <w:tcPr>
                  <w:tcW w:w="2653" w:type="dxa"/>
                  <w:vAlign w:val="center"/>
                </w:tcPr>
                <w:p w14:paraId="38E2F63A">
                  <w:pPr>
                    <w:keepNext w:val="0"/>
                    <w:keepLines w:val="0"/>
                    <w:widowControl/>
                    <w:suppressLineNumbers w:val="0"/>
                    <w:spacing w:before="0" w:beforeAutospacing="0" w:after="0" w:afterAutospacing="0"/>
                    <w:ind w:left="0" w:right="0"/>
                    <w:jc w:val="center"/>
                    <w:rPr>
                      <w:rFonts w:hint="default" w:ascii="Times New Roman"/>
                      <w:color w:val="auto"/>
                      <w:kern w:val="2"/>
                      <w:sz w:val="21"/>
                      <w:szCs w:val="21"/>
                    </w:rPr>
                  </w:pPr>
                  <w:r>
                    <w:rPr>
                      <w:rFonts w:hint="default" w:ascii="Times New Roman" w:hAnsi="Times New Roman" w:cs="Times New Roman"/>
                      <w:bCs/>
                      <w:color w:val="auto"/>
                      <w:kern w:val="2"/>
                      <w:sz w:val="21"/>
                      <w:szCs w:val="21"/>
                    </w:rPr>
                    <w:t>依托现有</w:t>
                  </w:r>
                </w:p>
              </w:tc>
            </w:tr>
            <w:tr w14:paraId="65AED9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6120D856">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2400" w:type="dxa"/>
                  <w:gridSpan w:val="4"/>
                  <w:vMerge w:val="continue"/>
                  <w:vAlign w:val="center"/>
                </w:tcPr>
                <w:p w14:paraId="515BF3D0">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2274" w:type="dxa"/>
                  <w:vAlign w:val="center"/>
                </w:tcPr>
                <w:p w14:paraId="3C155D36">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cs="Times New Roman"/>
                      <w:b/>
                      <w:color w:val="auto"/>
                      <w:kern w:val="2"/>
                      <w:sz w:val="21"/>
                      <w:szCs w:val="21"/>
                    </w:rPr>
                    <w:t>/</w:t>
                  </w:r>
                </w:p>
              </w:tc>
              <w:tc>
                <w:tcPr>
                  <w:tcW w:w="2474" w:type="dxa"/>
                  <w:vAlign w:val="center"/>
                </w:tcPr>
                <w:p w14:paraId="178ECB22">
                  <w:pPr>
                    <w:keepNext w:val="0"/>
                    <w:keepLines w:val="0"/>
                    <w:widowControl/>
                    <w:suppressLineNumbers w:val="0"/>
                    <w:spacing w:before="0" w:beforeAutospacing="0" w:after="0" w:afterAutospacing="0"/>
                    <w:ind w:left="0" w:right="0"/>
                    <w:jc w:val="center"/>
                    <w:rPr>
                      <w:rFonts w:hint="default" w:ascii="Times New Roman" w:cs="Times New Roman"/>
                      <w:b/>
                      <w:bCs/>
                      <w:color w:val="auto"/>
                      <w:kern w:val="2"/>
                      <w:sz w:val="21"/>
                      <w:szCs w:val="21"/>
                    </w:rPr>
                  </w:pPr>
                  <w:r>
                    <w:rPr>
                      <w:rFonts w:hint="eastAsia" w:ascii="Times New Roman" w:hAnsi="Times New Roman" w:cs="Times New Roman"/>
                      <w:color w:val="auto"/>
                      <w:kern w:val="2"/>
                      <w:sz w:val="21"/>
                      <w:szCs w:val="21"/>
                    </w:rPr>
                    <w:t>P1+P3构型混动变速箱生产线</w:t>
                  </w:r>
                  <w:r>
                    <w:rPr>
                      <w:rFonts w:hint="default" w:ascii="Times New Roman" w:hAnsi="Times New Roman" w:cs="Times New Roman"/>
                      <w:color w:val="auto"/>
                      <w:kern w:val="2"/>
                      <w:sz w:val="21"/>
                      <w:szCs w:val="21"/>
                    </w:rPr>
                    <w:t>涂胶废气</w:t>
                  </w:r>
                  <w:r>
                    <w:rPr>
                      <w:rFonts w:hint="eastAsia" w:ascii="Times New Roman" w:hAnsi="Times New Roman" w:cs="Times New Roman"/>
                      <w:color w:val="auto"/>
                      <w:kern w:val="2"/>
                      <w:sz w:val="21"/>
                      <w:szCs w:val="21"/>
                    </w:rPr>
                    <w:t>无组织排放</w:t>
                  </w:r>
                </w:p>
              </w:tc>
              <w:tc>
                <w:tcPr>
                  <w:tcW w:w="2474" w:type="dxa"/>
                  <w:shd w:val="clear" w:color="auto" w:fill="auto"/>
                  <w:vAlign w:val="center"/>
                </w:tcPr>
                <w:p w14:paraId="3F0167B4">
                  <w:pPr>
                    <w:keepNext w:val="0"/>
                    <w:keepLines w:val="0"/>
                    <w:widowControl/>
                    <w:suppressLineNumbers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color w:val="auto"/>
                      <w:kern w:val="2"/>
                      <w:sz w:val="21"/>
                      <w:szCs w:val="21"/>
                    </w:rPr>
                    <w:t>P1+P3构型混动变速箱生产线</w:t>
                  </w:r>
                  <w:r>
                    <w:rPr>
                      <w:rFonts w:hint="default" w:ascii="Times New Roman" w:hAnsi="Times New Roman" w:cs="Times New Roman"/>
                      <w:color w:val="auto"/>
                      <w:kern w:val="2"/>
                      <w:sz w:val="21"/>
                      <w:szCs w:val="21"/>
                    </w:rPr>
                    <w:t>涂胶废气</w:t>
                  </w:r>
                  <w:r>
                    <w:rPr>
                      <w:rFonts w:hint="eastAsia" w:ascii="Times New Roman" w:hAnsi="Times New Roman" w:cs="Times New Roman"/>
                      <w:color w:val="auto"/>
                      <w:kern w:val="2"/>
                      <w:sz w:val="21"/>
                      <w:szCs w:val="21"/>
                    </w:rPr>
                    <w:t>无组织排放</w:t>
                  </w:r>
                </w:p>
              </w:tc>
              <w:tc>
                <w:tcPr>
                  <w:tcW w:w="2653" w:type="dxa"/>
                  <w:shd w:val="clear" w:color="auto" w:fill="auto"/>
                  <w:vAlign w:val="center"/>
                </w:tcPr>
                <w:p w14:paraId="1A0C6E39">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cs="Times New Roman"/>
                      <w:b/>
                      <w:color w:val="auto"/>
                      <w:kern w:val="2"/>
                      <w:sz w:val="21"/>
                      <w:szCs w:val="21"/>
                    </w:rPr>
                    <w:t>/</w:t>
                  </w:r>
                </w:p>
              </w:tc>
            </w:tr>
            <w:tr w14:paraId="744736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380B26D6">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2400" w:type="dxa"/>
                  <w:gridSpan w:val="4"/>
                  <w:vMerge w:val="continue"/>
                  <w:vAlign w:val="center"/>
                </w:tcPr>
                <w:p w14:paraId="053A295D">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2274" w:type="dxa"/>
                  <w:vAlign w:val="center"/>
                </w:tcPr>
                <w:p w14:paraId="41779970">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eastAsia" w:ascii="Times New Roman" w:cs="Times New Roman"/>
                      <w:b/>
                      <w:bCs/>
                      <w:color w:val="auto"/>
                      <w:kern w:val="2"/>
                      <w:sz w:val="21"/>
                      <w:szCs w:val="21"/>
                    </w:rPr>
                    <w:t>/</w:t>
                  </w:r>
                </w:p>
              </w:tc>
              <w:tc>
                <w:tcPr>
                  <w:tcW w:w="2474" w:type="dxa"/>
                  <w:vAlign w:val="center"/>
                </w:tcPr>
                <w:p w14:paraId="56C4C1D7">
                  <w:pPr>
                    <w:keepNext w:val="0"/>
                    <w:keepLines w:val="0"/>
                    <w:widowControl/>
                    <w:suppressLineNumbers w:val="0"/>
                    <w:spacing w:before="0" w:beforeAutospacing="0" w:after="0" w:afterAutospacing="0"/>
                    <w:ind w:left="0" w:right="0"/>
                    <w:jc w:val="center"/>
                    <w:rPr>
                      <w:rFonts w:hint="default" w:ascii="Times New Roman" w:cs="Times New Roman"/>
                      <w:color w:val="auto"/>
                      <w:kern w:val="2"/>
                      <w:sz w:val="21"/>
                      <w:szCs w:val="21"/>
                    </w:rPr>
                  </w:pPr>
                  <w:r>
                    <w:rPr>
                      <w:rFonts w:hint="eastAsia" w:ascii="Times New Roman" w:hAnsi="Times New Roman" w:cs="Times New Roman"/>
                      <w:color w:val="auto"/>
                      <w:kern w:val="2"/>
                      <w:sz w:val="21"/>
                      <w:szCs w:val="21"/>
                    </w:rPr>
                    <w:t>P1+P3构型混动变速箱生产线</w:t>
                  </w:r>
                  <w:r>
                    <w:rPr>
                      <w:rFonts w:hint="default" w:ascii="Times New Roman" w:hAnsi="Times New Roman" w:cs="Times New Roman"/>
                      <w:color w:val="auto"/>
                      <w:kern w:val="2"/>
                      <w:sz w:val="21"/>
                      <w:szCs w:val="21"/>
                    </w:rPr>
                    <w:t>加油油雾</w:t>
                  </w:r>
                  <w:r>
                    <w:rPr>
                      <w:rFonts w:hint="eastAsia" w:ascii="Times New Roman" w:hAnsi="Times New Roman" w:cs="Times New Roman"/>
                      <w:color w:val="auto"/>
                      <w:kern w:val="2"/>
                      <w:sz w:val="21"/>
                      <w:szCs w:val="21"/>
                    </w:rPr>
                    <w:t>无组织</w:t>
                  </w:r>
                  <w:r>
                    <w:rPr>
                      <w:rFonts w:hint="default" w:ascii="Times New Roman" w:hAnsi="Times New Roman" w:cs="Times New Roman"/>
                      <w:color w:val="auto"/>
                      <w:kern w:val="2"/>
                      <w:sz w:val="21"/>
                      <w:szCs w:val="21"/>
                    </w:rPr>
                    <w:t>排放</w:t>
                  </w:r>
                </w:p>
              </w:tc>
              <w:tc>
                <w:tcPr>
                  <w:tcW w:w="2474" w:type="dxa"/>
                  <w:shd w:val="clear" w:color="auto" w:fill="auto"/>
                  <w:vAlign w:val="center"/>
                </w:tcPr>
                <w:p w14:paraId="351B59B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P1+P3构型混动变速箱生产线</w:t>
                  </w:r>
                  <w:r>
                    <w:rPr>
                      <w:rFonts w:hint="default" w:ascii="Times New Roman" w:hAnsi="Times New Roman" w:cs="Times New Roman"/>
                      <w:color w:val="auto"/>
                      <w:kern w:val="2"/>
                      <w:sz w:val="21"/>
                      <w:szCs w:val="21"/>
                    </w:rPr>
                    <w:t>加油油雾</w:t>
                  </w:r>
                  <w:r>
                    <w:rPr>
                      <w:rFonts w:hint="eastAsia" w:ascii="Times New Roman" w:hAnsi="Times New Roman" w:cs="Times New Roman"/>
                      <w:color w:val="auto"/>
                      <w:kern w:val="2"/>
                      <w:sz w:val="21"/>
                      <w:szCs w:val="21"/>
                    </w:rPr>
                    <w:t>无组织</w:t>
                  </w:r>
                  <w:r>
                    <w:rPr>
                      <w:rFonts w:hint="default" w:ascii="Times New Roman" w:hAnsi="Times New Roman" w:cs="Times New Roman"/>
                      <w:color w:val="auto"/>
                      <w:kern w:val="2"/>
                      <w:sz w:val="21"/>
                      <w:szCs w:val="21"/>
                    </w:rPr>
                    <w:t>排放</w:t>
                  </w:r>
                </w:p>
              </w:tc>
              <w:tc>
                <w:tcPr>
                  <w:tcW w:w="2653" w:type="dxa"/>
                  <w:shd w:val="clear" w:color="auto" w:fill="auto"/>
                  <w:vAlign w:val="center"/>
                </w:tcPr>
                <w:p w14:paraId="443825DA">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cs="Times New Roman"/>
                      <w:b/>
                      <w:bCs/>
                      <w:color w:val="auto"/>
                      <w:kern w:val="2"/>
                      <w:sz w:val="21"/>
                      <w:szCs w:val="21"/>
                    </w:rPr>
                    <w:t>/</w:t>
                  </w:r>
                </w:p>
              </w:tc>
            </w:tr>
            <w:tr w14:paraId="641A94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3C762B39">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2400" w:type="dxa"/>
                  <w:gridSpan w:val="4"/>
                  <w:vAlign w:val="center"/>
                </w:tcPr>
                <w:p w14:paraId="5707F906">
                  <w:pPr>
                    <w:pStyle w:val="29"/>
                    <w:suppressLineNumbers w:val="0"/>
                    <w:adjustRightInd/>
                    <w:spacing w:beforeAutospacing="0" w:afterAutospacing="0" w:line="276" w:lineRule="auto"/>
                    <w:ind w:left="0" w:right="0"/>
                    <w:jc w:val="center"/>
                    <w:rPr>
                      <w:rFonts w:hint="default" w:ascii="Times New Roman"/>
                      <w:bCs/>
                      <w:color w:val="auto"/>
                      <w:kern w:val="2"/>
                      <w:sz w:val="21"/>
                      <w:szCs w:val="21"/>
                    </w:rPr>
                  </w:pPr>
                  <w:r>
                    <w:rPr>
                      <w:rFonts w:hint="default" w:ascii="Times New Roman"/>
                      <w:bCs/>
                      <w:color w:val="auto"/>
                      <w:kern w:val="2"/>
                      <w:sz w:val="21"/>
                      <w:szCs w:val="21"/>
                    </w:rPr>
                    <w:t>废水</w:t>
                  </w:r>
                </w:p>
              </w:tc>
              <w:tc>
                <w:tcPr>
                  <w:tcW w:w="2274" w:type="dxa"/>
                  <w:vAlign w:val="center"/>
                </w:tcPr>
                <w:p w14:paraId="73D816E2">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雨污分流系统。项目无生产废水外排，生活污水经园区化粪池预处理后接入市政污水管网排入凤台县经济开发区凤凰湖园区污水处理厂</w:t>
                  </w:r>
                </w:p>
              </w:tc>
              <w:tc>
                <w:tcPr>
                  <w:tcW w:w="2474" w:type="dxa"/>
                  <w:vAlign w:val="center"/>
                </w:tcPr>
                <w:p w14:paraId="0D5B8551">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w:t>
                  </w:r>
                </w:p>
              </w:tc>
              <w:tc>
                <w:tcPr>
                  <w:tcW w:w="2474" w:type="dxa"/>
                  <w:shd w:val="clear" w:color="auto" w:fill="auto"/>
                  <w:vAlign w:val="center"/>
                </w:tcPr>
                <w:p w14:paraId="576D584A">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雨污分流系统。项目无生产废水外排，生活污水经园区化粪池预处理后接入市政污水管网排入凤台县经济开发区凤凰湖园区污水处理厂</w:t>
                  </w:r>
                </w:p>
              </w:tc>
              <w:tc>
                <w:tcPr>
                  <w:tcW w:w="2653" w:type="dxa"/>
                  <w:shd w:val="clear" w:color="auto" w:fill="auto"/>
                  <w:vAlign w:val="center"/>
                </w:tcPr>
                <w:p w14:paraId="5E70FEB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依托现有</w:t>
                  </w:r>
                </w:p>
              </w:tc>
            </w:tr>
            <w:tr w14:paraId="0B1FDA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71A65D23">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2400" w:type="dxa"/>
                  <w:gridSpan w:val="4"/>
                  <w:vAlign w:val="center"/>
                </w:tcPr>
                <w:p w14:paraId="7CD4A985">
                  <w:pPr>
                    <w:pStyle w:val="29"/>
                    <w:suppressLineNumbers w:val="0"/>
                    <w:adjustRightInd/>
                    <w:spacing w:beforeAutospacing="0" w:afterAutospacing="0" w:line="276" w:lineRule="auto"/>
                    <w:ind w:left="0" w:right="0"/>
                    <w:jc w:val="center"/>
                    <w:rPr>
                      <w:rFonts w:hint="default" w:ascii="Times New Roman"/>
                      <w:bCs/>
                      <w:color w:val="auto"/>
                      <w:kern w:val="2"/>
                      <w:sz w:val="21"/>
                      <w:szCs w:val="21"/>
                    </w:rPr>
                  </w:pPr>
                  <w:r>
                    <w:rPr>
                      <w:rFonts w:hint="default" w:ascii="Times New Roman"/>
                      <w:bCs/>
                      <w:color w:val="auto"/>
                      <w:kern w:val="2"/>
                      <w:sz w:val="21"/>
                      <w:szCs w:val="21"/>
                    </w:rPr>
                    <w:t>噪声</w:t>
                  </w:r>
                </w:p>
              </w:tc>
              <w:tc>
                <w:tcPr>
                  <w:tcW w:w="2274" w:type="dxa"/>
                  <w:vAlign w:val="center"/>
                </w:tcPr>
                <w:p w14:paraId="2C4D6BB7">
                  <w:pPr>
                    <w:pStyle w:val="29"/>
                    <w:suppressLineNumbers w:val="0"/>
                    <w:adjustRightInd/>
                    <w:spacing w:beforeAutospacing="0" w:afterAutospacing="0" w:line="276" w:lineRule="auto"/>
                    <w:ind w:left="0" w:right="0"/>
                    <w:jc w:val="center"/>
                    <w:rPr>
                      <w:rFonts w:hint="default" w:ascii="Times New Roman"/>
                      <w:bCs/>
                      <w:color w:val="auto"/>
                      <w:kern w:val="2"/>
                      <w:sz w:val="21"/>
                      <w:szCs w:val="21"/>
                    </w:rPr>
                  </w:pPr>
                  <w:r>
                    <w:rPr>
                      <w:rFonts w:hint="default" w:ascii="Times New Roman"/>
                      <w:bCs/>
                      <w:color w:val="auto"/>
                      <w:kern w:val="2"/>
                      <w:sz w:val="21"/>
                      <w:szCs w:val="21"/>
                    </w:rPr>
                    <w:t>设备减振消声</w:t>
                  </w:r>
                </w:p>
              </w:tc>
              <w:tc>
                <w:tcPr>
                  <w:tcW w:w="2474" w:type="dxa"/>
                  <w:vAlign w:val="center"/>
                </w:tcPr>
                <w:p w14:paraId="3D42A2D9">
                  <w:pPr>
                    <w:pStyle w:val="29"/>
                    <w:suppressLineNumbers w:val="0"/>
                    <w:adjustRightInd/>
                    <w:spacing w:beforeAutospacing="0" w:afterAutospacing="0" w:line="276" w:lineRule="auto"/>
                    <w:ind w:left="0" w:right="0"/>
                    <w:jc w:val="center"/>
                    <w:rPr>
                      <w:rFonts w:hint="default" w:ascii="Times New Roman"/>
                      <w:bCs/>
                      <w:color w:val="auto"/>
                      <w:kern w:val="2"/>
                      <w:sz w:val="21"/>
                      <w:szCs w:val="21"/>
                    </w:rPr>
                  </w:pPr>
                  <w:bookmarkStart w:id="7" w:name="OLE_LINK38"/>
                  <w:r>
                    <w:rPr>
                      <w:rFonts w:hint="default" w:ascii="Times New Roman"/>
                      <w:bCs/>
                      <w:color w:val="auto"/>
                      <w:kern w:val="2"/>
                      <w:sz w:val="21"/>
                      <w:szCs w:val="21"/>
                    </w:rPr>
                    <w:t>新增产噪设备采取消声、减振、隔声等措施</w:t>
                  </w:r>
                  <w:bookmarkEnd w:id="7"/>
                </w:p>
              </w:tc>
              <w:tc>
                <w:tcPr>
                  <w:tcW w:w="2474" w:type="dxa"/>
                  <w:vAlign w:val="center"/>
                </w:tcPr>
                <w:p w14:paraId="0D80DF8C">
                  <w:pPr>
                    <w:pStyle w:val="29"/>
                    <w:suppressLineNumbers w:val="0"/>
                    <w:adjustRightInd/>
                    <w:spacing w:beforeAutospacing="0" w:afterAutospacing="0" w:line="276" w:lineRule="auto"/>
                    <w:ind w:left="0" w:right="0"/>
                    <w:jc w:val="center"/>
                    <w:rPr>
                      <w:rFonts w:hint="default" w:ascii="Times New Roman"/>
                      <w:bCs/>
                      <w:color w:val="auto"/>
                      <w:kern w:val="2"/>
                      <w:sz w:val="21"/>
                      <w:szCs w:val="21"/>
                    </w:rPr>
                  </w:pPr>
                  <w:r>
                    <w:rPr>
                      <w:rFonts w:hint="default" w:ascii="Times New Roman"/>
                      <w:bCs/>
                      <w:color w:val="auto"/>
                      <w:kern w:val="2"/>
                      <w:sz w:val="21"/>
                      <w:szCs w:val="21"/>
                    </w:rPr>
                    <w:t>产噪设备采取消声、减振、隔声等措施</w:t>
                  </w:r>
                </w:p>
              </w:tc>
              <w:tc>
                <w:tcPr>
                  <w:tcW w:w="2653" w:type="dxa"/>
                  <w:vAlign w:val="center"/>
                </w:tcPr>
                <w:p w14:paraId="238AD7EA">
                  <w:pPr>
                    <w:pStyle w:val="29"/>
                    <w:suppressLineNumbers w:val="0"/>
                    <w:adjustRightInd/>
                    <w:spacing w:beforeAutospacing="0" w:afterAutospacing="0" w:line="276" w:lineRule="auto"/>
                    <w:ind w:left="0" w:right="0"/>
                    <w:jc w:val="center"/>
                    <w:rPr>
                      <w:rFonts w:hint="default" w:ascii="Times New Roman"/>
                      <w:bCs/>
                      <w:color w:val="auto"/>
                      <w:kern w:val="2"/>
                      <w:sz w:val="21"/>
                      <w:szCs w:val="21"/>
                    </w:rPr>
                  </w:pPr>
                  <w:r>
                    <w:rPr>
                      <w:rFonts w:hint="default" w:ascii="Times New Roman"/>
                      <w:bCs/>
                      <w:color w:val="auto"/>
                      <w:kern w:val="2"/>
                      <w:sz w:val="21"/>
                      <w:szCs w:val="21"/>
                    </w:rPr>
                    <w:t>新增产噪设备采取消声、减振、隔声等措施</w:t>
                  </w:r>
                </w:p>
              </w:tc>
            </w:tr>
            <w:tr w14:paraId="673D2F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9" w:hRule="atLeast"/>
                <w:jc w:val="center"/>
              </w:trPr>
              <w:tc>
                <w:tcPr>
                  <w:tcW w:w="427" w:type="dxa"/>
                  <w:vMerge w:val="continue"/>
                  <w:vAlign w:val="center"/>
                </w:tcPr>
                <w:p w14:paraId="55A3BA28">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958" w:type="dxa"/>
                  <w:gridSpan w:val="2"/>
                  <w:vMerge w:val="restart"/>
                  <w:vAlign w:val="center"/>
                </w:tcPr>
                <w:p w14:paraId="29C3CA00">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固废</w:t>
                  </w:r>
                </w:p>
              </w:tc>
              <w:tc>
                <w:tcPr>
                  <w:tcW w:w="1442" w:type="dxa"/>
                  <w:gridSpan w:val="2"/>
                  <w:vAlign w:val="center"/>
                </w:tcPr>
                <w:p w14:paraId="3138ED4C">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cs="Times New Roman"/>
                      <w:color w:val="auto"/>
                      <w:kern w:val="2"/>
                      <w:sz w:val="21"/>
                      <w:szCs w:val="21"/>
                    </w:rPr>
                    <w:t>一般工业固体废物</w:t>
                  </w:r>
                </w:p>
              </w:tc>
              <w:tc>
                <w:tcPr>
                  <w:tcW w:w="2274" w:type="dxa"/>
                  <w:vAlign w:val="center"/>
                </w:tcPr>
                <w:p w14:paraId="71DC22E7">
                  <w:pPr>
                    <w:pStyle w:val="29"/>
                    <w:suppressLineNumbers w:val="0"/>
                    <w:spacing w:beforeAutospacing="0" w:afterAutospacing="0" w:line="276" w:lineRule="auto"/>
                    <w:ind w:left="0" w:right="0"/>
                    <w:jc w:val="center"/>
                    <w:rPr>
                      <w:rFonts w:hint="default" w:ascii="Times New Roman"/>
                      <w:bCs/>
                      <w:color w:val="auto"/>
                      <w:kern w:val="2"/>
                      <w:sz w:val="21"/>
                      <w:szCs w:val="21"/>
                    </w:rPr>
                  </w:pPr>
                  <w:r>
                    <w:rPr>
                      <w:rFonts w:hint="default" w:ascii="Times New Roman"/>
                      <w:bCs/>
                      <w:color w:val="auto"/>
                      <w:kern w:val="2"/>
                      <w:sz w:val="21"/>
                      <w:szCs w:val="21"/>
                    </w:rPr>
                    <w:t>一般工业固体废物暂存间</w:t>
                  </w:r>
                  <w:r>
                    <w:rPr>
                      <w:rFonts w:hint="default" w:ascii="Times New Roman"/>
                      <w:color w:val="auto"/>
                      <w:kern w:val="2"/>
                      <w:sz w:val="21"/>
                      <w:szCs w:val="21"/>
                    </w:rPr>
                    <w:t>位于34#厂房东南侧，建筑面积50m</w:t>
                  </w:r>
                  <w:r>
                    <w:rPr>
                      <w:rFonts w:hint="default" w:ascii="Times New Roman"/>
                      <w:color w:val="auto"/>
                      <w:kern w:val="2"/>
                      <w:sz w:val="21"/>
                      <w:szCs w:val="21"/>
                      <w:vertAlign w:val="superscript"/>
                    </w:rPr>
                    <w:t>2</w:t>
                  </w:r>
                  <w:r>
                    <w:rPr>
                      <w:rFonts w:hint="eastAsia" w:ascii="Times New Roman"/>
                      <w:bCs/>
                      <w:color w:val="auto"/>
                      <w:kern w:val="2"/>
                      <w:sz w:val="21"/>
                      <w:szCs w:val="21"/>
                    </w:rPr>
                    <w:t>，</w:t>
                  </w:r>
                  <w:r>
                    <w:rPr>
                      <w:rFonts w:hint="default" w:ascii="Times New Roman"/>
                      <w:color w:val="auto"/>
                      <w:kern w:val="2"/>
                      <w:sz w:val="21"/>
                      <w:szCs w:val="21"/>
                    </w:rPr>
                    <w:t>不合格零件、废包装材料</w:t>
                  </w:r>
                  <w:r>
                    <w:rPr>
                      <w:rFonts w:hint="default" w:ascii="Times New Roman"/>
                      <w:bCs/>
                      <w:color w:val="auto"/>
                      <w:kern w:val="2"/>
                      <w:sz w:val="21"/>
                      <w:szCs w:val="21"/>
                    </w:rPr>
                    <w:t>，收集后外售综合利用</w:t>
                  </w:r>
                </w:p>
              </w:tc>
              <w:tc>
                <w:tcPr>
                  <w:tcW w:w="2474" w:type="dxa"/>
                  <w:vAlign w:val="center"/>
                </w:tcPr>
                <w:p w14:paraId="1C0CC8DF">
                  <w:pPr>
                    <w:pStyle w:val="29"/>
                    <w:suppressLineNumbers w:val="0"/>
                    <w:spacing w:beforeAutospacing="0" w:afterAutospacing="0" w:line="276" w:lineRule="auto"/>
                    <w:ind w:left="0" w:right="0"/>
                    <w:jc w:val="center"/>
                    <w:rPr>
                      <w:rFonts w:hint="default" w:ascii="Times New Roman"/>
                      <w:bCs/>
                      <w:color w:val="auto"/>
                      <w:kern w:val="2"/>
                      <w:sz w:val="21"/>
                      <w:szCs w:val="21"/>
                    </w:rPr>
                  </w:pPr>
                  <w:r>
                    <w:rPr>
                      <w:rFonts w:hint="eastAsia" w:ascii="Times New Roman"/>
                      <w:bCs/>
                      <w:color w:val="auto"/>
                      <w:kern w:val="2"/>
                      <w:sz w:val="21"/>
                      <w:szCs w:val="21"/>
                    </w:rPr>
                    <w:t>/</w:t>
                  </w:r>
                </w:p>
              </w:tc>
              <w:tc>
                <w:tcPr>
                  <w:tcW w:w="2474" w:type="dxa"/>
                  <w:vAlign w:val="center"/>
                </w:tcPr>
                <w:p w14:paraId="3E5CD770">
                  <w:pPr>
                    <w:pStyle w:val="29"/>
                    <w:suppressLineNumbers w:val="0"/>
                    <w:adjustRightInd/>
                    <w:spacing w:beforeAutospacing="0" w:afterAutospacing="0" w:line="276" w:lineRule="auto"/>
                    <w:ind w:left="0" w:right="0"/>
                    <w:jc w:val="center"/>
                    <w:rPr>
                      <w:rFonts w:hint="default" w:ascii="Times New Roman"/>
                      <w:bCs/>
                      <w:color w:val="auto"/>
                      <w:kern w:val="2"/>
                      <w:sz w:val="21"/>
                      <w:szCs w:val="21"/>
                    </w:rPr>
                  </w:pPr>
                  <w:r>
                    <w:rPr>
                      <w:rFonts w:hint="default" w:ascii="Times New Roman"/>
                      <w:bCs/>
                      <w:color w:val="auto"/>
                      <w:kern w:val="2"/>
                      <w:sz w:val="21"/>
                      <w:szCs w:val="21"/>
                    </w:rPr>
                    <w:t>一般工业固体废物暂存间</w:t>
                  </w:r>
                  <w:r>
                    <w:rPr>
                      <w:rFonts w:hint="default" w:ascii="Times New Roman"/>
                      <w:color w:val="auto"/>
                      <w:kern w:val="2"/>
                      <w:sz w:val="21"/>
                      <w:szCs w:val="21"/>
                    </w:rPr>
                    <w:t>位于34#厂房东南侧，建筑面积50m</w:t>
                  </w:r>
                  <w:r>
                    <w:rPr>
                      <w:rFonts w:hint="default" w:ascii="Times New Roman"/>
                      <w:color w:val="auto"/>
                      <w:kern w:val="2"/>
                      <w:sz w:val="21"/>
                      <w:szCs w:val="21"/>
                      <w:vertAlign w:val="superscript"/>
                    </w:rPr>
                    <w:t>2</w:t>
                  </w:r>
                  <w:r>
                    <w:rPr>
                      <w:rFonts w:hint="eastAsia" w:ascii="Times New Roman"/>
                      <w:bCs/>
                      <w:color w:val="auto"/>
                      <w:kern w:val="2"/>
                      <w:sz w:val="21"/>
                      <w:szCs w:val="21"/>
                    </w:rPr>
                    <w:t>，</w:t>
                  </w:r>
                  <w:r>
                    <w:rPr>
                      <w:rFonts w:hint="default" w:ascii="Times New Roman"/>
                      <w:color w:val="auto"/>
                      <w:kern w:val="2"/>
                      <w:sz w:val="21"/>
                      <w:szCs w:val="21"/>
                    </w:rPr>
                    <w:t>不合格零件、废包装材料</w:t>
                  </w:r>
                  <w:r>
                    <w:rPr>
                      <w:rFonts w:hint="default" w:ascii="Times New Roman"/>
                      <w:bCs/>
                      <w:color w:val="auto"/>
                      <w:kern w:val="2"/>
                      <w:sz w:val="21"/>
                      <w:szCs w:val="21"/>
                    </w:rPr>
                    <w:t>，收集后外售综合利用</w:t>
                  </w:r>
                </w:p>
              </w:tc>
              <w:tc>
                <w:tcPr>
                  <w:tcW w:w="2653" w:type="dxa"/>
                  <w:vAlign w:val="center"/>
                </w:tcPr>
                <w:p w14:paraId="6C650C57">
                  <w:pPr>
                    <w:pStyle w:val="29"/>
                    <w:suppressLineNumbers w:val="0"/>
                    <w:spacing w:beforeAutospacing="0" w:afterAutospacing="0" w:line="276" w:lineRule="auto"/>
                    <w:ind w:left="0" w:right="0"/>
                    <w:jc w:val="center"/>
                    <w:rPr>
                      <w:rFonts w:hint="default" w:ascii="Times New Roman"/>
                      <w:bCs/>
                      <w:color w:val="auto"/>
                      <w:kern w:val="2"/>
                      <w:sz w:val="21"/>
                      <w:szCs w:val="21"/>
                    </w:rPr>
                  </w:pPr>
                  <w:r>
                    <w:rPr>
                      <w:rFonts w:hint="eastAsia" w:ascii="Times New Roman"/>
                      <w:bCs/>
                      <w:color w:val="auto"/>
                      <w:kern w:val="2"/>
                      <w:sz w:val="21"/>
                      <w:szCs w:val="21"/>
                    </w:rPr>
                    <w:t>依托</w:t>
                  </w:r>
                  <w:r>
                    <w:rPr>
                      <w:rFonts w:hint="default" w:ascii="Times New Roman"/>
                      <w:bCs/>
                      <w:color w:val="auto"/>
                      <w:kern w:val="2"/>
                      <w:sz w:val="21"/>
                      <w:szCs w:val="21"/>
                    </w:rPr>
                    <w:t>现有一座</w:t>
                  </w:r>
                  <w:r>
                    <w:rPr>
                      <w:rFonts w:hint="eastAsia" w:ascii="Times New Roman"/>
                      <w:bCs/>
                      <w:color w:val="auto"/>
                      <w:kern w:val="2"/>
                      <w:sz w:val="21"/>
                      <w:szCs w:val="21"/>
                    </w:rPr>
                    <w:t>50m</w:t>
                  </w:r>
                  <w:r>
                    <w:rPr>
                      <w:rFonts w:hint="eastAsia" w:ascii="Times New Roman"/>
                      <w:bCs/>
                      <w:color w:val="auto"/>
                      <w:kern w:val="2"/>
                      <w:sz w:val="21"/>
                      <w:szCs w:val="21"/>
                      <w:vertAlign w:val="superscript"/>
                    </w:rPr>
                    <w:t>2</w:t>
                  </w:r>
                  <w:r>
                    <w:rPr>
                      <w:rFonts w:hint="eastAsia" w:ascii="Times New Roman"/>
                      <w:bCs/>
                      <w:color w:val="auto"/>
                      <w:kern w:val="2"/>
                      <w:sz w:val="21"/>
                      <w:szCs w:val="21"/>
                    </w:rPr>
                    <w:t>的一般工业固体废物暂存间</w:t>
                  </w:r>
                </w:p>
              </w:tc>
            </w:tr>
            <w:tr w14:paraId="4854CE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0DA9C74D">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958" w:type="dxa"/>
                  <w:gridSpan w:val="2"/>
                  <w:vMerge w:val="continue"/>
                  <w:vAlign w:val="center"/>
                </w:tcPr>
                <w:p w14:paraId="6A01E952">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1442" w:type="dxa"/>
                  <w:gridSpan w:val="2"/>
                  <w:vAlign w:val="center"/>
                </w:tcPr>
                <w:p w14:paraId="20512321">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危险废物</w:t>
                  </w:r>
                </w:p>
              </w:tc>
              <w:tc>
                <w:tcPr>
                  <w:tcW w:w="2274" w:type="dxa"/>
                  <w:vAlign w:val="center"/>
                </w:tcPr>
                <w:p w14:paraId="14E1D06D">
                  <w:pPr>
                    <w:pStyle w:val="29"/>
                    <w:suppressLineNumbers w:val="0"/>
                    <w:spacing w:beforeAutospacing="0" w:afterAutospacing="0" w:line="276" w:lineRule="auto"/>
                    <w:ind w:left="0" w:right="0"/>
                    <w:jc w:val="center"/>
                    <w:rPr>
                      <w:rFonts w:hint="default" w:ascii="Times New Roman"/>
                      <w:bCs/>
                      <w:color w:val="auto"/>
                      <w:kern w:val="2"/>
                      <w:sz w:val="21"/>
                      <w:szCs w:val="21"/>
                    </w:rPr>
                  </w:pPr>
                  <w:r>
                    <w:rPr>
                      <w:rFonts w:hint="eastAsia" w:ascii="Times New Roman"/>
                      <w:bCs/>
                      <w:color w:val="auto"/>
                      <w:kern w:val="2"/>
                      <w:sz w:val="21"/>
                      <w:szCs w:val="21"/>
                    </w:rPr>
                    <w:t>危险废物</w:t>
                  </w:r>
                  <w:r>
                    <w:rPr>
                      <w:rFonts w:hint="default" w:ascii="Times New Roman"/>
                      <w:bCs/>
                      <w:color w:val="auto"/>
                      <w:kern w:val="2"/>
                      <w:sz w:val="21"/>
                      <w:szCs w:val="21"/>
                    </w:rPr>
                    <w:t>暂存间</w:t>
                  </w:r>
                  <w:r>
                    <w:rPr>
                      <w:rFonts w:hint="default" w:ascii="Times New Roman"/>
                      <w:color w:val="auto"/>
                      <w:kern w:val="2"/>
                      <w:sz w:val="21"/>
                      <w:szCs w:val="21"/>
                    </w:rPr>
                    <w:t>位于34#厂房东南侧，建筑面积</w:t>
                  </w:r>
                  <w:r>
                    <w:rPr>
                      <w:rFonts w:hint="eastAsia" w:ascii="Times New Roman"/>
                      <w:color w:val="auto"/>
                      <w:kern w:val="2"/>
                      <w:sz w:val="21"/>
                      <w:szCs w:val="21"/>
                      <w:lang w:val="en-US" w:eastAsia="zh-CN"/>
                    </w:rPr>
                    <w:t>9</w:t>
                  </w:r>
                  <w:r>
                    <w:rPr>
                      <w:rFonts w:hint="default" w:ascii="Times New Roman"/>
                      <w:color w:val="auto"/>
                      <w:kern w:val="2"/>
                      <w:sz w:val="21"/>
                      <w:szCs w:val="21"/>
                    </w:rPr>
                    <w:t>0m</w:t>
                  </w:r>
                  <w:r>
                    <w:rPr>
                      <w:rFonts w:hint="default" w:ascii="Times New Roman"/>
                      <w:color w:val="auto"/>
                      <w:kern w:val="2"/>
                      <w:sz w:val="21"/>
                      <w:szCs w:val="21"/>
                      <w:vertAlign w:val="superscript"/>
                    </w:rPr>
                    <w:t>2</w:t>
                  </w:r>
                  <w:r>
                    <w:rPr>
                      <w:rFonts w:hint="eastAsia" w:ascii="Times New Roman"/>
                      <w:bCs/>
                      <w:color w:val="auto"/>
                      <w:kern w:val="2"/>
                      <w:sz w:val="21"/>
                      <w:szCs w:val="21"/>
                    </w:rPr>
                    <w:t>，主要暂存废活性炭、废润滑油、废包装桶、废胶管、碳氢清洗蒸馏废液、废槽液、废滤芯等</w:t>
                  </w:r>
                  <w:r>
                    <w:rPr>
                      <w:rFonts w:hint="default" w:ascii="Times New Roman"/>
                      <w:bCs/>
                      <w:color w:val="auto"/>
                      <w:kern w:val="2"/>
                      <w:sz w:val="21"/>
                      <w:szCs w:val="21"/>
                    </w:rPr>
                    <w:t>，暂存后委托有资质单位定期处置</w:t>
                  </w:r>
                </w:p>
              </w:tc>
              <w:tc>
                <w:tcPr>
                  <w:tcW w:w="2474" w:type="dxa"/>
                  <w:vAlign w:val="center"/>
                </w:tcPr>
                <w:p w14:paraId="01FDCB81">
                  <w:pPr>
                    <w:pStyle w:val="29"/>
                    <w:suppressLineNumbers w:val="0"/>
                    <w:spacing w:beforeAutospacing="0" w:afterAutospacing="0" w:line="276" w:lineRule="auto"/>
                    <w:ind w:left="0" w:right="0"/>
                    <w:jc w:val="center"/>
                    <w:rPr>
                      <w:rFonts w:hint="default" w:ascii="Times New Roman"/>
                      <w:bCs/>
                      <w:color w:val="auto"/>
                      <w:kern w:val="2"/>
                      <w:sz w:val="21"/>
                      <w:szCs w:val="21"/>
                    </w:rPr>
                  </w:pPr>
                  <w:r>
                    <w:rPr>
                      <w:rFonts w:hint="eastAsia" w:ascii="Times New Roman"/>
                      <w:bCs/>
                      <w:color w:val="auto"/>
                      <w:kern w:val="2"/>
                      <w:sz w:val="21"/>
                      <w:szCs w:val="21"/>
                    </w:rPr>
                    <w:t>/</w:t>
                  </w:r>
                </w:p>
              </w:tc>
              <w:tc>
                <w:tcPr>
                  <w:tcW w:w="2474" w:type="dxa"/>
                  <w:vAlign w:val="center"/>
                </w:tcPr>
                <w:p w14:paraId="0CFF0670">
                  <w:pPr>
                    <w:pStyle w:val="29"/>
                    <w:suppressLineNumbers w:val="0"/>
                    <w:spacing w:beforeAutospacing="0" w:afterAutospacing="0" w:line="276" w:lineRule="auto"/>
                    <w:ind w:left="0" w:right="0"/>
                    <w:jc w:val="center"/>
                    <w:rPr>
                      <w:rFonts w:hint="default" w:ascii="Times New Roman"/>
                      <w:bCs/>
                      <w:color w:val="auto"/>
                      <w:kern w:val="2"/>
                      <w:sz w:val="21"/>
                      <w:szCs w:val="21"/>
                    </w:rPr>
                  </w:pPr>
                  <w:r>
                    <w:rPr>
                      <w:rFonts w:hint="eastAsia" w:ascii="Times New Roman"/>
                      <w:bCs/>
                      <w:color w:val="auto"/>
                      <w:kern w:val="2"/>
                      <w:sz w:val="21"/>
                      <w:szCs w:val="21"/>
                    </w:rPr>
                    <w:t>危险废物</w:t>
                  </w:r>
                  <w:r>
                    <w:rPr>
                      <w:rFonts w:hint="default" w:ascii="Times New Roman"/>
                      <w:bCs/>
                      <w:color w:val="auto"/>
                      <w:kern w:val="2"/>
                      <w:sz w:val="21"/>
                      <w:szCs w:val="21"/>
                    </w:rPr>
                    <w:t>暂存间</w:t>
                  </w:r>
                  <w:r>
                    <w:rPr>
                      <w:rFonts w:hint="default" w:ascii="Times New Roman"/>
                      <w:color w:val="auto"/>
                      <w:kern w:val="2"/>
                      <w:sz w:val="21"/>
                      <w:szCs w:val="21"/>
                    </w:rPr>
                    <w:t>位于34#厂房东南侧，建筑面积</w:t>
                  </w:r>
                  <w:r>
                    <w:rPr>
                      <w:rFonts w:hint="eastAsia" w:ascii="Times New Roman"/>
                      <w:color w:val="auto"/>
                      <w:kern w:val="2"/>
                      <w:sz w:val="21"/>
                      <w:szCs w:val="21"/>
                      <w:lang w:val="en-US" w:eastAsia="zh-CN"/>
                    </w:rPr>
                    <w:t>9</w:t>
                  </w:r>
                  <w:r>
                    <w:rPr>
                      <w:rFonts w:hint="default" w:ascii="Times New Roman"/>
                      <w:color w:val="auto"/>
                      <w:kern w:val="2"/>
                      <w:sz w:val="21"/>
                      <w:szCs w:val="21"/>
                    </w:rPr>
                    <w:t>0m</w:t>
                  </w:r>
                  <w:r>
                    <w:rPr>
                      <w:rFonts w:hint="default" w:ascii="Times New Roman"/>
                      <w:color w:val="auto"/>
                      <w:kern w:val="2"/>
                      <w:sz w:val="21"/>
                      <w:szCs w:val="21"/>
                      <w:vertAlign w:val="superscript"/>
                    </w:rPr>
                    <w:t>2</w:t>
                  </w:r>
                  <w:r>
                    <w:rPr>
                      <w:rFonts w:hint="eastAsia" w:ascii="Times New Roman"/>
                      <w:bCs/>
                      <w:color w:val="auto"/>
                      <w:kern w:val="2"/>
                      <w:sz w:val="21"/>
                      <w:szCs w:val="21"/>
                    </w:rPr>
                    <w:t>，主要暂存废活性炭、废润滑油、废包装桶、废胶管、碳氢清洗蒸馏废液、废槽液、废滤芯等</w:t>
                  </w:r>
                  <w:r>
                    <w:rPr>
                      <w:rFonts w:hint="default" w:ascii="Times New Roman"/>
                      <w:bCs/>
                      <w:color w:val="auto"/>
                      <w:kern w:val="2"/>
                      <w:sz w:val="21"/>
                      <w:szCs w:val="21"/>
                    </w:rPr>
                    <w:t>，暂存后委托有资质单位定期处置</w:t>
                  </w:r>
                </w:p>
              </w:tc>
              <w:tc>
                <w:tcPr>
                  <w:tcW w:w="2653" w:type="dxa"/>
                  <w:vAlign w:val="center"/>
                </w:tcPr>
                <w:p w14:paraId="24221957">
                  <w:pPr>
                    <w:pStyle w:val="29"/>
                    <w:suppressLineNumbers w:val="0"/>
                    <w:spacing w:beforeAutospacing="0" w:afterAutospacing="0" w:line="276" w:lineRule="auto"/>
                    <w:ind w:left="0" w:right="0"/>
                    <w:jc w:val="center"/>
                    <w:rPr>
                      <w:rFonts w:hint="default" w:ascii="Times New Roman"/>
                      <w:bCs/>
                      <w:color w:val="auto"/>
                      <w:kern w:val="2"/>
                      <w:sz w:val="21"/>
                      <w:szCs w:val="21"/>
                    </w:rPr>
                  </w:pPr>
                  <w:r>
                    <w:rPr>
                      <w:rFonts w:hint="eastAsia" w:ascii="Times New Roman"/>
                      <w:bCs/>
                      <w:color w:val="auto"/>
                      <w:kern w:val="2"/>
                      <w:sz w:val="21"/>
                      <w:szCs w:val="21"/>
                    </w:rPr>
                    <w:t>依托</w:t>
                  </w:r>
                  <w:r>
                    <w:rPr>
                      <w:rFonts w:hint="default" w:ascii="Times New Roman"/>
                      <w:bCs/>
                      <w:color w:val="auto"/>
                      <w:kern w:val="2"/>
                      <w:sz w:val="21"/>
                      <w:szCs w:val="21"/>
                    </w:rPr>
                    <w:t>现有一座</w:t>
                  </w:r>
                  <w:r>
                    <w:rPr>
                      <w:rFonts w:hint="eastAsia" w:ascii="Times New Roman"/>
                      <w:bCs/>
                      <w:color w:val="auto"/>
                      <w:kern w:val="2"/>
                      <w:sz w:val="21"/>
                      <w:szCs w:val="21"/>
                      <w:lang w:val="en-US" w:eastAsia="zh-CN"/>
                    </w:rPr>
                    <w:t>9</w:t>
                  </w:r>
                  <w:r>
                    <w:rPr>
                      <w:rFonts w:hint="eastAsia" w:ascii="Times New Roman"/>
                      <w:bCs/>
                      <w:color w:val="auto"/>
                      <w:kern w:val="2"/>
                      <w:sz w:val="21"/>
                      <w:szCs w:val="21"/>
                    </w:rPr>
                    <w:t>0m</w:t>
                  </w:r>
                  <w:r>
                    <w:rPr>
                      <w:rFonts w:hint="eastAsia" w:ascii="Times New Roman"/>
                      <w:bCs/>
                      <w:color w:val="auto"/>
                      <w:kern w:val="2"/>
                      <w:sz w:val="21"/>
                      <w:szCs w:val="21"/>
                      <w:vertAlign w:val="superscript"/>
                    </w:rPr>
                    <w:t>2</w:t>
                  </w:r>
                  <w:r>
                    <w:rPr>
                      <w:rFonts w:hint="eastAsia" w:ascii="Times New Roman"/>
                      <w:bCs/>
                      <w:color w:val="auto"/>
                      <w:kern w:val="2"/>
                      <w:sz w:val="21"/>
                      <w:szCs w:val="21"/>
                    </w:rPr>
                    <w:t>的危险废物</w:t>
                  </w:r>
                  <w:r>
                    <w:rPr>
                      <w:rFonts w:hint="default" w:ascii="Times New Roman"/>
                      <w:bCs/>
                      <w:color w:val="auto"/>
                      <w:kern w:val="2"/>
                      <w:sz w:val="21"/>
                      <w:szCs w:val="21"/>
                    </w:rPr>
                    <w:t>暂存间</w:t>
                  </w:r>
                </w:p>
              </w:tc>
            </w:tr>
            <w:tr w14:paraId="5EC82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6E061BC9">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958" w:type="dxa"/>
                  <w:gridSpan w:val="2"/>
                  <w:vMerge w:val="continue"/>
                  <w:vAlign w:val="center"/>
                </w:tcPr>
                <w:p w14:paraId="43C4894E">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1442" w:type="dxa"/>
                  <w:gridSpan w:val="2"/>
                  <w:vAlign w:val="center"/>
                </w:tcPr>
                <w:p w14:paraId="52B4DB8C">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生活垃圾</w:t>
                  </w:r>
                </w:p>
              </w:tc>
              <w:tc>
                <w:tcPr>
                  <w:tcW w:w="2274" w:type="dxa"/>
                  <w:vAlign w:val="center"/>
                </w:tcPr>
                <w:p w14:paraId="165754A6">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default" w:ascii="Times New Roman" w:hAnsi="Times New Roman" w:cs="Times New Roman"/>
                      <w:color w:val="auto"/>
                      <w:kern w:val="2"/>
                      <w:sz w:val="21"/>
                      <w:szCs w:val="21"/>
                    </w:rPr>
                    <w:t>生活垃圾集中收集后，委托环卫部门清运</w:t>
                  </w:r>
                </w:p>
              </w:tc>
              <w:tc>
                <w:tcPr>
                  <w:tcW w:w="2474" w:type="dxa"/>
                  <w:vAlign w:val="center"/>
                </w:tcPr>
                <w:p w14:paraId="6CF7F503">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eastAsia" w:ascii="Times New Roman" w:hAnsi="Times New Roman" w:cs="Times New Roman"/>
                      <w:color w:val="auto"/>
                      <w:kern w:val="2"/>
                      <w:sz w:val="21"/>
                      <w:szCs w:val="21"/>
                    </w:rPr>
                    <w:t>/</w:t>
                  </w:r>
                </w:p>
              </w:tc>
              <w:tc>
                <w:tcPr>
                  <w:tcW w:w="2474" w:type="dxa"/>
                  <w:vAlign w:val="center"/>
                </w:tcPr>
                <w:p w14:paraId="64080108">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default" w:ascii="Times New Roman" w:hAnsi="Times New Roman" w:cs="Times New Roman"/>
                      <w:color w:val="auto"/>
                      <w:kern w:val="2"/>
                      <w:sz w:val="21"/>
                      <w:szCs w:val="21"/>
                    </w:rPr>
                    <w:t>生活垃圾集中收集后，委托环卫部门清运</w:t>
                  </w:r>
                </w:p>
              </w:tc>
              <w:tc>
                <w:tcPr>
                  <w:tcW w:w="2653" w:type="dxa"/>
                  <w:vAlign w:val="center"/>
                </w:tcPr>
                <w:p w14:paraId="5E9F16EA">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cs="Times New Roman"/>
                      <w:color w:val="auto"/>
                      <w:kern w:val="2"/>
                      <w:sz w:val="21"/>
                      <w:szCs w:val="21"/>
                    </w:rPr>
                    <w:t>依托现有</w:t>
                  </w:r>
                </w:p>
              </w:tc>
            </w:tr>
            <w:tr w14:paraId="6457D2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4165A60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2400" w:type="dxa"/>
                  <w:gridSpan w:val="4"/>
                  <w:vAlign w:val="center"/>
                </w:tcPr>
                <w:p w14:paraId="2A5C33D7">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土壤、地下水防治</w:t>
                  </w:r>
                </w:p>
              </w:tc>
              <w:tc>
                <w:tcPr>
                  <w:tcW w:w="2274" w:type="dxa"/>
                  <w:vAlign w:val="center"/>
                </w:tcPr>
                <w:p w14:paraId="1204F8A8">
                  <w:pPr>
                    <w:pStyle w:val="29"/>
                    <w:suppressLineNumbers w:val="0"/>
                    <w:adjustRightInd/>
                    <w:spacing w:before="0" w:beforeAutospacing="0" w:after="0" w:afterAutospacing="0" w:line="276" w:lineRule="auto"/>
                    <w:ind w:left="0" w:right="0"/>
                    <w:jc w:val="center"/>
                    <w:rPr>
                      <w:rFonts w:hint="eastAsia" w:ascii="Times New Roman" w:eastAsia="宋体"/>
                      <w:b/>
                      <w:bCs/>
                      <w:color w:val="auto"/>
                      <w:kern w:val="2"/>
                      <w:sz w:val="21"/>
                      <w:szCs w:val="21"/>
                      <w:lang w:val="en-US" w:eastAsia="zh-CN"/>
                    </w:rPr>
                  </w:pPr>
                  <w:r>
                    <w:rPr>
                      <w:rFonts w:hint="eastAsia" w:ascii="Times New Roman"/>
                      <w:b/>
                      <w:bCs/>
                      <w:color w:val="auto"/>
                      <w:kern w:val="2"/>
                      <w:sz w:val="21"/>
                      <w:szCs w:val="21"/>
                      <w:lang w:val="en-US" w:eastAsia="zh-CN"/>
                    </w:rPr>
                    <w:t>重点防渗：</w:t>
                  </w:r>
                  <w:r>
                    <w:rPr>
                      <w:rFonts w:hint="default" w:ascii="Times New Roman"/>
                      <w:color w:val="auto"/>
                      <w:kern w:val="2"/>
                      <w:sz w:val="21"/>
                      <w:szCs w:val="21"/>
                    </w:rPr>
                    <w:t>清洗区、危废暂存间、化学品仓库</w:t>
                  </w:r>
                </w:p>
                <w:p w14:paraId="06EAAB24">
                  <w:pPr>
                    <w:pStyle w:val="29"/>
                    <w:suppressLineNumbers w:val="0"/>
                    <w:adjustRightInd/>
                    <w:spacing w:before="0" w:beforeAutospacing="0" w:after="0" w:afterAutospacing="0" w:line="276" w:lineRule="auto"/>
                    <w:ind w:left="0" w:right="0"/>
                    <w:jc w:val="center"/>
                    <w:rPr>
                      <w:rFonts w:hint="default" w:ascii="Times New Roman"/>
                      <w:bCs/>
                      <w:color w:val="auto"/>
                      <w:kern w:val="2"/>
                      <w:sz w:val="21"/>
                      <w:szCs w:val="21"/>
                    </w:rPr>
                  </w:pPr>
                  <w:r>
                    <w:rPr>
                      <w:rFonts w:hint="default" w:ascii="Times New Roman"/>
                      <w:b/>
                      <w:bCs/>
                      <w:color w:val="auto"/>
                      <w:kern w:val="2"/>
                      <w:sz w:val="21"/>
                      <w:szCs w:val="21"/>
                    </w:rPr>
                    <w:t>一般防渗</w:t>
                  </w:r>
                  <w:r>
                    <w:rPr>
                      <w:rFonts w:hint="eastAsia" w:ascii="Times New Roman"/>
                      <w:b/>
                      <w:bCs/>
                      <w:color w:val="auto"/>
                      <w:kern w:val="2"/>
                      <w:sz w:val="21"/>
                      <w:szCs w:val="21"/>
                    </w:rPr>
                    <w:t>：</w:t>
                  </w:r>
                  <w:r>
                    <w:rPr>
                      <w:rFonts w:hint="default" w:ascii="Times New Roman"/>
                      <w:color w:val="auto"/>
                      <w:kern w:val="2"/>
                      <w:sz w:val="21"/>
                      <w:szCs w:val="21"/>
                    </w:rPr>
                    <w:t>抽油加油车间</w:t>
                  </w:r>
                </w:p>
                <w:p w14:paraId="5D1FA97B">
                  <w:pPr>
                    <w:pStyle w:val="29"/>
                    <w:suppressLineNumbers w:val="0"/>
                    <w:adjustRightInd/>
                    <w:spacing w:before="0" w:beforeAutospacing="0" w:after="0" w:afterAutospacing="0" w:line="276" w:lineRule="auto"/>
                    <w:ind w:left="0" w:right="0"/>
                    <w:jc w:val="center"/>
                    <w:rPr>
                      <w:rFonts w:hint="default" w:ascii="Times New Roman"/>
                      <w:bCs/>
                      <w:color w:val="auto"/>
                      <w:kern w:val="2"/>
                      <w:sz w:val="21"/>
                      <w:szCs w:val="21"/>
                    </w:rPr>
                  </w:pPr>
                  <w:r>
                    <w:rPr>
                      <w:rFonts w:hint="eastAsia" w:ascii="Times New Roman"/>
                      <w:b/>
                      <w:bCs/>
                      <w:color w:val="auto"/>
                      <w:kern w:val="2"/>
                      <w:sz w:val="21"/>
                      <w:szCs w:val="21"/>
                    </w:rPr>
                    <w:t>简单防渗：</w:t>
                  </w:r>
                  <w:r>
                    <w:rPr>
                      <w:rFonts w:hint="default" w:ascii="Times New Roman"/>
                      <w:color w:val="auto"/>
                      <w:kern w:val="2"/>
                      <w:sz w:val="21"/>
                      <w:szCs w:val="21"/>
                    </w:rPr>
                    <w:t>一般固废暂存场所、其他生产车间、办公楼等其他区域</w:t>
                  </w:r>
                </w:p>
              </w:tc>
              <w:tc>
                <w:tcPr>
                  <w:tcW w:w="2474" w:type="dxa"/>
                  <w:vAlign w:val="center"/>
                </w:tcPr>
                <w:p w14:paraId="4778CBA5">
                  <w:pPr>
                    <w:pStyle w:val="29"/>
                    <w:suppressLineNumbers w:val="0"/>
                    <w:adjustRightInd/>
                    <w:spacing w:before="0" w:beforeAutospacing="0" w:after="0" w:afterAutospacing="0" w:line="276" w:lineRule="auto"/>
                    <w:ind w:left="0" w:right="0"/>
                    <w:jc w:val="center"/>
                    <w:rPr>
                      <w:rFonts w:hint="default" w:ascii="Times New Roman"/>
                      <w:bCs/>
                      <w:color w:val="auto"/>
                      <w:kern w:val="2"/>
                      <w:sz w:val="21"/>
                      <w:szCs w:val="21"/>
                    </w:rPr>
                  </w:pPr>
                  <w:r>
                    <w:rPr>
                      <w:rFonts w:hint="default" w:ascii="Times New Roman"/>
                      <w:b/>
                      <w:bCs/>
                      <w:color w:val="auto"/>
                      <w:kern w:val="2"/>
                      <w:sz w:val="21"/>
                      <w:szCs w:val="21"/>
                    </w:rPr>
                    <w:t>一般防渗</w:t>
                  </w:r>
                  <w:r>
                    <w:rPr>
                      <w:rFonts w:hint="eastAsia" w:ascii="Times New Roman"/>
                      <w:b/>
                      <w:bCs/>
                      <w:color w:val="auto"/>
                      <w:kern w:val="2"/>
                      <w:sz w:val="21"/>
                      <w:szCs w:val="21"/>
                    </w:rPr>
                    <w:t>：</w:t>
                  </w:r>
                  <w:r>
                    <w:rPr>
                      <w:rFonts w:hint="eastAsia" w:ascii="Times New Roman"/>
                      <w:color w:val="auto"/>
                      <w:kern w:val="2"/>
                      <w:sz w:val="21"/>
                      <w:szCs w:val="21"/>
                    </w:rPr>
                    <w:t>29#-32#</w:t>
                  </w:r>
                  <w:r>
                    <w:rPr>
                      <w:rFonts w:hint="default" w:ascii="Times New Roman"/>
                      <w:color w:val="auto"/>
                      <w:kern w:val="2"/>
                      <w:sz w:val="21"/>
                      <w:szCs w:val="21"/>
                    </w:rPr>
                    <w:t>厂房</w:t>
                  </w:r>
                  <w:r>
                    <w:rPr>
                      <w:rFonts w:hint="eastAsia" w:ascii="Times New Roman"/>
                      <w:color w:val="auto"/>
                      <w:kern w:val="2"/>
                      <w:sz w:val="21"/>
                      <w:szCs w:val="21"/>
                    </w:rPr>
                    <w:t>生产区</w:t>
                  </w:r>
                </w:p>
                <w:p w14:paraId="2ED95C53">
                  <w:pPr>
                    <w:pStyle w:val="29"/>
                    <w:suppressLineNumbers w:val="0"/>
                    <w:adjustRightInd/>
                    <w:spacing w:before="0" w:beforeAutospacing="0" w:after="0" w:afterAutospacing="0" w:line="276" w:lineRule="auto"/>
                    <w:ind w:left="0" w:right="0"/>
                    <w:jc w:val="center"/>
                    <w:rPr>
                      <w:rFonts w:hint="default" w:ascii="Times New Roman"/>
                      <w:bCs/>
                      <w:color w:val="auto"/>
                      <w:kern w:val="2"/>
                      <w:sz w:val="21"/>
                      <w:szCs w:val="21"/>
                    </w:rPr>
                  </w:pPr>
                  <w:r>
                    <w:rPr>
                      <w:rFonts w:hint="eastAsia" w:ascii="Times New Roman"/>
                      <w:b/>
                      <w:bCs/>
                      <w:color w:val="auto"/>
                      <w:kern w:val="2"/>
                      <w:sz w:val="21"/>
                      <w:szCs w:val="21"/>
                    </w:rPr>
                    <w:t>简单防渗：</w:t>
                  </w:r>
                  <w:r>
                    <w:rPr>
                      <w:rFonts w:hint="eastAsia" w:ascii="Times New Roman"/>
                      <w:color w:val="auto"/>
                      <w:kern w:val="2"/>
                      <w:sz w:val="21"/>
                      <w:szCs w:val="21"/>
                    </w:rPr>
                    <w:t>办</w:t>
                  </w:r>
                  <w:r>
                    <w:rPr>
                      <w:rFonts w:hint="default" w:ascii="Times New Roman"/>
                      <w:color w:val="auto"/>
                      <w:kern w:val="2"/>
                      <w:sz w:val="21"/>
                      <w:szCs w:val="21"/>
                    </w:rPr>
                    <w:t>公</w:t>
                  </w:r>
                  <w:r>
                    <w:rPr>
                      <w:rFonts w:hint="eastAsia" w:ascii="Times New Roman"/>
                      <w:color w:val="auto"/>
                      <w:kern w:val="2"/>
                      <w:sz w:val="21"/>
                      <w:szCs w:val="21"/>
                    </w:rPr>
                    <w:t>区</w:t>
                  </w:r>
                  <w:r>
                    <w:rPr>
                      <w:rFonts w:hint="default" w:ascii="Times New Roman"/>
                      <w:color w:val="auto"/>
                      <w:kern w:val="2"/>
                      <w:sz w:val="21"/>
                      <w:szCs w:val="21"/>
                    </w:rPr>
                    <w:t>等其他区域</w:t>
                  </w:r>
                </w:p>
              </w:tc>
              <w:tc>
                <w:tcPr>
                  <w:tcW w:w="2474" w:type="dxa"/>
                  <w:vAlign w:val="center"/>
                </w:tcPr>
                <w:p w14:paraId="43640419">
                  <w:pPr>
                    <w:pStyle w:val="29"/>
                    <w:suppressLineNumbers w:val="0"/>
                    <w:adjustRightInd/>
                    <w:spacing w:before="0" w:beforeAutospacing="0" w:after="0" w:afterAutospacing="0" w:line="276" w:lineRule="auto"/>
                    <w:ind w:left="0" w:right="0"/>
                    <w:jc w:val="center"/>
                    <w:rPr>
                      <w:rFonts w:hint="default" w:ascii="Times New Roman"/>
                      <w:b/>
                      <w:bCs/>
                      <w:color w:val="auto"/>
                      <w:kern w:val="2"/>
                      <w:sz w:val="21"/>
                      <w:szCs w:val="21"/>
                    </w:rPr>
                  </w:pPr>
                  <w:r>
                    <w:rPr>
                      <w:rFonts w:hint="eastAsia" w:ascii="Times New Roman"/>
                      <w:b/>
                      <w:bCs/>
                      <w:color w:val="auto"/>
                      <w:kern w:val="2"/>
                      <w:sz w:val="21"/>
                      <w:szCs w:val="21"/>
                      <w:lang w:val="en-US" w:eastAsia="zh-CN"/>
                    </w:rPr>
                    <w:t>重点防渗：</w:t>
                  </w:r>
                  <w:r>
                    <w:rPr>
                      <w:rFonts w:hint="default" w:ascii="Times New Roman"/>
                      <w:color w:val="auto"/>
                      <w:kern w:val="2"/>
                      <w:sz w:val="21"/>
                      <w:szCs w:val="21"/>
                    </w:rPr>
                    <w:t>清洗区、危废暂存间、化学品仓库</w:t>
                  </w:r>
                </w:p>
                <w:p w14:paraId="440024B9">
                  <w:pPr>
                    <w:pStyle w:val="29"/>
                    <w:suppressLineNumbers w:val="0"/>
                    <w:adjustRightInd/>
                    <w:spacing w:before="0" w:beforeAutospacing="0" w:after="0" w:afterAutospacing="0" w:line="276" w:lineRule="auto"/>
                    <w:ind w:left="0" w:right="0"/>
                    <w:jc w:val="center"/>
                    <w:rPr>
                      <w:rFonts w:hint="default" w:ascii="Times New Roman"/>
                      <w:bCs/>
                      <w:color w:val="auto"/>
                      <w:kern w:val="2"/>
                      <w:sz w:val="21"/>
                      <w:szCs w:val="21"/>
                    </w:rPr>
                  </w:pPr>
                  <w:r>
                    <w:rPr>
                      <w:rFonts w:hint="default" w:ascii="Times New Roman"/>
                      <w:b/>
                      <w:bCs/>
                      <w:color w:val="auto"/>
                      <w:kern w:val="2"/>
                      <w:sz w:val="21"/>
                      <w:szCs w:val="21"/>
                    </w:rPr>
                    <w:t>一般防渗</w:t>
                  </w:r>
                  <w:r>
                    <w:rPr>
                      <w:rFonts w:hint="eastAsia" w:ascii="Times New Roman"/>
                      <w:b/>
                      <w:bCs/>
                      <w:color w:val="auto"/>
                      <w:kern w:val="2"/>
                      <w:sz w:val="21"/>
                      <w:szCs w:val="21"/>
                    </w:rPr>
                    <w:t>：</w:t>
                  </w:r>
                  <w:r>
                    <w:rPr>
                      <w:rFonts w:hint="default" w:ascii="Times New Roman"/>
                      <w:color w:val="auto"/>
                      <w:kern w:val="2"/>
                      <w:sz w:val="21"/>
                      <w:szCs w:val="21"/>
                    </w:rPr>
                    <w:t>抽油加油车间</w:t>
                  </w:r>
                  <w:r>
                    <w:rPr>
                      <w:rFonts w:hint="eastAsia" w:ascii="Times New Roman"/>
                      <w:color w:val="auto"/>
                      <w:kern w:val="2"/>
                      <w:sz w:val="21"/>
                      <w:szCs w:val="21"/>
                    </w:rPr>
                    <w:t>、29#-32#</w:t>
                  </w:r>
                  <w:r>
                    <w:rPr>
                      <w:rFonts w:hint="default" w:ascii="Times New Roman"/>
                      <w:color w:val="auto"/>
                      <w:kern w:val="2"/>
                      <w:sz w:val="21"/>
                      <w:szCs w:val="21"/>
                    </w:rPr>
                    <w:t>厂房</w:t>
                  </w:r>
                  <w:r>
                    <w:rPr>
                      <w:rFonts w:hint="eastAsia" w:ascii="Times New Roman"/>
                      <w:color w:val="auto"/>
                      <w:kern w:val="2"/>
                      <w:sz w:val="21"/>
                      <w:szCs w:val="21"/>
                    </w:rPr>
                    <w:t>生产区</w:t>
                  </w:r>
                </w:p>
                <w:p w14:paraId="3C3AD272">
                  <w:pPr>
                    <w:pStyle w:val="29"/>
                    <w:suppressLineNumbers w:val="0"/>
                    <w:adjustRightInd/>
                    <w:spacing w:before="0" w:beforeAutospacing="0" w:after="0" w:afterAutospacing="0" w:line="276" w:lineRule="auto"/>
                    <w:ind w:left="0" w:right="0"/>
                    <w:jc w:val="center"/>
                    <w:rPr>
                      <w:rFonts w:hint="default" w:ascii="Times New Roman"/>
                      <w:bCs/>
                      <w:color w:val="auto"/>
                      <w:kern w:val="2"/>
                      <w:sz w:val="21"/>
                      <w:szCs w:val="21"/>
                    </w:rPr>
                  </w:pPr>
                  <w:r>
                    <w:rPr>
                      <w:rFonts w:hint="eastAsia" w:ascii="Times New Roman"/>
                      <w:b/>
                      <w:bCs/>
                      <w:color w:val="auto"/>
                      <w:kern w:val="2"/>
                      <w:sz w:val="21"/>
                      <w:szCs w:val="21"/>
                    </w:rPr>
                    <w:t>简单防渗：</w:t>
                  </w:r>
                  <w:r>
                    <w:rPr>
                      <w:rFonts w:hint="default" w:ascii="Times New Roman"/>
                      <w:color w:val="auto"/>
                      <w:kern w:val="2"/>
                      <w:sz w:val="21"/>
                      <w:szCs w:val="21"/>
                    </w:rPr>
                    <w:t>一般固废暂存场所、其他生产车间、办公楼等其他区域</w:t>
                  </w:r>
                </w:p>
              </w:tc>
              <w:tc>
                <w:tcPr>
                  <w:tcW w:w="2653" w:type="dxa"/>
                  <w:vAlign w:val="center"/>
                </w:tcPr>
                <w:p w14:paraId="6C982D6A">
                  <w:pPr>
                    <w:pStyle w:val="29"/>
                    <w:suppressLineNumbers w:val="0"/>
                    <w:adjustRightInd/>
                    <w:spacing w:before="0" w:beforeAutospacing="0" w:after="0" w:afterAutospacing="0" w:line="276" w:lineRule="auto"/>
                    <w:ind w:left="0" w:right="0"/>
                    <w:jc w:val="center"/>
                    <w:rPr>
                      <w:rFonts w:hint="default" w:ascii="Times New Roman"/>
                      <w:bCs/>
                      <w:color w:val="auto"/>
                      <w:kern w:val="2"/>
                      <w:sz w:val="21"/>
                      <w:szCs w:val="21"/>
                    </w:rPr>
                  </w:pPr>
                  <w:r>
                    <w:rPr>
                      <w:rFonts w:hint="default" w:ascii="Times New Roman"/>
                      <w:bCs/>
                      <w:color w:val="auto"/>
                      <w:kern w:val="2"/>
                      <w:sz w:val="21"/>
                      <w:szCs w:val="21"/>
                    </w:rPr>
                    <w:t>依托现有工程防渗</w:t>
                  </w:r>
                </w:p>
              </w:tc>
            </w:tr>
            <w:tr w14:paraId="6BC37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vAlign w:val="center"/>
                </w:tcPr>
                <w:p w14:paraId="2AAEAEB3">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c>
                <w:tcPr>
                  <w:tcW w:w="2400" w:type="dxa"/>
                  <w:gridSpan w:val="4"/>
                  <w:vAlign w:val="center"/>
                </w:tcPr>
                <w:p w14:paraId="330CC264">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环境风险防范措施</w:t>
                  </w:r>
                </w:p>
              </w:tc>
              <w:tc>
                <w:tcPr>
                  <w:tcW w:w="2274" w:type="dxa"/>
                  <w:vAlign w:val="center"/>
                </w:tcPr>
                <w:p w14:paraId="1F30DE3C">
                  <w:pPr>
                    <w:pStyle w:val="29"/>
                    <w:suppressLineNumbers w:val="0"/>
                    <w:spacing w:beforeAutospacing="0" w:afterAutospacing="0" w:line="276" w:lineRule="auto"/>
                    <w:ind w:left="0" w:right="0"/>
                    <w:jc w:val="center"/>
                    <w:rPr>
                      <w:rFonts w:hint="default" w:hAnsi="宋体"/>
                      <w:bCs/>
                      <w:color w:val="auto"/>
                      <w:kern w:val="2"/>
                      <w:sz w:val="21"/>
                      <w:szCs w:val="21"/>
                    </w:rPr>
                  </w:pPr>
                  <w:r>
                    <w:rPr>
                      <w:rFonts w:hint="default" w:ascii="Times New Roman"/>
                      <w:color w:val="auto"/>
                      <w:kern w:val="2"/>
                      <w:sz w:val="21"/>
                      <w:szCs w:val="21"/>
                    </w:rPr>
                    <w:t>企业运营过程中积极采取防护措施，加强化学品储存区的管理，使危险化学品处于密闭化储存，设置防渗托盘，液态物料置于托盘上存放，同时设置围堰并配置导流沟和集液槽，配备干沙、过滤棉、空桶等应急物资</w:t>
                  </w:r>
                  <w:r>
                    <w:rPr>
                      <w:rFonts w:hint="eastAsia" w:ascii="Times New Roman"/>
                      <w:color w:val="auto"/>
                      <w:kern w:val="2"/>
                      <w:sz w:val="21"/>
                      <w:szCs w:val="21"/>
                      <w:lang w:eastAsia="zh-CN"/>
                    </w:rPr>
                    <w:t>，</w:t>
                  </w:r>
                  <w:r>
                    <w:rPr>
                      <w:rFonts w:hint="default" w:ascii="Times New Roman"/>
                      <w:color w:val="auto"/>
                      <w:kern w:val="2"/>
                      <w:sz w:val="21"/>
                      <w:szCs w:val="21"/>
                    </w:rPr>
                    <w:t>严格防止跑、冒、滴、漏现象发生。</w:t>
                  </w:r>
                </w:p>
              </w:tc>
              <w:tc>
                <w:tcPr>
                  <w:tcW w:w="2474" w:type="dxa"/>
                  <w:vAlign w:val="center"/>
                </w:tcPr>
                <w:p w14:paraId="455C8693">
                  <w:pPr>
                    <w:pStyle w:val="29"/>
                    <w:suppressLineNumbers w:val="0"/>
                    <w:spacing w:beforeAutospacing="0" w:afterAutospacing="0" w:line="276" w:lineRule="auto"/>
                    <w:ind w:left="0" w:right="0"/>
                    <w:jc w:val="center"/>
                    <w:rPr>
                      <w:rFonts w:hint="default" w:hAnsi="宋体"/>
                      <w:bCs/>
                      <w:color w:val="auto"/>
                      <w:kern w:val="2"/>
                      <w:sz w:val="21"/>
                      <w:szCs w:val="21"/>
                    </w:rPr>
                  </w:pPr>
                  <w:r>
                    <w:rPr>
                      <w:rFonts w:hint="eastAsia" w:hAnsi="宋体"/>
                      <w:bCs/>
                      <w:color w:val="auto"/>
                      <w:kern w:val="2"/>
                      <w:sz w:val="21"/>
                      <w:szCs w:val="21"/>
                    </w:rPr>
                    <w:t>/</w:t>
                  </w:r>
                </w:p>
              </w:tc>
              <w:tc>
                <w:tcPr>
                  <w:tcW w:w="2474" w:type="dxa"/>
                  <w:vAlign w:val="center"/>
                </w:tcPr>
                <w:p w14:paraId="47F85829">
                  <w:pPr>
                    <w:pStyle w:val="29"/>
                    <w:suppressLineNumbers w:val="0"/>
                    <w:spacing w:beforeAutospacing="0" w:afterAutospacing="0" w:line="276" w:lineRule="auto"/>
                    <w:ind w:left="0" w:right="0"/>
                    <w:jc w:val="center"/>
                    <w:rPr>
                      <w:rFonts w:hint="default" w:hAnsi="宋体"/>
                      <w:bCs/>
                      <w:color w:val="auto"/>
                      <w:kern w:val="2"/>
                      <w:sz w:val="21"/>
                      <w:szCs w:val="21"/>
                    </w:rPr>
                  </w:pPr>
                  <w:r>
                    <w:rPr>
                      <w:rFonts w:hint="default" w:ascii="Times New Roman"/>
                      <w:color w:val="auto"/>
                      <w:kern w:val="2"/>
                      <w:sz w:val="21"/>
                      <w:szCs w:val="21"/>
                    </w:rPr>
                    <w:t>企业运营过程中积极采取防护措施，加强化学品储存区的管理，使危险化学品处于密闭化储存，设置防渗托盘，液态物料置于托盘上存放，同时设置围堰并配置导流沟和集液槽，配备干沙、过滤棉、空桶等应急物资</w:t>
                  </w:r>
                  <w:r>
                    <w:rPr>
                      <w:rFonts w:hint="eastAsia" w:ascii="Times New Roman"/>
                      <w:color w:val="auto"/>
                      <w:kern w:val="2"/>
                      <w:sz w:val="21"/>
                      <w:szCs w:val="21"/>
                      <w:lang w:eastAsia="zh-CN"/>
                    </w:rPr>
                    <w:t>，</w:t>
                  </w:r>
                  <w:r>
                    <w:rPr>
                      <w:rFonts w:hint="default" w:ascii="Times New Roman"/>
                      <w:color w:val="auto"/>
                      <w:kern w:val="2"/>
                      <w:sz w:val="21"/>
                      <w:szCs w:val="21"/>
                    </w:rPr>
                    <w:t>严格防止跑、冒、滴、漏现象发生。</w:t>
                  </w:r>
                </w:p>
              </w:tc>
              <w:tc>
                <w:tcPr>
                  <w:tcW w:w="2653" w:type="dxa"/>
                  <w:vAlign w:val="center"/>
                </w:tcPr>
                <w:p w14:paraId="244D1E59">
                  <w:pPr>
                    <w:pStyle w:val="29"/>
                    <w:suppressLineNumbers w:val="0"/>
                    <w:spacing w:beforeAutospacing="0" w:afterAutospacing="0" w:line="276" w:lineRule="auto"/>
                    <w:ind w:left="0" w:right="0"/>
                    <w:jc w:val="center"/>
                    <w:rPr>
                      <w:rFonts w:hint="default" w:hAnsi="宋体"/>
                      <w:bCs/>
                      <w:color w:val="auto"/>
                      <w:kern w:val="2"/>
                      <w:sz w:val="21"/>
                      <w:szCs w:val="21"/>
                    </w:rPr>
                  </w:pPr>
                  <w:r>
                    <w:rPr>
                      <w:rFonts w:hint="eastAsia" w:hAnsi="宋体"/>
                      <w:bCs/>
                      <w:color w:val="auto"/>
                      <w:kern w:val="2"/>
                      <w:sz w:val="21"/>
                      <w:szCs w:val="21"/>
                    </w:rPr>
                    <w:t>依托现有</w:t>
                  </w:r>
                </w:p>
              </w:tc>
            </w:tr>
          </w:tbl>
          <w:p w14:paraId="7AF57FED">
            <w:pPr>
              <w:keepNext w:val="0"/>
              <w:keepLines w:val="0"/>
              <w:widowControl w:val="0"/>
              <w:suppressLineNumbers w:val="0"/>
              <w:spacing w:before="0" w:beforeAutospacing="0" w:after="0" w:afterAutospacing="0" w:line="360" w:lineRule="auto"/>
              <w:ind w:left="0" w:right="0" w:firstLine="482" w:firstLineChars="200"/>
              <w:rPr>
                <w:rFonts w:hint="default" w:ascii="Times New Roman" w:cs="Times New Roman"/>
                <w:b/>
                <w:color w:val="auto"/>
                <w:kern w:val="2"/>
              </w:rPr>
            </w:pPr>
            <w:r>
              <w:rPr>
                <w:rFonts w:hint="default" w:ascii="Times New Roman" w:cs="Times New Roman"/>
                <w:b/>
                <w:color w:val="auto"/>
                <w:kern w:val="2"/>
              </w:rPr>
              <w:t>现有工程依托可行性分析</w:t>
            </w:r>
          </w:p>
          <w:p w14:paraId="22AF83F0">
            <w:pPr>
              <w:pStyle w:val="12"/>
              <w:keepNext w:val="0"/>
              <w:keepLines w:val="0"/>
              <w:widowControl/>
              <w:suppressLineNumbers w:val="0"/>
              <w:spacing w:before="0" w:beforeAutospacing="0" w:after="0" w:afterAutospacing="0"/>
              <w:ind w:left="0" w:right="0"/>
              <w:rPr>
                <w:rFonts w:hint="default"/>
                <w:color w:val="auto"/>
                <w:kern w:val="2"/>
              </w:rPr>
            </w:pPr>
          </w:p>
          <w:p w14:paraId="10C3B02B">
            <w:pPr>
              <w:keepNext w:val="0"/>
              <w:keepLines w:val="0"/>
              <w:widowControl/>
              <w:suppressLineNumbers w:val="0"/>
              <w:spacing w:before="0" w:beforeAutospacing="0" w:after="0" w:afterAutospacing="0"/>
              <w:ind w:left="0" w:right="0"/>
              <w:rPr>
                <w:rFonts w:hint="default"/>
                <w:color w:val="auto"/>
                <w:kern w:val="2"/>
              </w:rPr>
            </w:pPr>
          </w:p>
          <w:p w14:paraId="62C612DB">
            <w:pPr>
              <w:pStyle w:val="12"/>
              <w:keepNext w:val="0"/>
              <w:keepLines w:val="0"/>
              <w:widowControl/>
              <w:suppressLineNumbers w:val="0"/>
              <w:spacing w:before="0" w:beforeAutospacing="0" w:after="0" w:afterAutospacing="0"/>
              <w:ind w:left="0" w:right="0"/>
              <w:rPr>
                <w:rFonts w:hint="default"/>
                <w:color w:val="auto"/>
                <w:kern w:val="2"/>
              </w:rPr>
            </w:pPr>
          </w:p>
          <w:p w14:paraId="471A101D">
            <w:pPr>
              <w:keepNext w:val="0"/>
              <w:keepLines w:val="0"/>
              <w:widowControl w:val="0"/>
              <w:suppressLineNumbers w:val="0"/>
              <w:spacing w:before="0" w:beforeAutospacing="0" w:after="0" w:afterAutospacing="0" w:line="360" w:lineRule="auto"/>
              <w:ind w:left="0" w:right="0"/>
              <w:jc w:val="center"/>
              <w:rPr>
                <w:rFonts w:hint="default" w:ascii="黑体" w:hAnsi="黑体" w:eastAsia="黑体" w:cs="Times New Roman"/>
                <w:color w:val="auto"/>
                <w:kern w:val="2"/>
              </w:rPr>
            </w:pPr>
            <w:r>
              <w:rPr>
                <w:rFonts w:hint="eastAsia" w:ascii="黑体" w:hAnsi="黑体" w:eastAsia="黑体" w:cs="Times New Roman"/>
                <w:color w:val="auto"/>
                <w:kern w:val="2"/>
              </w:rPr>
              <w:t>表</w:t>
            </w:r>
            <w:r>
              <w:rPr>
                <w:rFonts w:hint="eastAsia" w:ascii="Times New Roman" w:hAnsi="Times New Roman" w:cs="Times New Roman"/>
                <w:color w:val="auto"/>
                <w:kern w:val="2"/>
              </w:rPr>
              <w:t xml:space="preserve">2-4  </w:t>
            </w:r>
            <w:r>
              <w:rPr>
                <w:rFonts w:hint="eastAsia" w:ascii="黑体" w:hAnsi="黑体" w:eastAsia="黑体" w:cs="Times New Roman"/>
                <w:color w:val="auto"/>
                <w:kern w:val="2"/>
              </w:rPr>
              <w:t>现有工程依托可行性分析</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4"/>
              <w:gridCol w:w="761"/>
              <w:gridCol w:w="1644"/>
              <w:gridCol w:w="8797"/>
              <w:gridCol w:w="676"/>
            </w:tblGrid>
            <w:tr w14:paraId="76EB8D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24" w:type="pct"/>
                  <w:vAlign w:val="center"/>
                </w:tcPr>
                <w:p w14:paraId="77D22E05">
                  <w:pPr>
                    <w:keepNext w:val="0"/>
                    <w:keepLines w:val="0"/>
                    <w:widowControl w:val="0"/>
                    <w:suppressLineNumbers w:val="0"/>
                    <w:spacing w:before="0" w:beforeAutospacing="0" w:after="0" w:afterAutospacing="0" w:line="276" w:lineRule="auto"/>
                    <w:ind w:left="0" w:right="0"/>
                    <w:jc w:val="center"/>
                    <w:rPr>
                      <w:rFonts w:hint="default" w:ascii="Calibri" w:hAnsi="Calibri" w:cs="Times New Roman"/>
                      <w:b/>
                      <w:color w:val="auto"/>
                      <w:kern w:val="2"/>
                      <w:sz w:val="21"/>
                      <w:szCs w:val="21"/>
                    </w:rPr>
                  </w:pPr>
                  <w:r>
                    <w:rPr>
                      <w:rFonts w:hint="default" w:ascii="Calibri" w:cs="Times New Roman"/>
                      <w:b/>
                      <w:color w:val="auto"/>
                      <w:kern w:val="2"/>
                      <w:sz w:val="21"/>
                      <w:szCs w:val="21"/>
                    </w:rPr>
                    <w:t>工程类别</w:t>
                  </w:r>
                </w:p>
              </w:tc>
              <w:tc>
                <w:tcPr>
                  <w:tcW w:w="299" w:type="pct"/>
                  <w:vAlign w:val="center"/>
                </w:tcPr>
                <w:p w14:paraId="49B88FC2">
                  <w:pPr>
                    <w:keepNext w:val="0"/>
                    <w:keepLines w:val="0"/>
                    <w:widowControl w:val="0"/>
                    <w:suppressLineNumbers w:val="0"/>
                    <w:spacing w:before="0" w:beforeAutospacing="0" w:after="0" w:afterAutospacing="0" w:line="276" w:lineRule="auto"/>
                    <w:ind w:left="0" w:right="0"/>
                    <w:jc w:val="center"/>
                    <w:rPr>
                      <w:rFonts w:hint="default" w:ascii="Calibri" w:hAnsi="Calibri" w:cs="Times New Roman"/>
                      <w:b/>
                      <w:color w:val="auto"/>
                      <w:kern w:val="2"/>
                      <w:sz w:val="21"/>
                      <w:szCs w:val="21"/>
                    </w:rPr>
                  </w:pPr>
                  <w:r>
                    <w:rPr>
                      <w:rFonts w:hint="default" w:ascii="Calibri" w:cs="Times New Roman"/>
                      <w:b/>
                      <w:color w:val="auto"/>
                      <w:kern w:val="2"/>
                      <w:sz w:val="21"/>
                      <w:szCs w:val="21"/>
                    </w:rPr>
                    <w:t>单项工程</w:t>
                  </w:r>
                </w:p>
              </w:tc>
              <w:tc>
                <w:tcPr>
                  <w:tcW w:w="647" w:type="pct"/>
                  <w:vAlign w:val="center"/>
                </w:tcPr>
                <w:p w14:paraId="1F5DF0AE">
                  <w:pPr>
                    <w:keepNext w:val="0"/>
                    <w:keepLines w:val="0"/>
                    <w:widowControl w:val="0"/>
                    <w:suppressLineNumbers w:val="0"/>
                    <w:spacing w:before="0" w:beforeAutospacing="0" w:after="0" w:afterAutospacing="0" w:line="276" w:lineRule="auto"/>
                    <w:ind w:left="0" w:right="0"/>
                    <w:jc w:val="center"/>
                    <w:rPr>
                      <w:rFonts w:hint="default" w:ascii="Calibri" w:hAnsi="Calibri" w:cs="Times New Roman"/>
                      <w:b/>
                      <w:color w:val="auto"/>
                      <w:kern w:val="2"/>
                      <w:sz w:val="21"/>
                      <w:szCs w:val="21"/>
                    </w:rPr>
                  </w:pPr>
                  <w:r>
                    <w:rPr>
                      <w:rFonts w:hint="default" w:ascii="Calibri" w:cs="Times New Roman"/>
                      <w:b/>
                      <w:color w:val="auto"/>
                      <w:kern w:val="2"/>
                      <w:sz w:val="21"/>
                      <w:szCs w:val="21"/>
                    </w:rPr>
                    <w:t>依托内容</w:t>
                  </w:r>
                </w:p>
              </w:tc>
              <w:tc>
                <w:tcPr>
                  <w:tcW w:w="3462" w:type="pct"/>
                  <w:vAlign w:val="center"/>
                </w:tcPr>
                <w:p w14:paraId="3280485B">
                  <w:pPr>
                    <w:keepNext w:val="0"/>
                    <w:keepLines w:val="0"/>
                    <w:widowControl w:val="0"/>
                    <w:suppressLineNumbers w:val="0"/>
                    <w:spacing w:before="0" w:beforeAutospacing="0" w:after="0" w:afterAutospacing="0" w:line="276" w:lineRule="auto"/>
                    <w:ind w:left="0" w:right="0"/>
                    <w:jc w:val="center"/>
                    <w:rPr>
                      <w:rFonts w:hint="default" w:ascii="Calibri" w:hAnsi="Calibri" w:cs="Times New Roman"/>
                      <w:b/>
                      <w:color w:val="auto"/>
                      <w:kern w:val="2"/>
                      <w:sz w:val="21"/>
                      <w:szCs w:val="21"/>
                      <w:highlight w:val="yellow"/>
                    </w:rPr>
                  </w:pPr>
                  <w:r>
                    <w:rPr>
                      <w:rFonts w:hint="default" w:ascii="Calibri" w:cs="Times New Roman"/>
                      <w:b/>
                      <w:color w:val="auto"/>
                      <w:kern w:val="2"/>
                      <w:sz w:val="21"/>
                      <w:szCs w:val="21"/>
                      <w:highlight w:val="none"/>
                    </w:rPr>
                    <w:t>可行性分析</w:t>
                  </w:r>
                </w:p>
              </w:tc>
              <w:tc>
                <w:tcPr>
                  <w:tcW w:w="266" w:type="pct"/>
                  <w:vAlign w:val="center"/>
                </w:tcPr>
                <w:p w14:paraId="28A01B3B">
                  <w:pPr>
                    <w:keepNext w:val="0"/>
                    <w:keepLines w:val="0"/>
                    <w:widowControl w:val="0"/>
                    <w:suppressLineNumbers w:val="0"/>
                    <w:spacing w:before="0" w:beforeAutospacing="0" w:after="0" w:afterAutospacing="0" w:line="276" w:lineRule="auto"/>
                    <w:ind w:left="0" w:right="0"/>
                    <w:jc w:val="center"/>
                    <w:rPr>
                      <w:rFonts w:hint="default" w:ascii="Calibri" w:hAnsi="Calibri" w:cs="Times New Roman"/>
                      <w:b/>
                      <w:color w:val="auto"/>
                      <w:kern w:val="2"/>
                      <w:sz w:val="21"/>
                      <w:szCs w:val="21"/>
                    </w:rPr>
                  </w:pPr>
                  <w:r>
                    <w:rPr>
                      <w:rFonts w:hint="default" w:ascii="Calibri" w:cs="Times New Roman"/>
                      <w:b/>
                      <w:color w:val="auto"/>
                      <w:kern w:val="2"/>
                      <w:sz w:val="21"/>
                      <w:szCs w:val="21"/>
                    </w:rPr>
                    <w:t>结论</w:t>
                  </w:r>
                </w:p>
              </w:tc>
            </w:tr>
            <w:tr w14:paraId="0FC27E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324" w:type="pct"/>
                  <w:vAlign w:val="center"/>
                </w:tcPr>
                <w:p w14:paraId="0A820D39">
                  <w:pPr>
                    <w:keepNext w:val="0"/>
                    <w:keepLines w:val="0"/>
                    <w:widowControl w:val="0"/>
                    <w:suppressLineNumbers w:val="0"/>
                    <w:spacing w:before="0" w:beforeAutospacing="0" w:after="0" w:afterAutospacing="0" w:line="276" w:lineRule="auto"/>
                    <w:ind w:left="0" w:right="0"/>
                    <w:jc w:val="center"/>
                    <w:rPr>
                      <w:rFonts w:hint="eastAsia" w:ascii="Calibri" w:eastAsia="宋体" w:cs="Times New Roman"/>
                      <w:b w:val="0"/>
                      <w:bCs/>
                      <w:color w:val="auto"/>
                      <w:kern w:val="2"/>
                      <w:sz w:val="21"/>
                      <w:szCs w:val="21"/>
                      <w:lang w:val="en-US" w:eastAsia="zh-CN"/>
                    </w:rPr>
                  </w:pPr>
                  <w:r>
                    <w:rPr>
                      <w:rFonts w:hint="eastAsia" w:ascii="Calibri" w:cs="Times New Roman"/>
                      <w:b w:val="0"/>
                      <w:bCs/>
                      <w:color w:val="auto"/>
                      <w:kern w:val="2"/>
                      <w:sz w:val="21"/>
                      <w:szCs w:val="21"/>
                      <w:lang w:val="en-US" w:eastAsia="zh-CN"/>
                    </w:rPr>
                    <w:t>主体工程</w:t>
                  </w:r>
                </w:p>
              </w:tc>
              <w:tc>
                <w:tcPr>
                  <w:tcW w:w="299" w:type="pct"/>
                  <w:vAlign w:val="center"/>
                </w:tcPr>
                <w:p w14:paraId="66808B88">
                  <w:pPr>
                    <w:keepNext w:val="0"/>
                    <w:keepLines w:val="0"/>
                    <w:widowControl w:val="0"/>
                    <w:suppressLineNumbers w:val="0"/>
                    <w:spacing w:before="0" w:beforeAutospacing="0" w:after="0" w:afterAutospacing="0" w:line="276" w:lineRule="auto"/>
                    <w:ind w:left="0" w:right="0"/>
                    <w:jc w:val="center"/>
                    <w:rPr>
                      <w:rFonts w:hint="default" w:ascii="Calibri" w:eastAsia="宋体" w:cs="Times New Roman"/>
                      <w:b w:val="0"/>
                      <w:bCs/>
                      <w:color w:val="auto"/>
                      <w:kern w:val="2"/>
                      <w:sz w:val="21"/>
                      <w:szCs w:val="21"/>
                      <w:lang w:val="en-US" w:eastAsia="zh-CN"/>
                    </w:rPr>
                  </w:pPr>
                  <w:r>
                    <w:rPr>
                      <w:rFonts w:hint="eastAsia" w:ascii="Calibri" w:cs="Times New Roman"/>
                      <w:b w:val="0"/>
                      <w:bCs/>
                      <w:color w:val="auto"/>
                      <w:kern w:val="2"/>
                      <w:sz w:val="21"/>
                      <w:szCs w:val="21"/>
                      <w:lang w:val="en-US" w:eastAsia="zh-CN"/>
                    </w:rPr>
                    <w:t>清洗区</w:t>
                  </w:r>
                </w:p>
              </w:tc>
              <w:tc>
                <w:tcPr>
                  <w:tcW w:w="647" w:type="pct"/>
                  <w:vAlign w:val="center"/>
                </w:tcPr>
                <w:p w14:paraId="6A1E0CD5">
                  <w:pPr>
                    <w:keepNext w:val="0"/>
                    <w:keepLines w:val="0"/>
                    <w:widowControl w:val="0"/>
                    <w:suppressLineNumbers w:val="0"/>
                    <w:spacing w:before="0" w:beforeAutospacing="0" w:after="0" w:afterAutospacing="0" w:line="276" w:lineRule="auto"/>
                    <w:ind w:left="0" w:right="0"/>
                    <w:jc w:val="center"/>
                    <w:rPr>
                      <w:rFonts w:hint="default" w:ascii="Calibri" w:cs="Times New Roman"/>
                      <w:b/>
                      <w:color w:val="auto"/>
                      <w:kern w:val="2"/>
                      <w:sz w:val="21"/>
                      <w:szCs w:val="21"/>
                    </w:rPr>
                  </w:pPr>
                  <w:r>
                    <w:rPr>
                      <w:rFonts w:hint="eastAsia" w:ascii="Times New Roman" w:cs="Times New Roman"/>
                      <w:color w:val="auto"/>
                      <w:kern w:val="2"/>
                      <w:sz w:val="21"/>
                      <w:szCs w:val="21"/>
                    </w:rPr>
                    <w:t>依托现有</w:t>
                  </w:r>
                  <w:r>
                    <w:rPr>
                      <w:rFonts w:hint="eastAsia"/>
                      <w:color w:val="auto"/>
                      <w:kern w:val="2"/>
                      <w:sz w:val="21"/>
                      <w:szCs w:val="21"/>
                    </w:rPr>
                    <w:t>真空碳氢清洗设备</w:t>
                  </w:r>
                </w:p>
              </w:tc>
              <w:tc>
                <w:tcPr>
                  <w:tcW w:w="3462" w:type="pct"/>
                  <w:vAlign w:val="center"/>
                </w:tcPr>
                <w:p w14:paraId="4E828A04">
                  <w:pPr>
                    <w:keepNext w:val="0"/>
                    <w:keepLines w:val="0"/>
                    <w:widowControl/>
                    <w:suppressLineNumbers w:val="0"/>
                    <w:spacing w:before="0" w:beforeAutospacing="0" w:after="0" w:afterAutospacing="0" w:line="276" w:lineRule="auto"/>
                    <w:ind w:left="0" w:right="0"/>
                    <w:jc w:val="center"/>
                    <w:rPr>
                      <w:rFonts w:hint="default" w:ascii="Calibri" w:cs="Times New Roman"/>
                      <w:b/>
                      <w:color w:val="auto"/>
                      <w:kern w:val="2"/>
                      <w:sz w:val="21"/>
                      <w:szCs w:val="21"/>
                      <w:highlight w:val="none"/>
                    </w:rPr>
                  </w:pPr>
                  <w:r>
                    <w:rPr>
                      <w:rFonts w:hint="default" w:ascii="Calibri" w:cs="Times New Roman"/>
                      <w:b w:val="0"/>
                      <w:bCs/>
                      <w:color w:val="auto"/>
                      <w:kern w:val="2"/>
                      <w:sz w:val="21"/>
                      <w:szCs w:val="21"/>
                      <w:highlight w:val="none"/>
                    </w:rPr>
                    <w:t>现</w:t>
                  </w:r>
                  <w:r>
                    <w:rPr>
                      <w:rFonts w:hint="default" w:ascii="Times New Roman" w:hAnsi="Times New Roman" w:cs="Times New Roman"/>
                      <w:bCs/>
                      <w:color w:val="auto"/>
                      <w:kern w:val="2"/>
                      <w:sz w:val="21"/>
                      <w:szCs w:val="21"/>
                      <w:highlight w:val="none"/>
                    </w:rPr>
                    <w:t>有</w:t>
                  </w:r>
                  <w:r>
                    <w:rPr>
                      <w:rFonts w:hint="eastAsia" w:ascii="Times New Roman" w:hAnsi="Times New Roman" w:cs="Times New Roman"/>
                      <w:bCs/>
                      <w:color w:val="auto"/>
                      <w:kern w:val="2"/>
                      <w:sz w:val="21"/>
                      <w:szCs w:val="21"/>
                      <w:highlight w:val="none"/>
                      <w:lang w:val="en-US" w:eastAsia="zh-CN"/>
                    </w:rPr>
                    <w:t>4</w:t>
                  </w:r>
                  <w:r>
                    <w:rPr>
                      <w:rFonts w:hint="default" w:ascii="Times New Roman" w:hAnsi="Times New Roman" w:cs="Times New Roman"/>
                      <w:bCs/>
                      <w:color w:val="auto"/>
                      <w:kern w:val="2"/>
                      <w:sz w:val="21"/>
                      <w:szCs w:val="21"/>
                      <w:highlight w:val="none"/>
                    </w:rPr>
                    <w:t>台</w:t>
                  </w:r>
                  <w:r>
                    <w:rPr>
                      <w:rFonts w:hint="eastAsia"/>
                      <w:color w:val="auto"/>
                      <w:kern w:val="2"/>
                      <w:sz w:val="21"/>
                      <w:szCs w:val="21"/>
                    </w:rPr>
                    <w:t>真空碳氢清洗设备</w:t>
                  </w:r>
                  <w:r>
                    <w:rPr>
                      <w:rFonts w:hint="eastAsia" w:ascii="Times New Roman" w:hAnsi="Times New Roman" w:cs="Times New Roman"/>
                      <w:bCs/>
                      <w:color w:val="auto"/>
                      <w:kern w:val="2"/>
                      <w:sz w:val="21"/>
                      <w:szCs w:val="21"/>
                      <w:highlight w:val="none"/>
                      <w:lang w:val="en-US" w:eastAsia="zh-CN"/>
                    </w:rPr>
                    <w:t>清洗</w:t>
                  </w:r>
                  <w:r>
                    <w:rPr>
                      <w:rFonts w:hint="default" w:ascii="Times New Roman" w:hAnsi="Times New Roman" w:cs="Times New Roman"/>
                      <w:bCs/>
                      <w:color w:val="auto"/>
                      <w:kern w:val="2"/>
                      <w:sz w:val="21"/>
                      <w:szCs w:val="21"/>
                      <w:highlight w:val="none"/>
                    </w:rPr>
                    <w:t>能力为</w:t>
                  </w:r>
                  <w:r>
                    <w:rPr>
                      <w:rFonts w:hint="eastAsia" w:ascii="Times New Roman" w:hAnsi="Times New Roman" w:cs="Times New Roman"/>
                      <w:bCs/>
                      <w:color w:val="auto"/>
                      <w:kern w:val="2"/>
                      <w:sz w:val="21"/>
                      <w:szCs w:val="21"/>
                      <w:highlight w:val="none"/>
                      <w:lang w:val="en-US" w:eastAsia="zh-CN"/>
                    </w:rPr>
                    <w:t>1950套</w:t>
                  </w:r>
                  <w:r>
                    <w:rPr>
                      <w:rFonts w:hint="default" w:ascii="Times New Roman" w:hAnsi="Times New Roman" w:cs="Times New Roman"/>
                      <w:bCs/>
                      <w:color w:val="auto"/>
                      <w:kern w:val="2"/>
                      <w:sz w:val="21"/>
                      <w:szCs w:val="21"/>
                      <w:highlight w:val="none"/>
                    </w:rPr>
                    <w:t>/h，年</w:t>
                  </w:r>
                  <w:r>
                    <w:rPr>
                      <w:rFonts w:hint="eastAsia" w:ascii="Times New Roman" w:hAnsi="Times New Roman" w:cs="Times New Roman"/>
                      <w:bCs/>
                      <w:color w:val="auto"/>
                      <w:kern w:val="2"/>
                      <w:sz w:val="21"/>
                      <w:szCs w:val="21"/>
                      <w:highlight w:val="none"/>
                      <w:lang w:val="en-US" w:eastAsia="zh-CN"/>
                    </w:rPr>
                    <w:t>清洗2080</w:t>
                  </w:r>
                  <w:r>
                    <w:rPr>
                      <w:rFonts w:hint="default" w:ascii="Times New Roman" w:hAnsi="Times New Roman" w:cs="Times New Roman"/>
                      <w:bCs/>
                      <w:color w:val="auto"/>
                      <w:kern w:val="2"/>
                      <w:sz w:val="21"/>
                      <w:szCs w:val="21"/>
                      <w:highlight w:val="none"/>
                    </w:rPr>
                    <w:t>h，可</w:t>
                  </w:r>
                  <w:r>
                    <w:rPr>
                      <w:rFonts w:hint="eastAsia" w:ascii="Times New Roman" w:hAnsi="Times New Roman" w:cs="Times New Roman"/>
                      <w:bCs/>
                      <w:color w:val="auto"/>
                      <w:kern w:val="2"/>
                      <w:sz w:val="21"/>
                      <w:szCs w:val="21"/>
                      <w:highlight w:val="none"/>
                      <w:lang w:val="en-US" w:eastAsia="zh-CN"/>
                    </w:rPr>
                    <w:t>清洗4056000套来料</w:t>
                  </w:r>
                  <w:r>
                    <w:rPr>
                      <w:rFonts w:hint="default" w:ascii="Times New Roman" w:hAnsi="Times New Roman" w:cs="Times New Roman"/>
                      <w:bCs/>
                      <w:color w:val="auto"/>
                      <w:kern w:val="2"/>
                      <w:sz w:val="21"/>
                      <w:szCs w:val="21"/>
                      <w:highlight w:val="none"/>
                    </w:rPr>
                    <w:t>，扩建后，</w:t>
                  </w:r>
                  <w:r>
                    <w:rPr>
                      <w:rFonts w:hint="eastAsia" w:ascii="Times New Roman" w:hAnsi="Times New Roman" w:cs="Times New Roman"/>
                      <w:bCs/>
                      <w:color w:val="auto"/>
                      <w:kern w:val="2"/>
                      <w:sz w:val="21"/>
                      <w:szCs w:val="21"/>
                      <w:highlight w:val="none"/>
                      <w:lang w:val="en-US" w:eastAsia="zh-CN"/>
                    </w:rPr>
                    <w:t>增加单次上料零件数量、加快清洗线传送速度，清洗</w:t>
                  </w:r>
                  <w:r>
                    <w:rPr>
                      <w:rFonts w:hint="default" w:ascii="Times New Roman" w:hAnsi="Times New Roman" w:cs="Times New Roman"/>
                      <w:bCs/>
                      <w:color w:val="auto"/>
                      <w:kern w:val="2"/>
                      <w:sz w:val="21"/>
                      <w:szCs w:val="21"/>
                      <w:highlight w:val="none"/>
                    </w:rPr>
                    <w:t>能力调整为</w:t>
                  </w:r>
                  <w:r>
                    <w:rPr>
                      <w:rFonts w:hint="eastAsia" w:ascii="Times New Roman" w:hAnsi="Times New Roman" w:cs="Times New Roman"/>
                      <w:bCs/>
                      <w:color w:val="auto"/>
                      <w:kern w:val="2"/>
                      <w:sz w:val="21"/>
                      <w:szCs w:val="21"/>
                      <w:highlight w:val="none"/>
                      <w:lang w:val="en-US" w:eastAsia="zh-CN"/>
                    </w:rPr>
                    <w:t>2450套</w:t>
                  </w:r>
                  <w:r>
                    <w:rPr>
                      <w:rFonts w:hint="default" w:ascii="Times New Roman" w:hAnsi="Times New Roman" w:cs="Times New Roman"/>
                      <w:bCs/>
                      <w:color w:val="auto"/>
                      <w:kern w:val="2"/>
                      <w:sz w:val="21"/>
                      <w:szCs w:val="21"/>
                      <w:highlight w:val="none"/>
                    </w:rPr>
                    <w:t>/h，新可清洗</w:t>
                  </w:r>
                  <w:r>
                    <w:rPr>
                      <w:rFonts w:hint="eastAsia" w:ascii="Times New Roman" w:hAnsi="Times New Roman" w:cs="Times New Roman"/>
                      <w:bCs/>
                      <w:color w:val="auto"/>
                      <w:kern w:val="2"/>
                      <w:sz w:val="21"/>
                      <w:szCs w:val="21"/>
                      <w:highlight w:val="none"/>
                      <w:lang w:val="en-US" w:eastAsia="zh-CN"/>
                    </w:rPr>
                    <w:t>5096000</w:t>
                  </w:r>
                  <w:r>
                    <w:rPr>
                      <w:rFonts w:hint="default" w:ascii="Times New Roman" w:hAnsi="Times New Roman" w:cs="Times New Roman"/>
                      <w:bCs/>
                      <w:color w:val="auto"/>
                      <w:kern w:val="2"/>
                      <w:sz w:val="21"/>
                      <w:szCs w:val="21"/>
                      <w:highlight w:val="none"/>
                    </w:rPr>
                    <w:t>套来料，能够满足改建后全厂</w:t>
                  </w:r>
                  <w:r>
                    <w:rPr>
                      <w:rFonts w:hint="eastAsia" w:ascii="Times New Roman" w:hAnsi="Times New Roman" w:cs="Times New Roman"/>
                      <w:bCs/>
                      <w:color w:val="auto"/>
                      <w:kern w:val="2"/>
                      <w:sz w:val="21"/>
                      <w:szCs w:val="21"/>
                      <w:highlight w:val="none"/>
                      <w:lang w:val="en-US" w:eastAsia="zh-CN"/>
                    </w:rPr>
                    <w:t>清洗</w:t>
                  </w:r>
                  <w:r>
                    <w:rPr>
                      <w:rFonts w:hint="default" w:ascii="Times New Roman" w:hAnsi="Times New Roman" w:cs="Times New Roman"/>
                      <w:bCs/>
                      <w:color w:val="auto"/>
                      <w:kern w:val="2"/>
                      <w:sz w:val="21"/>
                      <w:szCs w:val="21"/>
                      <w:highlight w:val="none"/>
                    </w:rPr>
                    <w:t>需求；</w:t>
                  </w:r>
                </w:p>
              </w:tc>
              <w:tc>
                <w:tcPr>
                  <w:tcW w:w="266" w:type="pct"/>
                  <w:vAlign w:val="center"/>
                </w:tcPr>
                <w:p w14:paraId="7D05F886">
                  <w:pPr>
                    <w:keepNext w:val="0"/>
                    <w:keepLines w:val="0"/>
                    <w:widowControl w:val="0"/>
                    <w:suppressLineNumbers w:val="0"/>
                    <w:spacing w:before="0" w:beforeAutospacing="0" w:after="0" w:afterAutospacing="0" w:line="276" w:lineRule="auto"/>
                    <w:ind w:left="0" w:right="0"/>
                    <w:jc w:val="center"/>
                    <w:rPr>
                      <w:rFonts w:hint="default" w:ascii="Calibri" w:cs="Times New Roman"/>
                      <w:b/>
                      <w:color w:val="auto"/>
                      <w:kern w:val="2"/>
                      <w:sz w:val="21"/>
                      <w:szCs w:val="21"/>
                    </w:rPr>
                  </w:pPr>
                  <w:r>
                    <w:rPr>
                      <w:rFonts w:hint="eastAsia" w:ascii="Times New Roman" w:hAnsi="Times New Roman" w:cs="Times New Roman"/>
                      <w:color w:val="auto"/>
                      <w:kern w:val="2"/>
                      <w:sz w:val="21"/>
                      <w:szCs w:val="21"/>
                      <w:lang w:val="en-US" w:eastAsia="zh-CN"/>
                    </w:rPr>
                    <w:t>可行</w:t>
                  </w:r>
                </w:p>
              </w:tc>
            </w:tr>
            <w:tr w14:paraId="25223E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324" w:type="pct"/>
                  <w:vMerge w:val="restart"/>
                  <w:vAlign w:val="center"/>
                </w:tcPr>
                <w:p w14:paraId="04A31E4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储运工程</w:t>
                  </w:r>
                </w:p>
              </w:tc>
              <w:tc>
                <w:tcPr>
                  <w:tcW w:w="299" w:type="pct"/>
                  <w:vAlign w:val="center"/>
                </w:tcPr>
                <w:p w14:paraId="25AD11A4">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color w:val="auto"/>
                      <w:kern w:val="2"/>
                      <w:sz w:val="21"/>
                      <w:szCs w:val="22"/>
                    </w:rPr>
                    <w:t>原材料仓库</w:t>
                  </w:r>
                </w:p>
              </w:tc>
              <w:tc>
                <w:tcPr>
                  <w:tcW w:w="647" w:type="pct"/>
                  <w:vAlign w:val="center"/>
                </w:tcPr>
                <w:p w14:paraId="3FF7FCC3">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cs="Times New Roman"/>
                      <w:color w:val="auto"/>
                      <w:kern w:val="2"/>
                      <w:sz w:val="21"/>
                      <w:szCs w:val="21"/>
                    </w:rPr>
                    <w:t>依托现有</w:t>
                  </w:r>
                  <w:r>
                    <w:rPr>
                      <w:rFonts w:hint="eastAsia" w:ascii="Times New Roman"/>
                      <w:color w:val="auto"/>
                      <w:kern w:val="2"/>
                      <w:sz w:val="21"/>
                      <w:szCs w:val="22"/>
                    </w:rPr>
                    <w:t>原材料仓库</w:t>
                  </w:r>
                  <w:r>
                    <w:rPr>
                      <w:rFonts w:hint="default" w:ascii="Times New Roman" w:cs="Times New Roman"/>
                      <w:color w:val="auto"/>
                      <w:kern w:val="2"/>
                      <w:sz w:val="21"/>
                      <w:szCs w:val="21"/>
                    </w:rPr>
                    <w:t>，</w:t>
                  </w:r>
                  <w:r>
                    <w:rPr>
                      <w:rFonts w:hint="eastAsia" w:ascii="Times New Roman" w:cs="Times New Roman"/>
                      <w:color w:val="auto"/>
                      <w:kern w:val="2"/>
                      <w:sz w:val="21"/>
                      <w:szCs w:val="21"/>
                    </w:rPr>
                    <w:t>用于原料暂存</w:t>
                  </w:r>
                </w:p>
              </w:tc>
              <w:tc>
                <w:tcPr>
                  <w:tcW w:w="3462" w:type="pct"/>
                  <w:vAlign w:val="center"/>
                </w:tcPr>
                <w:p w14:paraId="113999A2">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highlight w:val="yellow"/>
                    </w:rPr>
                  </w:pPr>
                  <w:r>
                    <w:rPr>
                      <w:rFonts w:hint="default" w:ascii="Times New Roman" w:hAnsi="Times New Roman" w:cs="Times New Roman"/>
                      <w:bCs/>
                      <w:color w:val="auto"/>
                      <w:kern w:val="2"/>
                      <w:sz w:val="21"/>
                      <w:szCs w:val="21"/>
                      <w:highlight w:val="none"/>
                    </w:rPr>
                    <w:t>厂区原料仓库位于36#厂房西侧，建筑面积200m</w:t>
                  </w:r>
                  <w:r>
                    <w:rPr>
                      <w:rFonts w:hint="default" w:ascii="Times New Roman" w:hAnsi="Times New Roman" w:cs="Times New Roman"/>
                      <w:bCs/>
                      <w:color w:val="auto"/>
                      <w:kern w:val="2"/>
                      <w:sz w:val="21"/>
                      <w:szCs w:val="21"/>
                      <w:highlight w:val="none"/>
                      <w:vertAlign w:val="superscript"/>
                    </w:rPr>
                    <w:t>2</w:t>
                  </w:r>
                  <w:r>
                    <w:rPr>
                      <w:rFonts w:hint="default" w:ascii="Times New Roman" w:hAnsi="Times New Roman" w:cs="Times New Roman"/>
                      <w:bCs/>
                      <w:color w:val="auto"/>
                      <w:kern w:val="2"/>
                      <w:sz w:val="21"/>
                      <w:szCs w:val="21"/>
                      <w:highlight w:val="none"/>
                    </w:rPr>
                    <w:t>，现有工程</w:t>
                  </w:r>
                  <w:r>
                    <w:rPr>
                      <w:rFonts w:hint="eastAsia" w:ascii="Times New Roman" w:hAnsi="Times New Roman" w:cs="Times New Roman"/>
                      <w:bCs/>
                      <w:color w:val="auto"/>
                      <w:kern w:val="2"/>
                      <w:sz w:val="21"/>
                      <w:szCs w:val="21"/>
                      <w:highlight w:val="none"/>
                      <w:lang w:val="en-US" w:eastAsia="zh-CN"/>
                    </w:rPr>
                    <w:t>原</w:t>
                  </w:r>
                  <w:r>
                    <w:rPr>
                      <w:rFonts w:hint="default" w:ascii="Times New Roman" w:hAnsi="Times New Roman" w:cs="Times New Roman"/>
                      <w:bCs/>
                      <w:color w:val="auto"/>
                      <w:kern w:val="2"/>
                      <w:sz w:val="21"/>
                      <w:szCs w:val="21"/>
                      <w:highlight w:val="none"/>
                    </w:rPr>
                    <w:t>料最大贮存量为2000套DHT变速器所需电机、外壳、轴齿、轴承、差速器总成、换挡机构、驻车机构等原材料，约占150m</w:t>
                  </w:r>
                  <w:r>
                    <w:rPr>
                      <w:rFonts w:hint="default" w:ascii="Times New Roman" w:hAnsi="Times New Roman" w:cs="Times New Roman"/>
                      <w:bCs/>
                      <w:color w:val="auto"/>
                      <w:kern w:val="2"/>
                      <w:sz w:val="21"/>
                      <w:szCs w:val="21"/>
                      <w:highlight w:val="none"/>
                      <w:vertAlign w:val="superscript"/>
                    </w:rPr>
                    <w:t>2</w:t>
                  </w:r>
                  <w:r>
                    <w:rPr>
                      <w:rFonts w:hint="default" w:ascii="Times New Roman" w:hAnsi="Times New Roman" w:cs="Times New Roman"/>
                      <w:bCs/>
                      <w:color w:val="auto"/>
                      <w:kern w:val="2"/>
                      <w:sz w:val="21"/>
                      <w:szCs w:val="21"/>
                      <w:highlight w:val="none"/>
                    </w:rPr>
                    <w:t>，余下50m</w:t>
                  </w:r>
                  <w:r>
                    <w:rPr>
                      <w:rFonts w:hint="default" w:ascii="Times New Roman" w:hAnsi="Times New Roman" w:cs="Times New Roman"/>
                      <w:bCs/>
                      <w:color w:val="auto"/>
                      <w:kern w:val="2"/>
                      <w:sz w:val="21"/>
                      <w:szCs w:val="21"/>
                      <w:highlight w:val="none"/>
                      <w:vertAlign w:val="superscript"/>
                    </w:rPr>
                    <w:t>2</w:t>
                  </w:r>
                  <w:r>
                    <w:rPr>
                      <w:rFonts w:hint="default" w:ascii="Times New Roman" w:hAnsi="Times New Roman" w:cs="Times New Roman"/>
                      <w:bCs/>
                      <w:color w:val="auto"/>
                      <w:kern w:val="2"/>
                      <w:sz w:val="21"/>
                      <w:szCs w:val="21"/>
                      <w:highlight w:val="none"/>
                    </w:rPr>
                    <w:t>面积能够满足扩建项目的原料暂存需求</w:t>
                  </w:r>
                </w:p>
              </w:tc>
              <w:tc>
                <w:tcPr>
                  <w:tcW w:w="266" w:type="pct"/>
                  <w:vAlign w:val="center"/>
                </w:tcPr>
                <w:p w14:paraId="171E05A5">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可行</w:t>
                  </w:r>
                </w:p>
              </w:tc>
            </w:tr>
            <w:tr w14:paraId="29480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324" w:type="pct"/>
                  <w:vMerge w:val="continue"/>
                  <w:vAlign w:val="center"/>
                </w:tcPr>
                <w:p w14:paraId="720A74D2">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299" w:type="pct"/>
                  <w:vAlign w:val="center"/>
                </w:tcPr>
                <w:p w14:paraId="48EF6F0E">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color w:val="auto"/>
                      <w:kern w:val="2"/>
                      <w:sz w:val="21"/>
                      <w:szCs w:val="22"/>
                    </w:rPr>
                    <w:t>化学品暂存区</w:t>
                  </w:r>
                </w:p>
              </w:tc>
              <w:tc>
                <w:tcPr>
                  <w:tcW w:w="647" w:type="pct"/>
                  <w:vAlign w:val="center"/>
                </w:tcPr>
                <w:p w14:paraId="6D342DDA">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eastAsia" w:ascii="Times New Roman" w:cs="Times New Roman"/>
                      <w:color w:val="auto"/>
                      <w:kern w:val="2"/>
                      <w:sz w:val="21"/>
                      <w:szCs w:val="21"/>
                    </w:rPr>
                    <w:t>依托现有</w:t>
                  </w:r>
                  <w:r>
                    <w:rPr>
                      <w:rFonts w:hint="eastAsia" w:ascii="Times New Roman"/>
                      <w:color w:val="auto"/>
                      <w:kern w:val="2"/>
                      <w:sz w:val="21"/>
                      <w:szCs w:val="22"/>
                    </w:rPr>
                    <w:t>化学品暂存区</w:t>
                  </w:r>
                  <w:r>
                    <w:rPr>
                      <w:rFonts w:hint="default" w:ascii="Times New Roman" w:cs="Times New Roman"/>
                      <w:color w:val="auto"/>
                      <w:kern w:val="2"/>
                      <w:sz w:val="21"/>
                      <w:szCs w:val="21"/>
                    </w:rPr>
                    <w:t>，</w:t>
                  </w:r>
                  <w:r>
                    <w:rPr>
                      <w:rFonts w:hint="eastAsia" w:ascii="Times New Roman" w:cs="Times New Roman"/>
                      <w:color w:val="auto"/>
                      <w:kern w:val="2"/>
                      <w:sz w:val="21"/>
                      <w:szCs w:val="21"/>
                    </w:rPr>
                    <w:t>用于碳氢清洗剂、密封胶等化学品暂存</w:t>
                  </w:r>
                </w:p>
              </w:tc>
              <w:tc>
                <w:tcPr>
                  <w:tcW w:w="3462" w:type="pct"/>
                  <w:vAlign w:val="center"/>
                </w:tcPr>
                <w:p w14:paraId="4C8A401B">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highlight w:val="yellow"/>
                    </w:rPr>
                  </w:pPr>
                  <w:r>
                    <w:rPr>
                      <w:rFonts w:hint="default" w:ascii="Times New Roman" w:hAnsi="Times New Roman" w:cs="Times New Roman"/>
                      <w:bCs/>
                      <w:color w:val="auto"/>
                      <w:kern w:val="2"/>
                      <w:sz w:val="21"/>
                      <w:szCs w:val="21"/>
                      <w:highlight w:val="none"/>
                    </w:rPr>
                    <w:t>厂区原料仓库位于36#厂房</w:t>
                  </w:r>
                  <w:r>
                    <w:rPr>
                      <w:rFonts w:hint="eastAsia" w:ascii="Times New Roman" w:hAnsi="Times New Roman" w:cs="Times New Roman"/>
                      <w:color w:val="auto"/>
                      <w:kern w:val="2"/>
                      <w:sz w:val="21"/>
                      <w:szCs w:val="21"/>
                      <w:highlight w:val="none"/>
                    </w:rPr>
                    <w:t>东南</w:t>
                  </w:r>
                  <w:r>
                    <w:rPr>
                      <w:rFonts w:hint="default" w:ascii="Times New Roman" w:hAnsi="Times New Roman" w:cs="Times New Roman"/>
                      <w:color w:val="auto"/>
                      <w:kern w:val="2"/>
                      <w:sz w:val="21"/>
                      <w:szCs w:val="21"/>
                      <w:highlight w:val="none"/>
                    </w:rPr>
                    <w:t>侧，建筑面积</w:t>
                  </w:r>
                  <w:r>
                    <w:rPr>
                      <w:rFonts w:hint="eastAsia" w:ascii="Times New Roman" w:hAnsi="Times New Roman" w:cs="Times New Roman"/>
                      <w:color w:val="auto"/>
                      <w:kern w:val="2"/>
                      <w:sz w:val="21"/>
                      <w:szCs w:val="21"/>
                      <w:highlight w:val="none"/>
                    </w:rPr>
                    <w:t>50</w:t>
                  </w:r>
                  <w:r>
                    <w:rPr>
                      <w:rFonts w:hint="default" w:ascii="Times New Roman" w:hAnsi="Times New Roman" w:cs="Times New Roman"/>
                      <w:color w:val="auto"/>
                      <w:kern w:val="2"/>
                      <w:sz w:val="21"/>
                      <w:szCs w:val="21"/>
                      <w:highlight w:val="none"/>
                    </w:rPr>
                    <w:t>m</w:t>
                  </w:r>
                  <w:r>
                    <w:rPr>
                      <w:rFonts w:hint="default" w:ascii="Times New Roman" w:hAnsi="Times New Roman" w:cs="Times New Roman"/>
                      <w:color w:val="auto"/>
                      <w:kern w:val="2"/>
                      <w:sz w:val="21"/>
                      <w:szCs w:val="21"/>
                      <w:highlight w:val="none"/>
                      <w:vertAlign w:val="superscript"/>
                    </w:rPr>
                    <w:t>2</w:t>
                  </w:r>
                  <w:r>
                    <w:rPr>
                      <w:rFonts w:hint="eastAsia" w:ascii="Times New Roman" w:hAnsi="Times New Roman" w:cs="Times New Roman"/>
                      <w:bCs/>
                      <w:color w:val="auto"/>
                      <w:kern w:val="2"/>
                      <w:sz w:val="21"/>
                      <w:szCs w:val="21"/>
                      <w:highlight w:val="none"/>
                    </w:rPr>
                    <w:t>，现有</w:t>
                  </w:r>
                  <w:r>
                    <w:rPr>
                      <w:rFonts w:hint="eastAsia" w:ascii="Times New Roman" w:hAnsi="Times New Roman" w:cs="Times New Roman"/>
                      <w:bCs/>
                      <w:color w:val="auto"/>
                      <w:kern w:val="2"/>
                      <w:sz w:val="21"/>
                      <w:szCs w:val="21"/>
                      <w:highlight w:val="none"/>
                      <w:lang w:val="en-US" w:eastAsia="zh-CN"/>
                    </w:rPr>
                    <w:t>工程</w:t>
                  </w:r>
                  <w:r>
                    <w:rPr>
                      <w:rFonts w:hint="eastAsia" w:ascii="Times New Roman" w:hAnsi="Times New Roman" w:cs="Times New Roman"/>
                      <w:bCs/>
                      <w:color w:val="auto"/>
                      <w:kern w:val="2"/>
                      <w:sz w:val="21"/>
                      <w:szCs w:val="21"/>
                      <w:highlight w:val="none"/>
                    </w:rPr>
                    <w:t>化学品原料</w:t>
                  </w:r>
                  <w:r>
                    <w:rPr>
                      <w:rFonts w:hint="eastAsia" w:ascii="Times New Roman" w:cs="Times New Roman"/>
                      <w:color w:val="auto"/>
                      <w:kern w:val="2"/>
                      <w:sz w:val="21"/>
                      <w:szCs w:val="21"/>
                      <w:highlight w:val="none"/>
                    </w:rPr>
                    <w:t>碳氢清洗剂、密封胶等</w:t>
                  </w:r>
                  <w:r>
                    <w:rPr>
                      <w:rFonts w:hint="eastAsia" w:ascii="Times New Roman" w:hAnsi="Times New Roman" w:cs="Times New Roman"/>
                      <w:bCs/>
                      <w:color w:val="auto"/>
                      <w:kern w:val="2"/>
                      <w:sz w:val="21"/>
                      <w:szCs w:val="21"/>
                      <w:highlight w:val="none"/>
                    </w:rPr>
                    <w:t>最大贮存量</w:t>
                  </w:r>
                  <w:r>
                    <w:rPr>
                      <w:rFonts w:hint="eastAsia" w:ascii="Times New Roman" w:hAnsi="Times New Roman" w:cs="Times New Roman"/>
                      <w:color w:val="auto"/>
                      <w:kern w:val="2"/>
                      <w:sz w:val="21"/>
                      <w:szCs w:val="21"/>
                      <w:highlight w:val="none"/>
                    </w:rPr>
                    <w:t>约占10</w:t>
                  </w:r>
                  <w:r>
                    <w:rPr>
                      <w:rFonts w:hint="default" w:ascii="Times New Roman" w:hAnsi="Times New Roman" w:cs="Times New Roman"/>
                      <w:color w:val="auto"/>
                      <w:kern w:val="2"/>
                      <w:sz w:val="21"/>
                      <w:szCs w:val="21"/>
                      <w:highlight w:val="none"/>
                    </w:rPr>
                    <w:t>m</w:t>
                  </w:r>
                  <w:r>
                    <w:rPr>
                      <w:rFonts w:hint="default" w:ascii="Times New Roman" w:hAnsi="Times New Roman" w:cs="Times New Roman"/>
                      <w:color w:val="auto"/>
                      <w:kern w:val="2"/>
                      <w:sz w:val="21"/>
                      <w:szCs w:val="21"/>
                      <w:highlight w:val="none"/>
                      <w:vertAlign w:val="superscript"/>
                    </w:rPr>
                    <w:t>2</w:t>
                  </w:r>
                  <w:r>
                    <w:rPr>
                      <w:rFonts w:hint="eastAsia" w:ascii="Times New Roman" w:hAnsi="Times New Roman" w:cs="Times New Roman"/>
                      <w:bCs/>
                      <w:color w:val="auto"/>
                      <w:kern w:val="2"/>
                      <w:sz w:val="21"/>
                      <w:szCs w:val="21"/>
                      <w:highlight w:val="none"/>
                    </w:rPr>
                    <w:t>，</w:t>
                  </w:r>
                  <w:r>
                    <w:rPr>
                      <w:rFonts w:hint="default" w:ascii="Times New Roman" w:hAnsi="Times New Roman" w:cs="Times New Roman"/>
                      <w:bCs/>
                      <w:color w:val="auto"/>
                      <w:kern w:val="2"/>
                      <w:sz w:val="21"/>
                      <w:szCs w:val="21"/>
                      <w:highlight w:val="none"/>
                    </w:rPr>
                    <w:t>余下</w:t>
                  </w:r>
                  <w:r>
                    <w:rPr>
                      <w:rFonts w:hint="eastAsia" w:ascii="Times New Roman" w:hAnsi="Times New Roman" w:cs="Times New Roman"/>
                      <w:bCs/>
                      <w:color w:val="auto"/>
                      <w:kern w:val="2"/>
                      <w:sz w:val="21"/>
                      <w:szCs w:val="21"/>
                      <w:highlight w:val="none"/>
                      <w:lang w:val="en-US" w:eastAsia="zh-CN"/>
                    </w:rPr>
                    <w:t>4</w:t>
                  </w:r>
                  <w:r>
                    <w:rPr>
                      <w:rFonts w:hint="default" w:ascii="Times New Roman" w:hAnsi="Times New Roman" w:cs="Times New Roman"/>
                      <w:bCs/>
                      <w:color w:val="auto"/>
                      <w:kern w:val="2"/>
                      <w:sz w:val="21"/>
                      <w:szCs w:val="21"/>
                      <w:highlight w:val="none"/>
                    </w:rPr>
                    <w:t>0m</w:t>
                  </w:r>
                  <w:r>
                    <w:rPr>
                      <w:rFonts w:hint="default" w:ascii="Times New Roman" w:hAnsi="Times New Roman" w:cs="Times New Roman"/>
                      <w:bCs/>
                      <w:color w:val="auto"/>
                      <w:kern w:val="2"/>
                      <w:sz w:val="21"/>
                      <w:szCs w:val="21"/>
                      <w:highlight w:val="none"/>
                      <w:vertAlign w:val="superscript"/>
                    </w:rPr>
                    <w:t>2</w:t>
                  </w:r>
                  <w:r>
                    <w:rPr>
                      <w:rFonts w:hint="default" w:ascii="Times New Roman" w:hAnsi="Times New Roman" w:cs="Times New Roman"/>
                      <w:bCs/>
                      <w:color w:val="auto"/>
                      <w:kern w:val="2"/>
                      <w:sz w:val="21"/>
                      <w:szCs w:val="21"/>
                      <w:highlight w:val="none"/>
                    </w:rPr>
                    <w:t>面积能够满足扩建项目的</w:t>
                  </w:r>
                  <w:r>
                    <w:rPr>
                      <w:rFonts w:hint="eastAsia" w:ascii="Times New Roman"/>
                      <w:color w:val="auto"/>
                      <w:kern w:val="2"/>
                      <w:sz w:val="21"/>
                      <w:szCs w:val="22"/>
                    </w:rPr>
                    <w:t>化学品</w:t>
                  </w:r>
                  <w:r>
                    <w:rPr>
                      <w:rFonts w:hint="default" w:ascii="Times New Roman" w:hAnsi="Times New Roman" w:cs="Times New Roman"/>
                      <w:bCs/>
                      <w:color w:val="auto"/>
                      <w:kern w:val="2"/>
                      <w:sz w:val="21"/>
                      <w:szCs w:val="21"/>
                      <w:highlight w:val="none"/>
                    </w:rPr>
                    <w:t>原料暂存需求</w:t>
                  </w:r>
                </w:p>
              </w:tc>
              <w:tc>
                <w:tcPr>
                  <w:tcW w:w="266" w:type="pct"/>
                  <w:shd w:val="clear" w:color="auto" w:fill="auto"/>
                  <w:vAlign w:val="center"/>
                </w:tcPr>
                <w:p w14:paraId="198AE2C0">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highlight w:val="yellow"/>
                    </w:rPr>
                  </w:pPr>
                  <w:r>
                    <w:rPr>
                      <w:rFonts w:hint="eastAsia" w:ascii="Times New Roman" w:hAnsi="Times New Roman" w:cs="Times New Roman"/>
                      <w:color w:val="auto"/>
                      <w:kern w:val="2"/>
                      <w:sz w:val="21"/>
                      <w:szCs w:val="21"/>
                      <w:lang w:val="en-US" w:eastAsia="zh-CN"/>
                    </w:rPr>
                    <w:t>可行</w:t>
                  </w:r>
                </w:p>
              </w:tc>
            </w:tr>
            <w:tr w14:paraId="2DF664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1" w:hRule="atLeast"/>
              </w:trPr>
              <w:tc>
                <w:tcPr>
                  <w:tcW w:w="324" w:type="pct"/>
                  <w:vMerge w:val="continue"/>
                  <w:vAlign w:val="center"/>
                </w:tcPr>
                <w:p w14:paraId="787A99CE">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299" w:type="pct"/>
                  <w:vAlign w:val="center"/>
                </w:tcPr>
                <w:p w14:paraId="365BA3E9">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color w:val="auto"/>
                      <w:kern w:val="2"/>
                      <w:sz w:val="21"/>
                      <w:szCs w:val="22"/>
                    </w:rPr>
                    <w:t>成品仓库</w:t>
                  </w:r>
                </w:p>
              </w:tc>
              <w:tc>
                <w:tcPr>
                  <w:tcW w:w="647" w:type="pct"/>
                  <w:shd w:val="clear" w:color="auto" w:fill="auto"/>
                  <w:vAlign w:val="center"/>
                </w:tcPr>
                <w:p w14:paraId="7581F6A4">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cs="Times New Roman"/>
                      <w:color w:val="auto"/>
                      <w:kern w:val="2"/>
                      <w:sz w:val="21"/>
                      <w:szCs w:val="21"/>
                    </w:rPr>
                    <w:t>依托现有</w:t>
                  </w:r>
                  <w:r>
                    <w:rPr>
                      <w:rFonts w:hint="default" w:ascii="Times New Roman" w:cs="Times New Roman"/>
                      <w:color w:val="auto"/>
                      <w:kern w:val="2"/>
                      <w:sz w:val="21"/>
                      <w:szCs w:val="21"/>
                    </w:rPr>
                    <w:t>成品</w:t>
                  </w:r>
                  <w:r>
                    <w:rPr>
                      <w:rFonts w:hint="eastAsia" w:ascii="Times New Roman" w:cs="Times New Roman"/>
                      <w:color w:val="auto"/>
                      <w:kern w:val="2"/>
                      <w:sz w:val="21"/>
                      <w:szCs w:val="21"/>
                    </w:rPr>
                    <w:t>仓库</w:t>
                  </w:r>
                  <w:r>
                    <w:rPr>
                      <w:rFonts w:hint="default" w:ascii="Times New Roman" w:cs="Times New Roman"/>
                      <w:color w:val="auto"/>
                      <w:kern w:val="2"/>
                      <w:sz w:val="21"/>
                      <w:szCs w:val="21"/>
                    </w:rPr>
                    <w:t>，</w:t>
                  </w:r>
                  <w:r>
                    <w:rPr>
                      <w:rFonts w:hint="eastAsia" w:ascii="Times New Roman" w:cs="Times New Roman"/>
                      <w:color w:val="auto"/>
                      <w:kern w:val="2"/>
                      <w:sz w:val="21"/>
                      <w:szCs w:val="21"/>
                    </w:rPr>
                    <w:t>用于成品暂存</w:t>
                  </w:r>
                </w:p>
              </w:tc>
              <w:tc>
                <w:tcPr>
                  <w:tcW w:w="3462" w:type="pct"/>
                  <w:shd w:val="clear" w:color="auto" w:fill="auto"/>
                  <w:vAlign w:val="center"/>
                </w:tcPr>
                <w:p w14:paraId="4CC8509D">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highlight w:val="yellow"/>
                    </w:rPr>
                  </w:pPr>
                  <w:r>
                    <w:rPr>
                      <w:rFonts w:hint="eastAsia" w:ascii="Times New Roman" w:hAnsi="Times New Roman" w:cs="Times New Roman"/>
                      <w:bCs/>
                      <w:color w:val="auto"/>
                      <w:kern w:val="2"/>
                      <w:sz w:val="21"/>
                      <w:szCs w:val="21"/>
                      <w:highlight w:val="none"/>
                    </w:rPr>
                    <w:t>现有成品仓库转运周期为5天，每5天转运4000套DHT变速器；扩建后，转运周期改为每</w:t>
                  </w:r>
                  <w:r>
                    <w:rPr>
                      <w:rFonts w:hint="eastAsia" w:ascii="Times New Roman" w:hAnsi="Times New Roman" w:cs="Times New Roman"/>
                      <w:bCs/>
                      <w:color w:val="auto"/>
                      <w:kern w:val="2"/>
                      <w:sz w:val="21"/>
                      <w:szCs w:val="21"/>
                      <w:highlight w:val="none"/>
                      <w:lang w:val="en-US" w:eastAsia="zh-CN"/>
                    </w:rPr>
                    <w:t>4</w:t>
                  </w:r>
                  <w:r>
                    <w:rPr>
                      <w:rFonts w:hint="eastAsia" w:ascii="Times New Roman" w:hAnsi="Times New Roman" w:cs="Times New Roman"/>
                      <w:bCs/>
                      <w:color w:val="auto"/>
                      <w:kern w:val="2"/>
                      <w:sz w:val="21"/>
                      <w:szCs w:val="21"/>
                      <w:highlight w:val="none"/>
                    </w:rPr>
                    <w:t>天转运</w:t>
                  </w:r>
                  <w:r>
                    <w:rPr>
                      <w:rFonts w:hint="eastAsia" w:ascii="Times New Roman" w:hAnsi="Times New Roman" w:cs="Times New Roman"/>
                      <w:bCs/>
                      <w:color w:val="auto"/>
                      <w:kern w:val="2"/>
                      <w:sz w:val="21"/>
                      <w:szCs w:val="21"/>
                      <w:highlight w:val="none"/>
                      <w:lang w:val="en-US" w:eastAsia="zh-CN"/>
                    </w:rPr>
                    <w:t>32</w:t>
                  </w:r>
                  <w:r>
                    <w:rPr>
                      <w:rFonts w:hint="eastAsia" w:ascii="Times New Roman" w:hAnsi="Times New Roman" w:cs="Times New Roman"/>
                      <w:bCs/>
                      <w:color w:val="auto"/>
                      <w:kern w:val="2"/>
                      <w:sz w:val="21"/>
                      <w:szCs w:val="21"/>
                      <w:highlight w:val="none"/>
                    </w:rPr>
                    <w:t>00套DHT变速器、</w:t>
                  </w:r>
                  <w:r>
                    <w:rPr>
                      <w:rFonts w:hint="eastAsia" w:ascii="Times New Roman" w:hAnsi="Times New Roman" w:cs="Times New Roman"/>
                      <w:bCs/>
                      <w:color w:val="auto"/>
                      <w:kern w:val="2"/>
                      <w:sz w:val="21"/>
                      <w:szCs w:val="21"/>
                      <w:highlight w:val="none"/>
                      <w:lang w:val="en-US" w:eastAsia="zh-CN"/>
                    </w:rPr>
                    <w:t>8</w:t>
                  </w:r>
                  <w:r>
                    <w:rPr>
                      <w:rFonts w:hint="eastAsia" w:ascii="Times New Roman" w:hAnsi="Times New Roman" w:cs="Times New Roman"/>
                      <w:bCs/>
                      <w:color w:val="auto"/>
                      <w:kern w:val="2"/>
                      <w:sz w:val="21"/>
                      <w:szCs w:val="21"/>
                      <w:highlight w:val="none"/>
                    </w:rPr>
                    <w:t>00套</w:t>
                  </w:r>
                  <w:r>
                    <w:rPr>
                      <w:rFonts w:hint="eastAsia" w:ascii="Times New Roman" w:hAnsi="Times New Roman" w:cs="Times New Roman"/>
                      <w:color w:val="auto"/>
                      <w:kern w:val="2"/>
                      <w:sz w:val="21"/>
                      <w:szCs w:val="21"/>
                      <w:highlight w:val="none"/>
                    </w:rPr>
                    <w:t>P1+P3构型混动变速箱</w:t>
                  </w:r>
                  <w:r>
                    <w:rPr>
                      <w:rFonts w:hint="eastAsia" w:ascii="Times New Roman" w:hAnsi="Times New Roman" w:cs="Times New Roman"/>
                      <w:bCs/>
                      <w:color w:val="auto"/>
                      <w:kern w:val="2"/>
                      <w:sz w:val="21"/>
                      <w:szCs w:val="21"/>
                      <w:highlight w:val="none"/>
                    </w:rPr>
                    <w:t>，能够满足成品暂存需求</w:t>
                  </w:r>
                </w:p>
              </w:tc>
              <w:tc>
                <w:tcPr>
                  <w:tcW w:w="266" w:type="pct"/>
                  <w:shd w:val="clear" w:color="auto" w:fill="auto"/>
                  <w:vAlign w:val="center"/>
                </w:tcPr>
                <w:p w14:paraId="6E7C7081">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highlight w:val="yellow"/>
                    </w:rPr>
                  </w:pPr>
                  <w:r>
                    <w:rPr>
                      <w:rFonts w:hint="eastAsia" w:ascii="Times New Roman" w:hAnsi="Times New Roman" w:cs="Times New Roman"/>
                      <w:color w:val="auto"/>
                      <w:kern w:val="2"/>
                      <w:sz w:val="21"/>
                      <w:szCs w:val="21"/>
                      <w:lang w:val="en-US" w:eastAsia="zh-CN"/>
                    </w:rPr>
                    <w:t>可行</w:t>
                  </w:r>
                </w:p>
              </w:tc>
            </w:tr>
            <w:tr w14:paraId="074955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324" w:type="pct"/>
                  <w:vMerge w:val="restart"/>
                  <w:vAlign w:val="center"/>
                </w:tcPr>
                <w:p w14:paraId="47F594A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环保工程</w:t>
                  </w:r>
                </w:p>
              </w:tc>
              <w:tc>
                <w:tcPr>
                  <w:tcW w:w="299" w:type="pct"/>
                  <w:vAlign w:val="center"/>
                </w:tcPr>
                <w:p w14:paraId="452BF2AD">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废气</w:t>
                  </w:r>
                </w:p>
              </w:tc>
              <w:tc>
                <w:tcPr>
                  <w:tcW w:w="647" w:type="pct"/>
                  <w:vAlign w:val="center"/>
                </w:tcPr>
                <w:p w14:paraId="4DC38F0C">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eastAsia" w:ascii="Times New Roman" w:cs="Times New Roman"/>
                      <w:color w:val="auto"/>
                      <w:kern w:val="2"/>
                      <w:sz w:val="21"/>
                      <w:szCs w:val="21"/>
                    </w:rPr>
                    <w:t>依托现有清洗废气收集处理装置</w:t>
                  </w:r>
                </w:p>
              </w:tc>
              <w:tc>
                <w:tcPr>
                  <w:tcW w:w="3462" w:type="pct"/>
                  <w:vAlign w:val="center"/>
                </w:tcPr>
                <w:p w14:paraId="66DE6319">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highlight w:val="yellow"/>
                    </w:rPr>
                  </w:pPr>
                  <w:r>
                    <w:rPr>
                      <w:rFonts w:hint="eastAsia" w:ascii="Times New Roman" w:hAnsi="Times New Roman" w:cs="Times New Roman"/>
                      <w:bCs/>
                      <w:color w:val="auto"/>
                      <w:kern w:val="2"/>
                      <w:sz w:val="21"/>
                      <w:szCs w:val="21"/>
                      <w:highlight w:val="none"/>
                    </w:rPr>
                    <w:t>现有清洗处理装置风机风量为</w:t>
                  </w:r>
                  <w:r>
                    <w:rPr>
                      <w:rFonts w:hint="eastAsia" w:ascii="Times New Roman" w:cs="Times New Roman"/>
                      <w:bCs/>
                      <w:color w:val="auto"/>
                      <w:kern w:val="2"/>
                      <w:sz w:val="21"/>
                      <w:szCs w:val="21"/>
                      <w:highlight w:val="none"/>
                      <w:lang w:val="en-US" w:eastAsia="zh-CN"/>
                    </w:rPr>
                    <w:t>2664</w:t>
                  </w:r>
                  <w:r>
                    <w:rPr>
                      <w:rFonts w:hint="eastAsia" w:ascii="Times New Roman" w:cs="Times New Roman"/>
                      <w:bCs/>
                      <w:color w:val="auto"/>
                      <w:kern w:val="2"/>
                      <w:sz w:val="21"/>
                      <w:szCs w:val="21"/>
                      <w:highlight w:val="none"/>
                    </w:rPr>
                    <w:t>m</w:t>
                  </w:r>
                  <w:r>
                    <w:rPr>
                      <w:rFonts w:hint="eastAsia" w:ascii="Times New Roman" w:cs="Times New Roman"/>
                      <w:bCs/>
                      <w:color w:val="auto"/>
                      <w:kern w:val="2"/>
                      <w:sz w:val="21"/>
                      <w:szCs w:val="21"/>
                      <w:highlight w:val="none"/>
                      <w:vertAlign w:val="superscript"/>
                    </w:rPr>
                    <w:t>3</w:t>
                  </w:r>
                  <w:r>
                    <w:rPr>
                      <w:rFonts w:hint="eastAsia" w:ascii="Times New Roman" w:cs="Times New Roman"/>
                      <w:bCs/>
                      <w:color w:val="auto"/>
                      <w:kern w:val="2"/>
                      <w:sz w:val="21"/>
                      <w:szCs w:val="21"/>
                      <w:highlight w:val="none"/>
                    </w:rPr>
                    <w:t>/h，本次扩建</w:t>
                  </w:r>
                  <w:r>
                    <w:rPr>
                      <w:rFonts w:hint="eastAsia" w:ascii="Times New Roman" w:cs="Times New Roman"/>
                      <w:color w:val="auto"/>
                      <w:kern w:val="2"/>
                      <w:sz w:val="21"/>
                      <w:szCs w:val="21"/>
                      <w:highlight w:val="none"/>
                    </w:rPr>
                    <w:t>依托现有</w:t>
                  </w:r>
                  <w:r>
                    <w:rPr>
                      <w:rFonts w:hint="eastAsia"/>
                      <w:color w:val="auto"/>
                      <w:kern w:val="2"/>
                      <w:sz w:val="21"/>
                      <w:szCs w:val="21"/>
                      <w:highlight w:val="none"/>
                    </w:rPr>
                    <w:t>真空碳氢清洗设备</w:t>
                  </w:r>
                  <w:r>
                    <w:rPr>
                      <w:rFonts w:hint="eastAsia"/>
                      <w:color w:val="auto"/>
                      <w:kern w:val="2"/>
                      <w:sz w:val="21"/>
                      <w:szCs w:val="21"/>
                      <w:highlight w:val="none"/>
                      <w:lang w:eastAsia="zh-CN"/>
                    </w:rPr>
                    <w:t>，</w:t>
                  </w:r>
                  <w:r>
                    <w:rPr>
                      <w:rFonts w:hint="eastAsia" w:ascii="Times New Roman" w:cs="Times New Roman"/>
                      <w:bCs/>
                      <w:color w:val="auto"/>
                      <w:kern w:val="2"/>
                      <w:sz w:val="21"/>
                      <w:szCs w:val="21"/>
                      <w:highlight w:val="none"/>
                      <w:lang w:val="en-US" w:eastAsia="zh-CN"/>
                    </w:rPr>
                    <w:t>未增加清洗工序设备，</w:t>
                  </w:r>
                  <w:r>
                    <w:rPr>
                      <w:rFonts w:hint="eastAsia" w:ascii="Times New Roman" w:hAnsi="Times New Roman" w:cs="Times New Roman"/>
                      <w:bCs/>
                      <w:color w:val="auto"/>
                      <w:kern w:val="2"/>
                      <w:sz w:val="21"/>
                      <w:szCs w:val="21"/>
                      <w:highlight w:val="none"/>
                    </w:rPr>
                    <w:t>风机风量</w:t>
                  </w:r>
                  <w:r>
                    <w:rPr>
                      <w:rFonts w:hint="eastAsia" w:ascii="Times New Roman" w:hAnsi="Times New Roman" w:cs="Times New Roman"/>
                      <w:bCs/>
                      <w:color w:val="auto"/>
                      <w:kern w:val="2"/>
                      <w:sz w:val="21"/>
                      <w:szCs w:val="21"/>
                      <w:highlight w:val="none"/>
                      <w:lang w:val="en-US" w:eastAsia="zh-CN"/>
                    </w:rPr>
                    <w:t>不变，</w:t>
                  </w:r>
                  <w:r>
                    <w:rPr>
                      <w:rFonts w:hint="eastAsia" w:ascii="Times New Roman" w:cs="Times New Roman"/>
                      <w:bCs/>
                      <w:color w:val="auto"/>
                      <w:kern w:val="2"/>
                      <w:sz w:val="21"/>
                      <w:szCs w:val="21"/>
                      <w:highlight w:val="none"/>
                    </w:rPr>
                    <w:t>经核算清洗废气非甲烷总烃满足安徽省地方标准《固定源挥发性有机物综合排放标准 第6部分：其他行业》（DB34/4812.6-2024）表1汽车零部件制造的工业限值要求，扩建后的清洗废气治理设施能够满足处理要求</w:t>
                  </w:r>
                </w:p>
              </w:tc>
              <w:tc>
                <w:tcPr>
                  <w:tcW w:w="266" w:type="pct"/>
                  <w:vAlign w:val="center"/>
                </w:tcPr>
                <w:p w14:paraId="3C2420DD">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可行</w:t>
                  </w:r>
                </w:p>
              </w:tc>
            </w:tr>
            <w:tr w14:paraId="5BE21F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324" w:type="pct"/>
                  <w:vMerge w:val="continue"/>
                  <w:vAlign w:val="center"/>
                </w:tcPr>
                <w:p w14:paraId="370E91D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299" w:type="pct"/>
                  <w:vAlign w:val="center"/>
                </w:tcPr>
                <w:p w14:paraId="36079FA3">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cs="Times New Roman"/>
                      <w:color w:val="auto"/>
                      <w:kern w:val="2"/>
                      <w:sz w:val="21"/>
                      <w:szCs w:val="21"/>
                    </w:rPr>
                    <w:t>一般工业固体废物</w:t>
                  </w:r>
                </w:p>
              </w:tc>
              <w:tc>
                <w:tcPr>
                  <w:tcW w:w="647" w:type="pct"/>
                  <w:vAlign w:val="center"/>
                </w:tcPr>
                <w:p w14:paraId="56089DA1">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eastAsia" w:ascii="Times New Roman" w:cs="Times New Roman"/>
                      <w:color w:val="auto"/>
                      <w:kern w:val="2"/>
                      <w:sz w:val="21"/>
                      <w:szCs w:val="21"/>
                    </w:rPr>
                    <w:t>依托现有一般工业固体废物暂存仓库</w:t>
                  </w:r>
                </w:p>
              </w:tc>
              <w:tc>
                <w:tcPr>
                  <w:tcW w:w="3462" w:type="pct"/>
                  <w:vAlign w:val="center"/>
                </w:tcPr>
                <w:p w14:paraId="7D912475">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一般工业固体废物暂存仓库暂存能力为100t/a，现有一般工业固体废物产生量为10t</w:t>
                  </w:r>
                  <w:r>
                    <w:rPr>
                      <w:rFonts w:hint="eastAsia" w:ascii="Times New Roman" w:hAnsi="Times New Roman" w:cs="Times New Roman"/>
                      <w:bCs/>
                      <w:color w:val="auto"/>
                      <w:kern w:val="2"/>
                      <w:sz w:val="21"/>
                      <w:szCs w:val="21"/>
                      <w:lang w:val="en-US" w:eastAsia="zh-CN"/>
                    </w:rPr>
                    <w:t>/a</w:t>
                  </w:r>
                  <w:r>
                    <w:rPr>
                      <w:rFonts w:hint="eastAsia" w:ascii="Times New Roman" w:hAnsi="Times New Roman" w:cs="Times New Roman"/>
                      <w:bCs/>
                      <w:color w:val="auto"/>
                      <w:kern w:val="2"/>
                      <w:sz w:val="21"/>
                      <w:szCs w:val="21"/>
                    </w:rPr>
                    <w:t>，本项目一般工业固体废物最大暂存量为2t</w:t>
                  </w:r>
                  <w:r>
                    <w:rPr>
                      <w:rFonts w:hint="default" w:ascii="Times New Roman" w:hAnsi="Times New Roman" w:cs="Times New Roman"/>
                      <w:color w:val="auto"/>
                      <w:kern w:val="2"/>
                      <w:lang w:val="en-US" w:eastAsia="zh-CN"/>
                    </w:rPr>
                    <w:t>/a</w:t>
                  </w:r>
                  <w:r>
                    <w:rPr>
                      <w:rFonts w:hint="eastAsia" w:ascii="Times New Roman" w:hAnsi="Times New Roman" w:cs="Times New Roman"/>
                      <w:bCs/>
                      <w:color w:val="auto"/>
                      <w:kern w:val="2"/>
                      <w:sz w:val="21"/>
                      <w:szCs w:val="21"/>
                    </w:rPr>
                    <w:t>，能够满足暂存需求</w:t>
                  </w:r>
                </w:p>
              </w:tc>
              <w:tc>
                <w:tcPr>
                  <w:tcW w:w="266" w:type="pct"/>
                  <w:vAlign w:val="center"/>
                </w:tcPr>
                <w:p w14:paraId="66E66CF9">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可行</w:t>
                  </w:r>
                </w:p>
              </w:tc>
            </w:tr>
            <w:tr w14:paraId="4C8E4F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324" w:type="pct"/>
                  <w:vMerge w:val="continue"/>
                  <w:vAlign w:val="center"/>
                </w:tcPr>
                <w:p w14:paraId="51898C46">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299" w:type="pct"/>
                  <w:vAlign w:val="center"/>
                </w:tcPr>
                <w:p w14:paraId="02E59DC2">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危险废物</w:t>
                  </w:r>
                </w:p>
              </w:tc>
              <w:tc>
                <w:tcPr>
                  <w:tcW w:w="647" w:type="pct"/>
                  <w:vAlign w:val="center"/>
                </w:tcPr>
                <w:p w14:paraId="42554DA9">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eastAsia" w:ascii="Times New Roman" w:cs="Times New Roman"/>
                      <w:color w:val="auto"/>
                      <w:kern w:val="2"/>
                      <w:sz w:val="21"/>
                      <w:szCs w:val="21"/>
                    </w:rPr>
                    <w:t>依托现有危险废物暂存仓库</w:t>
                  </w:r>
                </w:p>
              </w:tc>
              <w:tc>
                <w:tcPr>
                  <w:tcW w:w="3462" w:type="pct"/>
                  <w:vAlign w:val="center"/>
                </w:tcPr>
                <w:p w14:paraId="02F8FDE1">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危险废物暂存间暂存能力为60t，现有</w:t>
                  </w:r>
                  <w:r>
                    <w:rPr>
                      <w:rFonts w:hint="eastAsia" w:ascii="Times New Roman" w:hAnsi="Times New Roman" w:cs="Times New Roman"/>
                      <w:bCs/>
                      <w:color w:val="auto"/>
                      <w:kern w:val="2"/>
                      <w:sz w:val="21"/>
                      <w:szCs w:val="21"/>
                      <w:lang w:val="en-US" w:eastAsia="zh-CN"/>
                    </w:rPr>
                    <w:t>工程</w:t>
                  </w:r>
                  <w:r>
                    <w:rPr>
                      <w:rFonts w:hint="eastAsia" w:ascii="Times New Roman" w:hAnsi="Times New Roman" w:cs="Times New Roman"/>
                      <w:bCs/>
                      <w:color w:val="auto"/>
                      <w:kern w:val="2"/>
                      <w:sz w:val="21"/>
                      <w:szCs w:val="21"/>
                    </w:rPr>
                    <w:t>危险废物产生量为18.73t</w:t>
                  </w:r>
                  <w:r>
                    <w:rPr>
                      <w:rFonts w:hint="default" w:ascii="Times New Roman" w:hAnsi="Times New Roman" w:cs="Times New Roman"/>
                      <w:color w:val="auto"/>
                      <w:kern w:val="2"/>
                      <w:lang w:val="en-US" w:eastAsia="zh-CN"/>
                    </w:rPr>
                    <w:t>/a</w:t>
                  </w:r>
                  <w:r>
                    <w:rPr>
                      <w:rFonts w:hint="eastAsia" w:ascii="Times New Roman" w:hAnsi="Times New Roman" w:cs="Times New Roman"/>
                      <w:bCs/>
                      <w:color w:val="auto"/>
                      <w:kern w:val="2"/>
                      <w:sz w:val="21"/>
                      <w:szCs w:val="21"/>
                    </w:rPr>
                    <w:t>，本项目产生的</w:t>
                  </w:r>
                  <w:r>
                    <w:rPr>
                      <w:rFonts w:hint="default" w:ascii="Times New Roman" w:hAnsi="Times New Roman" w:cs="Times New Roman"/>
                      <w:color w:val="auto"/>
                      <w:kern w:val="2"/>
                      <w:sz w:val="21"/>
                      <w:szCs w:val="21"/>
                    </w:rPr>
                    <w:t>废润滑油</w:t>
                  </w:r>
                  <w:r>
                    <w:rPr>
                      <w:rFonts w:hint="eastAsia" w:ascii="Times New Roman" w:hAnsi="Times New Roman" w:cs="Times New Roman"/>
                      <w:bCs/>
                      <w:color w:val="auto"/>
                      <w:kern w:val="2"/>
                      <w:sz w:val="21"/>
                      <w:szCs w:val="21"/>
                    </w:rPr>
                    <w:t>、</w:t>
                  </w:r>
                  <w:r>
                    <w:rPr>
                      <w:rFonts w:hint="default" w:ascii="Times New Roman" w:hAnsi="Times New Roman" w:cs="Times New Roman"/>
                      <w:color w:val="auto"/>
                      <w:kern w:val="2"/>
                      <w:sz w:val="21"/>
                      <w:szCs w:val="21"/>
                    </w:rPr>
                    <w:t>废活性炭</w:t>
                  </w:r>
                  <w:r>
                    <w:rPr>
                      <w:rFonts w:hint="eastAsia" w:ascii="Times New Roman" w:hAnsi="Times New Roman" w:cs="Times New Roman"/>
                      <w:bCs/>
                      <w:color w:val="auto"/>
                      <w:kern w:val="2"/>
                      <w:sz w:val="21"/>
                      <w:szCs w:val="21"/>
                    </w:rPr>
                    <w:t>、含油抹布等危险废物最大暂存量为8.27t</w:t>
                  </w:r>
                  <w:r>
                    <w:rPr>
                      <w:rFonts w:hint="eastAsia" w:ascii="Times New Roman" w:hAnsi="Times New Roman" w:cs="Times New Roman"/>
                      <w:bCs/>
                      <w:color w:val="auto"/>
                      <w:kern w:val="2"/>
                      <w:sz w:val="21"/>
                      <w:szCs w:val="21"/>
                      <w:lang w:val="en-US" w:eastAsia="zh-CN"/>
                    </w:rPr>
                    <w:t>/a</w:t>
                  </w:r>
                  <w:r>
                    <w:rPr>
                      <w:rFonts w:hint="eastAsia" w:ascii="Times New Roman" w:hAnsi="Times New Roman" w:cs="Times New Roman"/>
                      <w:bCs/>
                      <w:color w:val="auto"/>
                      <w:kern w:val="2"/>
                      <w:sz w:val="21"/>
                      <w:szCs w:val="21"/>
                    </w:rPr>
                    <w:t>，现有危险废物暂存间能够满足暂存需求</w:t>
                  </w:r>
                </w:p>
              </w:tc>
              <w:tc>
                <w:tcPr>
                  <w:tcW w:w="266" w:type="pct"/>
                  <w:vAlign w:val="center"/>
                </w:tcPr>
                <w:p w14:paraId="3E989B14">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符合</w:t>
                  </w:r>
                </w:p>
              </w:tc>
            </w:tr>
          </w:tbl>
          <w:p w14:paraId="78D1F327">
            <w:pPr>
              <w:keepNext w:val="0"/>
              <w:keepLines w:val="0"/>
              <w:widowControl/>
              <w:suppressLineNumbers w:val="0"/>
              <w:spacing w:before="0" w:beforeAutospacing="0" w:after="0" w:afterAutospacing="0" w:line="360" w:lineRule="auto"/>
              <w:ind w:left="0" w:right="0"/>
              <w:rPr>
                <w:rFonts w:hint="default" w:ascii="Times New Roman" w:hAnsi="Times New Roman" w:cs="Times New Roman"/>
                <w:color w:val="auto"/>
                <w:kern w:val="2"/>
              </w:rPr>
            </w:pPr>
          </w:p>
        </w:tc>
      </w:tr>
    </w:tbl>
    <w:p w14:paraId="5B500089">
      <w:pPr>
        <w:rPr>
          <w:rFonts w:ascii="Times New Roman" w:hAnsi="Times New Roman"/>
          <w:color w:val="auto"/>
        </w:rPr>
        <w:sectPr>
          <w:pgSz w:w="16838" w:h="11906" w:orient="landscape"/>
          <w:pgMar w:top="1531" w:right="1701" w:bottom="1531" w:left="1701" w:header="851" w:footer="992" w:gutter="0"/>
          <w:cols w:space="720" w:num="1"/>
          <w:docGrid w:type="lines" w:linePitch="326" w:charSpace="0"/>
        </w:sectPr>
      </w:pP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31"/>
        <w:gridCol w:w="8573"/>
      </w:tblGrid>
      <w:tr w14:paraId="1E829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87" w:hRule="atLeast"/>
          <w:jc w:val="center"/>
        </w:trPr>
        <w:tc>
          <w:tcPr>
            <w:tcW w:w="268" w:type="pct"/>
            <w:gridSpan w:val="2"/>
            <w:vAlign w:val="center"/>
          </w:tcPr>
          <w:p w14:paraId="62EC32CA">
            <w:pPr>
              <w:keepNext w:val="0"/>
              <w:keepLines w:val="0"/>
              <w:widowControl/>
              <w:suppressLineNumbers w:val="0"/>
              <w:spacing w:before="0" w:beforeAutospacing="0" w:after="0" w:afterAutospacing="0" w:line="360" w:lineRule="auto"/>
              <w:ind w:left="0" w:right="0"/>
              <w:jc w:val="center"/>
              <w:rPr>
                <w:rFonts w:hint="default" w:ascii="Times New Roman" w:hAnsi="Times New Roman"/>
                <w:color w:val="auto"/>
                <w:kern w:val="2"/>
              </w:rPr>
            </w:pPr>
            <w:r>
              <w:rPr>
                <w:rFonts w:hint="eastAsia"/>
                <w:color w:val="auto"/>
                <w:kern w:val="2"/>
              </w:rPr>
              <w:t>建设内容</w:t>
            </w:r>
          </w:p>
        </w:tc>
        <w:tc>
          <w:tcPr>
            <w:tcW w:w="4730" w:type="pct"/>
          </w:tcPr>
          <w:p w14:paraId="3819FC4F">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kern w:val="2"/>
              </w:rPr>
            </w:pPr>
            <w:bookmarkStart w:id="8" w:name="OLE_LINK66"/>
            <w:r>
              <w:rPr>
                <w:rFonts w:hint="default" w:ascii="Times New Roman" w:hAnsi="Times New Roman" w:cs="Times New Roman"/>
                <w:bCs/>
                <w:color w:val="auto"/>
                <w:kern w:val="2"/>
              </w:rPr>
              <w:t>4、产品方案</w:t>
            </w:r>
          </w:p>
          <w:p w14:paraId="616CA2F2">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cs="Times New Roman"/>
                <w:color w:val="auto"/>
                <w:kern w:val="2"/>
              </w:rPr>
            </w:pPr>
            <w:r>
              <w:rPr>
                <w:rFonts w:hint="default" w:ascii="Times New Roman" w:hAnsi="黑体" w:eastAsia="黑体" w:cs="Times New Roman"/>
                <w:color w:val="auto"/>
                <w:kern w:val="2"/>
              </w:rPr>
              <w:t>表</w:t>
            </w:r>
            <w:r>
              <w:rPr>
                <w:rFonts w:hint="default" w:ascii="Times New Roman" w:hAnsi="Times New Roman" w:cs="Times New Roman"/>
                <w:color w:val="auto"/>
                <w:kern w:val="2"/>
              </w:rPr>
              <w:t>2-5</w:t>
            </w:r>
            <w:r>
              <w:rPr>
                <w:rFonts w:hint="eastAsia" w:ascii="Times New Roman" w:hAnsi="Times New Roman" w:cs="Times New Roman"/>
                <w:color w:val="auto"/>
                <w:kern w:val="2"/>
              </w:rPr>
              <w:t xml:space="preserve">  </w:t>
            </w:r>
            <w:r>
              <w:rPr>
                <w:rFonts w:hint="default" w:ascii="Times New Roman" w:hAnsi="黑体" w:eastAsia="黑体" w:cs="Times New Roman"/>
                <w:color w:val="auto"/>
                <w:kern w:val="2"/>
              </w:rPr>
              <w:t>项目主要产品方案一览表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582"/>
              <w:gridCol w:w="1196"/>
              <w:gridCol w:w="1701"/>
              <w:gridCol w:w="1701"/>
              <w:gridCol w:w="1614"/>
            </w:tblGrid>
            <w:tr w14:paraId="68FAC8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77F0FE3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序号</w:t>
                  </w:r>
                </w:p>
              </w:tc>
              <w:tc>
                <w:tcPr>
                  <w:tcW w:w="1582" w:type="dxa"/>
                  <w:vAlign w:val="center"/>
                </w:tcPr>
                <w:p w14:paraId="4DC77EA1">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b/>
                      <w:color w:val="auto"/>
                      <w:kern w:val="2"/>
                      <w:sz w:val="21"/>
                      <w:szCs w:val="21"/>
                    </w:rPr>
                    <w:t>产品名称</w:t>
                  </w:r>
                </w:p>
              </w:tc>
              <w:tc>
                <w:tcPr>
                  <w:tcW w:w="1196" w:type="dxa"/>
                  <w:vAlign w:val="center"/>
                </w:tcPr>
                <w:p w14:paraId="6ABCC310">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b/>
                      <w:color w:val="auto"/>
                      <w:kern w:val="2"/>
                      <w:sz w:val="21"/>
                      <w:szCs w:val="21"/>
                    </w:rPr>
                    <w:t>现有产量</w:t>
                  </w:r>
                </w:p>
              </w:tc>
              <w:tc>
                <w:tcPr>
                  <w:tcW w:w="1701" w:type="dxa"/>
                  <w:vAlign w:val="center"/>
                </w:tcPr>
                <w:p w14:paraId="3037E696">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b/>
                      <w:color w:val="auto"/>
                      <w:kern w:val="2"/>
                      <w:sz w:val="21"/>
                      <w:szCs w:val="21"/>
                    </w:rPr>
                    <w:t>本次改扩建产量</w:t>
                  </w:r>
                </w:p>
              </w:tc>
              <w:tc>
                <w:tcPr>
                  <w:tcW w:w="1701" w:type="dxa"/>
                  <w:vAlign w:val="center"/>
                </w:tcPr>
                <w:p w14:paraId="70F35E5E">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b/>
                      <w:color w:val="auto"/>
                      <w:kern w:val="2"/>
                      <w:sz w:val="21"/>
                      <w:szCs w:val="21"/>
                    </w:rPr>
                    <w:t>改扩建后总产量</w:t>
                  </w:r>
                </w:p>
              </w:tc>
              <w:tc>
                <w:tcPr>
                  <w:tcW w:w="1614" w:type="dxa"/>
                  <w:vAlign w:val="center"/>
                </w:tcPr>
                <w:p w14:paraId="1BFEB5C8">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b/>
                      <w:color w:val="auto"/>
                      <w:kern w:val="2"/>
                      <w:sz w:val="21"/>
                      <w:szCs w:val="21"/>
                    </w:rPr>
                    <w:t>规格</w:t>
                  </w:r>
                </w:p>
              </w:tc>
            </w:tr>
            <w:tr w14:paraId="1F7F0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14:paraId="0FE300FB">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default" w:ascii="Times New Roman" w:cs="Times New Roman"/>
                      <w:color w:val="auto"/>
                      <w:kern w:val="2"/>
                      <w:sz w:val="21"/>
                      <w:szCs w:val="21"/>
                    </w:rPr>
                    <w:t>1</w:t>
                  </w:r>
                </w:p>
              </w:tc>
              <w:tc>
                <w:tcPr>
                  <w:tcW w:w="1582" w:type="dxa"/>
                  <w:vAlign w:val="center"/>
                </w:tcPr>
                <w:p w14:paraId="1E261609">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lang w:val="en-US"/>
                    </w:rPr>
                  </w:pPr>
                  <w:r>
                    <w:rPr>
                      <w:rFonts w:hint="eastAsia" w:ascii="Times New Roman" w:cs="Times New Roman"/>
                      <w:color w:val="auto"/>
                      <w:kern w:val="2"/>
                      <w:sz w:val="21"/>
                      <w:szCs w:val="21"/>
                    </w:rPr>
                    <w:t>DHT变速器</w:t>
                  </w:r>
                  <w:r>
                    <w:rPr>
                      <w:rFonts w:hint="eastAsia" w:ascii="Times New Roman" w:cs="Times New Roman"/>
                      <w:color w:val="auto"/>
                      <w:kern w:val="2"/>
                      <w:sz w:val="21"/>
                      <w:szCs w:val="21"/>
                      <w:lang w:val="en-US" w:eastAsia="zh-CN"/>
                    </w:rPr>
                    <w:t>(</w:t>
                  </w:r>
                  <w:r>
                    <w:rPr>
                      <w:rFonts w:hint="eastAsia" w:ascii="Times New Roman" w:cs="Times New Roman"/>
                      <w:color w:val="auto"/>
                      <w:kern w:val="2"/>
                      <w:sz w:val="21"/>
                      <w:szCs w:val="21"/>
                    </w:rPr>
                    <w:t>P</w:t>
                  </w:r>
                  <w:r>
                    <w:rPr>
                      <w:rFonts w:hint="eastAsia" w:ascii="Times New Roman" w:cs="Times New Roman"/>
                      <w:color w:val="auto"/>
                      <w:kern w:val="2"/>
                      <w:sz w:val="21"/>
                      <w:szCs w:val="21"/>
                      <w:lang w:val="en-US" w:eastAsia="zh-CN"/>
                    </w:rPr>
                    <w:t>2</w:t>
                  </w:r>
                  <w:r>
                    <w:rPr>
                      <w:rFonts w:hint="eastAsia" w:ascii="Times New Roman" w:cs="Times New Roman"/>
                      <w:color w:val="auto"/>
                      <w:kern w:val="2"/>
                      <w:sz w:val="21"/>
                      <w:szCs w:val="21"/>
                    </w:rPr>
                    <w:t>+P3变速箱</w:t>
                  </w:r>
                  <w:r>
                    <w:rPr>
                      <w:rFonts w:hint="eastAsia" w:ascii="Times New Roman" w:cs="Times New Roman"/>
                      <w:color w:val="auto"/>
                      <w:kern w:val="2"/>
                      <w:sz w:val="21"/>
                      <w:szCs w:val="21"/>
                      <w:lang w:val="en-US" w:eastAsia="zh-CN"/>
                    </w:rPr>
                    <w:t>)</w:t>
                  </w:r>
                </w:p>
              </w:tc>
              <w:tc>
                <w:tcPr>
                  <w:tcW w:w="1196" w:type="dxa"/>
                  <w:vAlign w:val="center"/>
                </w:tcPr>
                <w:p w14:paraId="096D05B6">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eastAsia" w:ascii="Times New Roman" w:cs="Times New Roman"/>
                      <w:color w:val="auto"/>
                      <w:kern w:val="2"/>
                      <w:sz w:val="21"/>
                      <w:szCs w:val="21"/>
                    </w:rPr>
                    <w:t>20万套/年</w:t>
                  </w:r>
                </w:p>
              </w:tc>
              <w:tc>
                <w:tcPr>
                  <w:tcW w:w="1701" w:type="dxa"/>
                  <w:vAlign w:val="center"/>
                </w:tcPr>
                <w:p w14:paraId="39661320">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eastAsia" w:ascii="Times New Roman" w:cs="Times New Roman"/>
                      <w:color w:val="auto"/>
                      <w:kern w:val="2"/>
                      <w:sz w:val="21"/>
                      <w:szCs w:val="21"/>
                    </w:rPr>
                    <w:t>/</w:t>
                  </w:r>
                </w:p>
              </w:tc>
              <w:tc>
                <w:tcPr>
                  <w:tcW w:w="1701" w:type="dxa"/>
                  <w:vAlign w:val="center"/>
                </w:tcPr>
                <w:p w14:paraId="0DDB4D0E">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eastAsia" w:ascii="Times New Roman" w:cs="Times New Roman"/>
                      <w:color w:val="auto"/>
                      <w:kern w:val="2"/>
                      <w:sz w:val="21"/>
                      <w:szCs w:val="21"/>
                    </w:rPr>
                    <w:t>20万套/年</w:t>
                  </w:r>
                </w:p>
              </w:tc>
              <w:tc>
                <w:tcPr>
                  <w:tcW w:w="1614" w:type="dxa"/>
                  <w:vAlign w:val="center"/>
                </w:tcPr>
                <w:p w14:paraId="423AD48A">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eastAsia" w:ascii="Times New Roman" w:cs="Times New Roman"/>
                      <w:color w:val="auto"/>
                      <w:kern w:val="2"/>
                      <w:sz w:val="21"/>
                      <w:szCs w:val="21"/>
                    </w:rPr>
                    <w:t>/</w:t>
                  </w:r>
                </w:p>
              </w:tc>
            </w:tr>
            <w:tr w14:paraId="576F18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shd w:val="clear" w:color="auto" w:fill="auto"/>
                  <w:vAlign w:val="center"/>
                </w:tcPr>
                <w:p w14:paraId="111CCE41">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eastAsia" w:ascii="Times New Roman" w:cs="Times New Roman"/>
                      <w:color w:val="auto"/>
                      <w:kern w:val="2"/>
                      <w:sz w:val="21"/>
                      <w:szCs w:val="21"/>
                    </w:rPr>
                    <w:t>2</w:t>
                  </w:r>
                </w:p>
              </w:tc>
              <w:tc>
                <w:tcPr>
                  <w:tcW w:w="1582" w:type="dxa"/>
                  <w:shd w:val="clear" w:color="auto" w:fill="auto"/>
                  <w:vAlign w:val="center"/>
                </w:tcPr>
                <w:p w14:paraId="25DAD867">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eastAsia" w:ascii="Times New Roman" w:cs="Times New Roman"/>
                      <w:color w:val="auto"/>
                      <w:kern w:val="2"/>
                      <w:sz w:val="21"/>
                      <w:szCs w:val="21"/>
                    </w:rPr>
                    <w:t>P1+P3构型混动变速箱</w:t>
                  </w:r>
                </w:p>
              </w:tc>
              <w:tc>
                <w:tcPr>
                  <w:tcW w:w="1196" w:type="dxa"/>
                  <w:shd w:val="clear" w:color="auto" w:fill="auto"/>
                  <w:vAlign w:val="center"/>
                </w:tcPr>
                <w:p w14:paraId="3472DA3A">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eastAsia" w:ascii="Times New Roman" w:cs="Times New Roman"/>
                      <w:color w:val="auto"/>
                      <w:kern w:val="2"/>
                      <w:sz w:val="21"/>
                      <w:szCs w:val="21"/>
                    </w:rPr>
                    <w:t>/</w:t>
                  </w:r>
                </w:p>
              </w:tc>
              <w:tc>
                <w:tcPr>
                  <w:tcW w:w="1701" w:type="dxa"/>
                  <w:shd w:val="clear" w:color="auto" w:fill="auto"/>
                  <w:vAlign w:val="center"/>
                </w:tcPr>
                <w:p w14:paraId="29FABE8E">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eastAsia" w:ascii="Times New Roman" w:cs="Times New Roman"/>
                      <w:color w:val="auto"/>
                      <w:kern w:val="2"/>
                      <w:sz w:val="21"/>
                      <w:szCs w:val="21"/>
                    </w:rPr>
                    <w:t>5万套/年</w:t>
                  </w:r>
                </w:p>
              </w:tc>
              <w:tc>
                <w:tcPr>
                  <w:tcW w:w="1701" w:type="dxa"/>
                  <w:shd w:val="clear" w:color="auto" w:fill="auto"/>
                  <w:vAlign w:val="center"/>
                </w:tcPr>
                <w:p w14:paraId="5FCD38D0">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eastAsia" w:ascii="Times New Roman" w:cs="Times New Roman"/>
                      <w:color w:val="auto"/>
                      <w:kern w:val="2"/>
                      <w:sz w:val="21"/>
                      <w:szCs w:val="21"/>
                    </w:rPr>
                    <w:t>5万套/年</w:t>
                  </w:r>
                </w:p>
              </w:tc>
              <w:tc>
                <w:tcPr>
                  <w:tcW w:w="1614" w:type="dxa"/>
                  <w:shd w:val="clear" w:color="auto" w:fill="auto"/>
                  <w:vAlign w:val="center"/>
                </w:tcPr>
                <w:p w14:paraId="1C14069D">
                  <w:pPr>
                    <w:keepNext w:val="0"/>
                    <w:keepLines w:val="0"/>
                    <w:widowControl/>
                    <w:suppressLineNumbers w:val="0"/>
                    <w:spacing w:before="0" w:beforeAutospacing="0" w:after="0" w:afterAutospacing="0" w:line="276" w:lineRule="auto"/>
                    <w:ind w:left="0" w:right="0"/>
                    <w:jc w:val="center"/>
                    <w:rPr>
                      <w:rFonts w:hint="default" w:ascii="Times New Roman" w:cs="Times New Roman"/>
                      <w:color w:val="auto"/>
                      <w:kern w:val="2"/>
                      <w:sz w:val="21"/>
                      <w:szCs w:val="21"/>
                    </w:rPr>
                  </w:pPr>
                  <w:r>
                    <w:rPr>
                      <w:rFonts w:hint="eastAsia" w:ascii="Times New Roman" w:cs="Times New Roman"/>
                      <w:color w:val="auto"/>
                      <w:kern w:val="2"/>
                      <w:sz w:val="21"/>
                      <w:szCs w:val="21"/>
                    </w:rPr>
                    <w:t>/</w:t>
                  </w:r>
                </w:p>
              </w:tc>
            </w:tr>
            <w:bookmarkEnd w:id="8"/>
          </w:tbl>
          <w:p w14:paraId="6D35FFE2">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kern w:val="2"/>
              </w:rPr>
            </w:pPr>
            <w:r>
              <w:rPr>
                <w:rFonts w:hint="eastAsia" w:ascii="Times New Roman" w:hAnsi="Times New Roman" w:cs="Times New Roman"/>
                <w:bCs/>
                <w:color w:val="auto"/>
                <w:kern w:val="2"/>
              </w:rPr>
              <w:t>5</w:t>
            </w:r>
            <w:r>
              <w:rPr>
                <w:rFonts w:hint="default" w:ascii="Times New Roman" w:hAnsi="Times New Roman" w:cs="Times New Roman"/>
                <w:bCs/>
                <w:color w:val="auto"/>
                <w:kern w:val="2"/>
              </w:rPr>
              <w:t>、主要生产设备</w:t>
            </w:r>
          </w:p>
          <w:p w14:paraId="589162EB">
            <w:pPr>
              <w:keepNext w:val="0"/>
              <w:keepLines w:val="0"/>
              <w:widowControl/>
              <w:suppressLineNumbers w:val="0"/>
              <w:spacing w:before="0" w:beforeAutospacing="0" w:after="0" w:afterAutospacing="0" w:line="360" w:lineRule="auto"/>
              <w:ind w:left="0" w:right="0" w:firstLine="480" w:firstLineChars="200"/>
              <w:rPr>
                <w:rFonts w:hint="default" w:ascii="Times New Roman" w:cs="Times New Roman"/>
                <w:bCs/>
                <w:color w:val="auto"/>
                <w:kern w:val="2"/>
              </w:rPr>
            </w:pPr>
            <w:r>
              <w:rPr>
                <w:rFonts w:hint="eastAsia" w:ascii="Times New Roman" w:cs="Times New Roman"/>
                <w:bCs/>
                <w:color w:val="auto"/>
                <w:kern w:val="2"/>
              </w:rPr>
              <w:t>（1）</w:t>
            </w:r>
            <w:r>
              <w:rPr>
                <w:rFonts w:hint="default" w:ascii="Times New Roman" w:cs="Times New Roman"/>
                <w:bCs/>
                <w:color w:val="auto"/>
                <w:kern w:val="2"/>
              </w:rPr>
              <w:t>本项目生产设备：</w:t>
            </w:r>
          </w:p>
          <w:p w14:paraId="3357FDDC">
            <w:pPr>
              <w:keepNext w:val="0"/>
              <w:keepLines w:val="0"/>
              <w:widowControl/>
              <w:suppressLineNumbers w:val="0"/>
              <w:spacing w:before="0" w:beforeAutospacing="0" w:after="0" w:afterAutospacing="0" w:line="360" w:lineRule="auto"/>
              <w:ind w:left="0" w:right="0"/>
              <w:jc w:val="center"/>
              <w:rPr>
                <w:rFonts w:hint="default" w:ascii="Times New Roman" w:hAnsi="黑体" w:eastAsia="黑体" w:cs="Times New Roman"/>
                <w:color w:val="auto"/>
                <w:kern w:val="2"/>
              </w:rPr>
            </w:pPr>
            <w:bookmarkStart w:id="9" w:name="OLE_LINK4"/>
            <w:bookmarkStart w:id="10" w:name="OLE_LINK5"/>
            <w:r>
              <w:rPr>
                <w:rFonts w:hint="default" w:ascii="Times New Roman" w:hAnsi="黑体" w:eastAsia="黑体" w:cs="Times New Roman"/>
                <w:color w:val="auto"/>
                <w:kern w:val="2"/>
              </w:rPr>
              <w:t>表</w:t>
            </w:r>
            <w:r>
              <w:rPr>
                <w:rFonts w:hint="default" w:ascii="Times New Roman" w:hAnsi="Times New Roman" w:eastAsia="黑体" w:cs="Times New Roman"/>
                <w:color w:val="auto"/>
                <w:kern w:val="2"/>
              </w:rPr>
              <w:t>2-</w:t>
            </w:r>
            <w:r>
              <w:rPr>
                <w:rFonts w:hint="eastAsia" w:ascii="Times New Roman" w:hAnsi="Times New Roman" w:eastAsia="黑体" w:cs="Times New Roman"/>
                <w:color w:val="auto"/>
                <w:kern w:val="2"/>
                <w:lang w:val="en-US" w:eastAsia="zh-CN"/>
              </w:rPr>
              <w:t>6</w:t>
            </w:r>
            <w:r>
              <w:rPr>
                <w:rFonts w:hint="eastAsia" w:ascii="Times New Roman" w:hAnsi="Times New Roman" w:eastAsia="黑体" w:cs="Times New Roman"/>
                <w:color w:val="auto"/>
                <w:kern w:val="2"/>
              </w:rPr>
              <w:t xml:space="preserve">  </w:t>
            </w:r>
            <w:r>
              <w:rPr>
                <w:rFonts w:hint="default" w:ascii="Times New Roman" w:hAnsi="黑体" w:eastAsia="黑体" w:cs="Times New Roman"/>
                <w:color w:val="auto"/>
                <w:kern w:val="2"/>
              </w:rPr>
              <w:t>生产设备一览表</w:t>
            </w:r>
          </w:p>
          <w:bookmarkEnd w:id="9"/>
          <w:bookmarkEnd w:id="10"/>
          <w:tbl>
            <w:tblPr>
              <w:tblStyle w:val="9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2425"/>
              <w:gridCol w:w="1481"/>
              <w:gridCol w:w="833"/>
              <w:gridCol w:w="1756"/>
              <w:gridCol w:w="1221"/>
            </w:tblGrid>
            <w:tr w14:paraId="17F4DC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81" w:type="pct"/>
                  <w:noWrap/>
                  <w:vAlign w:val="center"/>
                </w:tcPr>
                <w:p w14:paraId="3E9678BE">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2"/>
                      <w:sz w:val="21"/>
                      <w:szCs w:val="21"/>
                    </w:rPr>
                  </w:pPr>
                  <w:r>
                    <w:rPr>
                      <w:rFonts w:hint="default" w:eastAsia="Times New Roman"/>
                      <w:b/>
                      <w:bCs/>
                      <w:color w:val="auto"/>
                      <w:kern w:val="2"/>
                      <w:sz w:val="21"/>
                      <w:szCs w:val="21"/>
                    </w:rPr>
                    <w:t>序号</w:t>
                  </w:r>
                </w:p>
              </w:tc>
              <w:tc>
                <w:tcPr>
                  <w:tcW w:w="1451" w:type="pct"/>
                  <w:noWrap/>
                  <w:vAlign w:val="center"/>
                </w:tcPr>
                <w:p w14:paraId="28126EC9">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2"/>
                      <w:sz w:val="21"/>
                      <w:szCs w:val="21"/>
                    </w:rPr>
                  </w:pPr>
                  <w:r>
                    <w:rPr>
                      <w:rFonts w:hint="eastAsia"/>
                      <w:b/>
                      <w:bCs/>
                      <w:color w:val="auto"/>
                      <w:kern w:val="2"/>
                      <w:sz w:val="21"/>
                      <w:szCs w:val="21"/>
                    </w:rPr>
                    <w:t>生产设备名称</w:t>
                  </w:r>
                </w:p>
              </w:tc>
              <w:tc>
                <w:tcPr>
                  <w:tcW w:w="694" w:type="pct"/>
                  <w:noWrap/>
                  <w:vAlign w:val="center"/>
                </w:tcPr>
                <w:p w14:paraId="6A3F43E4">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Times New Roman"/>
                      <w:b/>
                      <w:color w:val="auto"/>
                      <w:kern w:val="2"/>
                      <w:sz w:val="21"/>
                      <w:szCs w:val="21"/>
                    </w:rPr>
                  </w:pPr>
                  <w:r>
                    <w:rPr>
                      <w:rFonts w:hint="default" w:ascii="Times New Roman" w:eastAsia="Times New Roman"/>
                      <w:b/>
                      <w:color w:val="auto"/>
                      <w:kern w:val="2"/>
                      <w:sz w:val="21"/>
                      <w:szCs w:val="21"/>
                    </w:rPr>
                    <w:t>改扩建前数量</w:t>
                  </w:r>
                </w:p>
              </w:tc>
              <w:tc>
                <w:tcPr>
                  <w:tcW w:w="594" w:type="pct"/>
                  <w:vAlign w:val="center"/>
                </w:tcPr>
                <w:p w14:paraId="03468349">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Times New Roman"/>
                      <w:b/>
                      <w:color w:val="auto"/>
                      <w:kern w:val="2"/>
                      <w:sz w:val="21"/>
                      <w:szCs w:val="21"/>
                    </w:rPr>
                  </w:pPr>
                  <w:r>
                    <w:rPr>
                      <w:rFonts w:hint="default" w:ascii="Times New Roman" w:eastAsia="Times New Roman"/>
                      <w:b/>
                      <w:color w:val="auto"/>
                      <w:kern w:val="2"/>
                      <w:sz w:val="21"/>
                      <w:szCs w:val="21"/>
                    </w:rPr>
                    <w:t>改扩建后数量</w:t>
                  </w:r>
                </w:p>
              </w:tc>
              <w:tc>
                <w:tcPr>
                  <w:tcW w:w="1069" w:type="pct"/>
                  <w:noWrap/>
                  <w:vAlign w:val="center"/>
                </w:tcPr>
                <w:p w14:paraId="055A6E0F">
                  <w:pPr>
                    <w:keepNext w:val="0"/>
                    <w:keepLines w:val="0"/>
                    <w:widowControl/>
                    <w:suppressLineNumbers w:val="0"/>
                    <w:spacing w:before="0" w:beforeAutospacing="0" w:after="0" w:afterAutospacing="0"/>
                    <w:ind w:left="0" w:right="0"/>
                    <w:jc w:val="center"/>
                    <w:rPr>
                      <w:rFonts w:hint="default" w:ascii="Times New Roman" w:hAnsi="Times New Roman"/>
                      <w:b/>
                      <w:bCs/>
                      <w:color w:val="auto"/>
                      <w:kern w:val="2"/>
                      <w:sz w:val="21"/>
                      <w:szCs w:val="21"/>
                    </w:rPr>
                  </w:pPr>
                  <w:r>
                    <w:rPr>
                      <w:rFonts w:hint="eastAsia"/>
                      <w:b/>
                      <w:bCs/>
                      <w:color w:val="auto"/>
                      <w:kern w:val="2"/>
                      <w:sz w:val="21"/>
                      <w:szCs w:val="21"/>
                    </w:rPr>
                    <w:t>使用工序</w:t>
                  </w:r>
                </w:p>
              </w:tc>
              <w:tc>
                <w:tcPr>
                  <w:tcW w:w="807" w:type="pct"/>
                  <w:vAlign w:val="center"/>
                </w:tcPr>
                <w:p w14:paraId="7F3B8EC9">
                  <w:pPr>
                    <w:keepNext w:val="0"/>
                    <w:keepLines w:val="0"/>
                    <w:widowControl/>
                    <w:suppressLineNumbers w:val="0"/>
                    <w:spacing w:before="0" w:beforeAutospacing="0" w:after="0" w:afterAutospacing="0"/>
                    <w:ind w:left="0" w:right="0"/>
                    <w:jc w:val="center"/>
                    <w:rPr>
                      <w:rFonts w:hint="default" w:eastAsia="Times New Roman"/>
                      <w:b/>
                      <w:bCs/>
                      <w:color w:val="auto"/>
                      <w:kern w:val="2"/>
                      <w:sz w:val="21"/>
                      <w:szCs w:val="21"/>
                    </w:rPr>
                  </w:pPr>
                  <w:r>
                    <w:rPr>
                      <w:rFonts w:hint="eastAsia" w:eastAsia="Times New Roman"/>
                      <w:b/>
                      <w:bCs/>
                      <w:color w:val="auto"/>
                      <w:kern w:val="2"/>
                      <w:sz w:val="21"/>
                      <w:szCs w:val="21"/>
                    </w:rPr>
                    <w:t>备注</w:t>
                  </w:r>
                </w:p>
              </w:tc>
            </w:tr>
            <w:tr w14:paraId="7E1356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81" w:type="pct"/>
                  <w:noWrap/>
                  <w:vAlign w:val="center"/>
                </w:tcPr>
                <w:p w14:paraId="1E7083A3">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w:t>
                  </w:r>
                </w:p>
              </w:tc>
              <w:tc>
                <w:tcPr>
                  <w:tcW w:w="1451" w:type="pct"/>
                  <w:noWrap/>
                  <w:vAlign w:val="center"/>
                </w:tcPr>
                <w:p w14:paraId="66E9096B">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真空碳氢清洗设备</w:t>
                  </w:r>
                </w:p>
              </w:tc>
              <w:tc>
                <w:tcPr>
                  <w:tcW w:w="694" w:type="pct"/>
                  <w:noWrap/>
                  <w:vAlign w:val="center"/>
                </w:tcPr>
                <w:p w14:paraId="726921BB">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4</w:t>
                  </w:r>
                </w:p>
              </w:tc>
              <w:tc>
                <w:tcPr>
                  <w:tcW w:w="594" w:type="pct"/>
                  <w:vAlign w:val="center"/>
                </w:tcPr>
                <w:p w14:paraId="3FA95ED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eastAsiaTheme="minorEastAsia"/>
                      <w:color w:val="auto"/>
                      <w:kern w:val="2"/>
                      <w:sz w:val="21"/>
                      <w:szCs w:val="21"/>
                    </w:rPr>
                    <w:t>4</w:t>
                  </w:r>
                </w:p>
              </w:tc>
              <w:tc>
                <w:tcPr>
                  <w:tcW w:w="1069" w:type="pct"/>
                  <w:noWrap/>
                  <w:vAlign w:val="center"/>
                </w:tcPr>
                <w:p w14:paraId="1052C826">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轴系线</w:t>
                  </w:r>
                  <w:r>
                    <w:rPr>
                      <w:rFonts w:hint="default" w:ascii="Times New Roman" w:hAnsi="Times New Roman" w:eastAsia="Times New Roman"/>
                      <w:color w:val="auto"/>
                      <w:kern w:val="2"/>
                      <w:sz w:val="21"/>
                      <w:szCs w:val="21"/>
                    </w:rPr>
                    <w:t>-</w:t>
                  </w:r>
                  <w:r>
                    <w:rPr>
                      <w:rFonts w:hint="eastAsia"/>
                      <w:color w:val="auto"/>
                      <w:kern w:val="2"/>
                      <w:sz w:val="21"/>
                      <w:szCs w:val="21"/>
                    </w:rPr>
                    <w:t>清洗</w:t>
                  </w:r>
                </w:p>
              </w:tc>
              <w:tc>
                <w:tcPr>
                  <w:tcW w:w="807" w:type="pct"/>
                  <w:vAlign w:val="center"/>
                </w:tcPr>
                <w:p w14:paraId="6190EE23">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不变</w:t>
                  </w:r>
                </w:p>
              </w:tc>
            </w:tr>
            <w:tr w14:paraId="1C671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81" w:type="pct"/>
                  <w:noWrap/>
                  <w:vAlign w:val="center"/>
                </w:tcPr>
                <w:p w14:paraId="3B94CFD0">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2</w:t>
                  </w:r>
                </w:p>
              </w:tc>
              <w:tc>
                <w:tcPr>
                  <w:tcW w:w="1451" w:type="pct"/>
                  <w:noWrap/>
                  <w:vAlign w:val="center"/>
                </w:tcPr>
                <w:p w14:paraId="4A698B4B">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选垫测量设备</w:t>
                  </w:r>
                </w:p>
              </w:tc>
              <w:tc>
                <w:tcPr>
                  <w:tcW w:w="694" w:type="pct"/>
                  <w:noWrap/>
                  <w:vAlign w:val="center"/>
                </w:tcPr>
                <w:p w14:paraId="1B998740">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8</w:t>
                  </w:r>
                </w:p>
              </w:tc>
              <w:tc>
                <w:tcPr>
                  <w:tcW w:w="594" w:type="pct"/>
                  <w:vAlign w:val="center"/>
                </w:tcPr>
                <w:p w14:paraId="0CF0FFE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eastAsiaTheme="minorEastAsia"/>
                      <w:color w:val="auto"/>
                      <w:kern w:val="2"/>
                      <w:sz w:val="21"/>
                      <w:szCs w:val="21"/>
                    </w:rPr>
                    <w:t>14</w:t>
                  </w:r>
                </w:p>
              </w:tc>
              <w:tc>
                <w:tcPr>
                  <w:tcW w:w="1069" w:type="pct"/>
                  <w:vAlign w:val="center"/>
                </w:tcPr>
                <w:p w14:paraId="4EBF1A69">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总装线</w:t>
                  </w:r>
                  <w:r>
                    <w:rPr>
                      <w:rFonts w:hint="default" w:ascii="Times New Roman" w:hAnsi="Times New Roman" w:eastAsia="Times New Roman"/>
                      <w:color w:val="auto"/>
                      <w:kern w:val="2"/>
                      <w:sz w:val="21"/>
                      <w:szCs w:val="21"/>
                    </w:rPr>
                    <w:t>-</w:t>
                  </w:r>
                  <w:r>
                    <w:rPr>
                      <w:rFonts w:hint="eastAsia"/>
                      <w:color w:val="auto"/>
                      <w:kern w:val="2"/>
                      <w:sz w:val="21"/>
                      <w:szCs w:val="21"/>
                    </w:rPr>
                    <w:t>外圈压装</w:t>
                  </w:r>
                </w:p>
              </w:tc>
              <w:tc>
                <w:tcPr>
                  <w:tcW w:w="807" w:type="pct"/>
                  <w:vAlign w:val="center"/>
                </w:tcPr>
                <w:p w14:paraId="2DEA2452">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rPr>
                    <w:t>新增</w:t>
                  </w:r>
                  <w:r>
                    <w:rPr>
                      <w:rFonts w:hint="default" w:ascii="Times New Roman" w:hAnsi="Times New Roman" w:cs="Times New Roman" w:eastAsiaTheme="minorEastAsia"/>
                      <w:color w:val="auto"/>
                      <w:kern w:val="2"/>
                      <w:sz w:val="21"/>
                      <w:szCs w:val="21"/>
                      <w:lang w:val="en-US" w:eastAsia="zh-CN"/>
                    </w:rPr>
                    <w:t>6台</w:t>
                  </w:r>
                </w:p>
              </w:tc>
            </w:tr>
            <w:tr w14:paraId="26FAB5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81" w:type="pct"/>
                  <w:noWrap/>
                  <w:vAlign w:val="center"/>
                </w:tcPr>
                <w:p w14:paraId="0CDC82E7">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3</w:t>
                  </w:r>
                </w:p>
              </w:tc>
              <w:tc>
                <w:tcPr>
                  <w:tcW w:w="1451" w:type="pct"/>
                  <w:noWrap/>
                  <w:vAlign w:val="center"/>
                </w:tcPr>
                <w:p w14:paraId="63E89AD1">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装配生产线</w:t>
                  </w:r>
                </w:p>
              </w:tc>
              <w:tc>
                <w:tcPr>
                  <w:tcW w:w="694" w:type="pct"/>
                  <w:noWrap/>
                  <w:vAlign w:val="center"/>
                </w:tcPr>
                <w:p w14:paraId="3C03B8AC">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2</w:t>
                  </w:r>
                </w:p>
              </w:tc>
              <w:tc>
                <w:tcPr>
                  <w:tcW w:w="594" w:type="pct"/>
                  <w:vAlign w:val="center"/>
                </w:tcPr>
                <w:p w14:paraId="6D451136">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lang w:eastAsia="zh-CN"/>
                    </w:rPr>
                  </w:pPr>
                  <w:r>
                    <w:rPr>
                      <w:rFonts w:hint="eastAsia" w:ascii="Times New Roman" w:hAnsi="Times New Roman" w:cs="Times New Roman" w:eastAsiaTheme="minorEastAsia"/>
                      <w:color w:val="auto"/>
                      <w:kern w:val="2"/>
                      <w:sz w:val="21"/>
                      <w:szCs w:val="21"/>
                      <w:lang w:val="en-US" w:eastAsia="zh-CN"/>
                    </w:rPr>
                    <w:t>4</w:t>
                  </w:r>
                </w:p>
              </w:tc>
              <w:tc>
                <w:tcPr>
                  <w:tcW w:w="1069" w:type="pct"/>
                  <w:vAlign w:val="center"/>
                </w:tcPr>
                <w:p w14:paraId="48B3A317">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总装线</w:t>
                  </w:r>
                </w:p>
              </w:tc>
              <w:tc>
                <w:tcPr>
                  <w:tcW w:w="807" w:type="pct"/>
                  <w:vAlign w:val="center"/>
                </w:tcPr>
                <w:p w14:paraId="701A11AD">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rPr>
                    <w:t>新增</w:t>
                  </w:r>
                  <w:r>
                    <w:rPr>
                      <w:rFonts w:hint="default" w:ascii="Times New Roman" w:hAnsi="Times New Roman" w:cs="Times New Roman" w:eastAsiaTheme="minorEastAsia"/>
                      <w:color w:val="auto"/>
                      <w:kern w:val="2"/>
                      <w:sz w:val="21"/>
                      <w:szCs w:val="21"/>
                      <w:lang w:val="en-US" w:eastAsia="zh-CN"/>
                    </w:rPr>
                    <w:t>2条</w:t>
                  </w:r>
                </w:p>
              </w:tc>
            </w:tr>
            <w:tr w14:paraId="7CF843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81" w:type="pct"/>
                  <w:noWrap/>
                  <w:vAlign w:val="center"/>
                </w:tcPr>
                <w:p w14:paraId="16135729">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4</w:t>
                  </w:r>
                </w:p>
              </w:tc>
              <w:tc>
                <w:tcPr>
                  <w:tcW w:w="1451" w:type="pct"/>
                  <w:noWrap/>
                  <w:vAlign w:val="center"/>
                </w:tcPr>
                <w:p w14:paraId="21E9D3FC">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电动拧紧枪</w:t>
                  </w:r>
                  <w:r>
                    <w:rPr>
                      <w:rFonts w:hint="default" w:ascii="Times New Roman" w:hAnsi="Times New Roman" w:eastAsia="Times New Roman"/>
                      <w:color w:val="auto"/>
                      <w:kern w:val="2"/>
                      <w:sz w:val="21"/>
                      <w:szCs w:val="21"/>
                    </w:rPr>
                    <w:t>/</w:t>
                  </w:r>
                  <w:r>
                    <w:rPr>
                      <w:rFonts w:hint="eastAsia"/>
                      <w:color w:val="auto"/>
                      <w:kern w:val="2"/>
                      <w:sz w:val="21"/>
                      <w:szCs w:val="21"/>
                    </w:rPr>
                    <w:t>轴</w:t>
                  </w:r>
                </w:p>
              </w:tc>
              <w:tc>
                <w:tcPr>
                  <w:tcW w:w="694" w:type="pct"/>
                  <w:noWrap/>
                  <w:vAlign w:val="center"/>
                </w:tcPr>
                <w:p w14:paraId="04EC37AB">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52</w:t>
                  </w:r>
                </w:p>
              </w:tc>
              <w:tc>
                <w:tcPr>
                  <w:tcW w:w="594" w:type="pct"/>
                  <w:vAlign w:val="center"/>
                </w:tcPr>
                <w:p w14:paraId="3B4CE4E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eastAsiaTheme="minorEastAsia"/>
                      <w:color w:val="auto"/>
                      <w:kern w:val="2"/>
                      <w:sz w:val="21"/>
                      <w:szCs w:val="21"/>
                    </w:rPr>
                    <w:t>104</w:t>
                  </w:r>
                </w:p>
              </w:tc>
              <w:tc>
                <w:tcPr>
                  <w:tcW w:w="1069" w:type="pct"/>
                  <w:vAlign w:val="center"/>
                </w:tcPr>
                <w:p w14:paraId="0EC34977">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总装线</w:t>
                  </w:r>
                </w:p>
              </w:tc>
              <w:tc>
                <w:tcPr>
                  <w:tcW w:w="807" w:type="pct"/>
                  <w:vAlign w:val="center"/>
                </w:tcPr>
                <w:p w14:paraId="07C09FB7">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rPr>
                    <w:t>新增</w:t>
                  </w:r>
                  <w:r>
                    <w:rPr>
                      <w:rFonts w:hint="default" w:ascii="Times New Roman" w:hAnsi="Times New Roman" w:cs="Times New Roman" w:eastAsiaTheme="minorEastAsia"/>
                      <w:color w:val="auto"/>
                      <w:kern w:val="2"/>
                      <w:sz w:val="21"/>
                      <w:szCs w:val="21"/>
                      <w:lang w:val="en-US" w:eastAsia="zh-CN"/>
                    </w:rPr>
                    <w:t>52台</w:t>
                  </w:r>
                </w:p>
              </w:tc>
            </w:tr>
            <w:tr w14:paraId="0D765E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7BA10430">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5</w:t>
                  </w:r>
                </w:p>
              </w:tc>
              <w:tc>
                <w:tcPr>
                  <w:tcW w:w="1451" w:type="pct"/>
                  <w:noWrap/>
                  <w:vAlign w:val="center"/>
                </w:tcPr>
                <w:p w14:paraId="67839F7F">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伺服压机</w:t>
                  </w:r>
                </w:p>
              </w:tc>
              <w:tc>
                <w:tcPr>
                  <w:tcW w:w="694" w:type="pct"/>
                  <w:noWrap/>
                  <w:vAlign w:val="center"/>
                </w:tcPr>
                <w:p w14:paraId="4D46A829">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23</w:t>
                  </w:r>
                </w:p>
              </w:tc>
              <w:tc>
                <w:tcPr>
                  <w:tcW w:w="594" w:type="pct"/>
                  <w:vAlign w:val="center"/>
                </w:tcPr>
                <w:p w14:paraId="230CCD7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eastAsiaTheme="minorEastAsia"/>
                      <w:color w:val="auto"/>
                      <w:kern w:val="2"/>
                      <w:sz w:val="21"/>
                      <w:szCs w:val="21"/>
                    </w:rPr>
                    <w:t>46</w:t>
                  </w:r>
                </w:p>
              </w:tc>
              <w:tc>
                <w:tcPr>
                  <w:tcW w:w="1069" w:type="pct"/>
                  <w:vAlign w:val="center"/>
                </w:tcPr>
                <w:p w14:paraId="52E1DF22">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总装线</w:t>
                  </w:r>
                  <w:r>
                    <w:rPr>
                      <w:rFonts w:hint="default" w:ascii="Times New Roman" w:hAnsi="Times New Roman" w:eastAsia="Times New Roman"/>
                      <w:color w:val="auto"/>
                      <w:kern w:val="2"/>
                      <w:sz w:val="21"/>
                      <w:szCs w:val="21"/>
                    </w:rPr>
                    <w:t>-</w:t>
                  </w:r>
                  <w:r>
                    <w:rPr>
                      <w:rFonts w:hint="eastAsia"/>
                      <w:color w:val="auto"/>
                      <w:kern w:val="2"/>
                      <w:sz w:val="21"/>
                      <w:szCs w:val="21"/>
                    </w:rPr>
                    <w:t>外圈压装</w:t>
                  </w:r>
                </w:p>
              </w:tc>
              <w:tc>
                <w:tcPr>
                  <w:tcW w:w="807" w:type="pct"/>
                  <w:vAlign w:val="center"/>
                </w:tcPr>
                <w:p w14:paraId="2C066690">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rPr>
                    <w:t>新增</w:t>
                  </w:r>
                  <w:r>
                    <w:rPr>
                      <w:rFonts w:hint="default" w:ascii="Times New Roman" w:hAnsi="Times New Roman" w:cs="Times New Roman" w:eastAsiaTheme="minorEastAsia"/>
                      <w:color w:val="auto"/>
                      <w:kern w:val="2"/>
                      <w:sz w:val="21"/>
                      <w:szCs w:val="21"/>
                      <w:lang w:val="en-US" w:eastAsia="zh-CN"/>
                    </w:rPr>
                    <w:t>23台</w:t>
                  </w:r>
                </w:p>
              </w:tc>
            </w:tr>
            <w:tr w14:paraId="32BA2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25C5284A">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6</w:t>
                  </w:r>
                </w:p>
              </w:tc>
              <w:tc>
                <w:tcPr>
                  <w:tcW w:w="1451" w:type="pct"/>
                  <w:noWrap/>
                  <w:vAlign w:val="center"/>
                </w:tcPr>
                <w:p w14:paraId="4F3FFC12">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机器人</w:t>
                  </w:r>
                </w:p>
              </w:tc>
              <w:tc>
                <w:tcPr>
                  <w:tcW w:w="694" w:type="pct"/>
                  <w:noWrap/>
                  <w:vAlign w:val="center"/>
                </w:tcPr>
                <w:p w14:paraId="10C7908E">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10</w:t>
                  </w:r>
                </w:p>
              </w:tc>
              <w:tc>
                <w:tcPr>
                  <w:tcW w:w="594" w:type="pct"/>
                  <w:vAlign w:val="center"/>
                </w:tcPr>
                <w:p w14:paraId="4FDA37F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20</w:t>
                  </w:r>
                </w:p>
              </w:tc>
              <w:tc>
                <w:tcPr>
                  <w:tcW w:w="1069" w:type="pct"/>
                  <w:vAlign w:val="center"/>
                </w:tcPr>
                <w:p w14:paraId="023AF32A">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测试线</w:t>
                  </w:r>
                  <w:r>
                    <w:rPr>
                      <w:rFonts w:hint="default" w:ascii="Times New Roman" w:hAnsi="Times New Roman" w:eastAsia="Times New Roman"/>
                      <w:color w:val="auto"/>
                      <w:kern w:val="2"/>
                      <w:sz w:val="21"/>
                      <w:szCs w:val="21"/>
                    </w:rPr>
                    <w:t>-</w:t>
                  </w:r>
                  <w:r>
                    <w:rPr>
                      <w:rFonts w:hint="eastAsia"/>
                      <w:color w:val="auto"/>
                      <w:kern w:val="2"/>
                      <w:sz w:val="21"/>
                      <w:szCs w:val="21"/>
                    </w:rPr>
                    <w:t>机器人转运</w:t>
                  </w:r>
                </w:p>
              </w:tc>
              <w:tc>
                <w:tcPr>
                  <w:tcW w:w="807" w:type="pct"/>
                  <w:vAlign w:val="center"/>
                </w:tcPr>
                <w:p w14:paraId="15707B6E">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rPr>
                    <w:t>新增</w:t>
                  </w:r>
                  <w:r>
                    <w:rPr>
                      <w:rFonts w:hint="default" w:ascii="Times New Roman" w:hAnsi="Times New Roman" w:cs="Times New Roman" w:eastAsiaTheme="minorEastAsia"/>
                      <w:color w:val="auto"/>
                      <w:kern w:val="2"/>
                      <w:sz w:val="21"/>
                      <w:szCs w:val="21"/>
                      <w:lang w:val="en-US" w:eastAsia="zh-CN"/>
                    </w:rPr>
                    <w:t>20台</w:t>
                  </w:r>
                </w:p>
              </w:tc>
            </w:tr>
            <w:tr w14:paraId="7CABBC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477CABB9">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7</w:t>
                  </w:r>
                </w:p>
              </w:tc>
              <w:tc>
                <w:tcPr>
                  <w:tcW w:w="1451" w:type="pct"/>
                  <w:noWrap/>
                  <w:vAlign w:val="center"/>
                </w:tcPr>
                <w:p w14:paraId="16870CD7">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视觉系统</w:t>
                  </w:r>
                </w:p>
              </w:tc>
              <w:tc>
                <w:tcPr>
                  <w:tcW w:w="694" w:type="pct"/>
                  <w:noWrap/>
                  <w:vAlign w:val="center"/>
                </w:tcPr>
                <w:p w14:paraId="3B01D9CD">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22</w:t>
                  </w:r>
                </w:p>
              </w:tc>
              <w:tc>
                <w:tcPr>
                  <w:tcW w:w="594" w:type="pct"/>
                  <w:vAlign w:val="center"/>
                </w:tcPr>
                <w:p w14:paraId="2180C0E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eastAsiaTheme="minorEastAsia"/>
                      <w:color w:val="auto"/>
                      <w:kern w:val="2"/>
                      <w:sz w:val="21"/>
                      <w:szCs w:val="21"/>
                    </w:rPr>
                    <w:t>44</w:t>
                  </w:r>
                </w:p>
              </w:tc>
              <w:tc>
                <w:tcPr>
                  <w:tcW w:w="1069" w:type="pct"/>
                  <w:vAlign w:val="center"/>
                </w:tcPr>
                <w:p w14:paraId="440E543F">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总装线</w:t>
                  </w:r>
                </w:p>
              </w:tc>
              <w:tc>
                <w:tcPr>
                  <w:tcW w:w="807" w:type="pct"/>
                  <w:vAlign w:val="center"/>
                </w:tcPr>
                <w:p w14:paraId="096F3858">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rPr>
                    <w:t>新增</w:t>
                  </w:r>
                  <w:r>
                    <w:rPr>
                      <w:rFonts w:hint="default" w:ascii="Times New Roman" w:hAnsi="Times New Roman" w:cs="Times New Roman" w:eastAsiaTheme="minorEastAsia"/>
                      <w:color w:val="auto"/>
                      <w:kern w:val="2"/>
                      <w:sz w:val="21"/>
                      <w:szCs w:val="21"/>
                      <w:lang w:val="en-US" w:eastAsia="zh-CN"/>
                    </w:rPr>
                    <w:t>22台</w:t>
                  </w:r>
                </w:p>
              </w:tc>
            </w:tr>
            <w:tr w14:paraId="44912E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412D20A8">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8</w:t>
                  </w:r>
                </w:p>
              </w:tc>
              <w:tc>
                <w:tcPr>
                  <w:tcW w:w="1451" w:type="pct"/>
                  <w:noWrap/>
                  <w:vAlign w:val="center"/>
                </w:tcPr>
                <w:p w14:paraId="3AD53D38">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气密仪</w:t>
                  </w:r>
                </w:p>
              </w:tc>
              <w:tc>
                <w:tcPr>
                  <w:tcW w:w="694" w:type="pct"/>
                  <w:noWrap/>
                  <w:vAlign w:val="center"/>
                </w:tcPr>
                <w:p w14:paraId="46A94859">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12</w:t>
                  </w:r>
                </w:p>
              </w:tc>
              <w:tc>
                <w:tcPr>
                  <w:tcW w:w="594" w:type="pct"/>
                  <w:vAlign w:val="center"/>
                </w:tcPr>
                <w:p w14:paraId="55FE01B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eastAsiaTheme="minorEastAsia"/>
                      <w:color w:val="auto"/>
                      <w:kern w:val="2"/>
                      <w:sz w:val="21"/>
                      <w:szCs w:val="21"/>
                    </w:rPr>
                    <w:t>24</w:t>
                  </w:r>
                </w:p>
              </w:tc>
              <w:tc>
                <w:tcPr>
                  <w:tcW w:w="1069" w:type="pct"/>
                  <w:vAlign w:val="center"/>
                </w:tcPr>
                <w:p w14:paraId="258CA4B0">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测试线</w:t>
                  </w:r>
                  <w:r>
                    <w:rPr>
                      <w:rFonts w:hint="default" w:ascii="Times New Roman" w:hAnsi="Times New Roman" w:eastAsia="Times New Roman"/>
                      <w:color w:val="auto"/>
                      <w:kern w:val="2"/>
                      <w:sz w:val="21"/>
                      <w:szCs w:val="21"/>
                    </w:rPr>
                    <w:t>-</w:t>
                  </w:r>
                  <w:r>
                    <w:rPr>
                      <w:rFonts w:hint="eastAsia"/>
                      <w:color w:val="auto"/>
                      <w:kern w:val="2"/>
                      <w:sz w:val="21"/>
                      <w:szCs w:val="21"/>
                    </w:rPr>
                    <w:t>气密性测试</w:t>
                  </w:r>
                </w:p>
              </w:tc>
              <w:tc>
                <w:tcPr>
                  <w:tcW w:w="807" w:type="pct"/>
                  <w:vAlign w:val="center"/>
                </w:tcPr>
                <w:p w14:paraId="25C8CC69">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rPr>
                    <w:t>新增</w:t>
                  </w:r>
                  <w:r>
                    <w:rPr>
                      <w:rFonts w:hint="default" w:ascii="Times New Roman" w:hAnsi="Times New Roman" w:cs="Times New Roman" w:eastAsiaTheme="minorEastAsia"/>
                      <w:color w:val="auto"/>
                      <w:kern w:val="2"/>
                      <w:sz w:val="21"/>
                      <w:szCs w:val="21"/>
                      <w:lang w:val="en-US" w:eastAsia="zh-CN"/>
                    </w:rPr>
                    <w:t>12台</w:t>
                  </w:r>
                </w:p>
              </w:tc>
            </w:tr>
            <w:tr w14:paraId="5B1A3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19AA2309">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9</w:t>
                  </w:r>
                </w:p>
              </w:tc>
              <w:tc>
                <w:tcPr>
                  <w:tcW w:w="1451" w:type="pct"/>
                  <w:noWrap/>
                  <w:vAlign w:val="center"/>
                </w:tcPr>
                <w:p w14:paraId="23EE2C35">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供胶系统</w:t>
                  </w:r>
                </w:p>
              </w:tc>
              <w:tc>
                <w:tcPr>
                  <w:tcW w:w="694" w:type="pct"/>
                  <w:noWrap/>
                  <w:vAlign w:val="center"/>
                </w:tcPr>
                <w:p w14:paraId="3755696A">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3</w:t>
                  </w:r>
                </w:p>
              </w:tc>
              <w:tc>
                <w:tcPr>
                  <w:tcW w:w="594" w:type="pct"/>
                  <w:vAlign w:val="center"/>
                </w:tcPr>
                <w:p w14:paraId="1DA50D3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eastAsiaTheme="minorEastAsia"/>
                      <w:color w:val="auto"/>
                      <w:kern w:val="2"/>
                      <w:sz w:val="21"/>
                      <w:szCs w:val="21"/>
                    </w:rPr>
                    <w:t>6</w:t>
                  </w:r>
                </w:p>
              </w:tc>
              <w:tc>
                <w:tcPr>
                  <w:tcW w:w="1069" w:type="pct"/>
                  <w:vAlign w:val="center"/>
                </w:tcPr>
                <w:p w14:paraId="6B3C8A68">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总装线</w:t>
                  </w:r>
                  <w:r>
                    <w:rPr>
                      <w:rFonts w:hint="default" w:ascii="Times New Roman" w:hAnsi="Times New Roman" w:eastAsia="Times New Roman"/>
                      <w:color w:val="auto"/>
                      <w:kern w:val="2"/>
                      <w:sz w:val="21"/>
                      <w:szCs w:val="21"/>
                    </w:rPr>
                    <w:t>-</w:t>
                  </w:r>
                  <w:r>
                    <w:rPr>
                      <w:rFonts w:hint="eastAsia"/>
                      <w:color w:val="auto"/>
                      <w:kern w:val="2"/>
                      <w:sz w:val="21"/>
                      <w:szCs w:val="21"/>
                    </w:rPr>
                    <w:t>涂胶</w:t>
                  </w:r>
                </w:p>
              </w:tc>
              <w:tc>
                <w:tcPr>
                  <w:tcW w:w="807" w:type="pct"/>
                  <w:vAlign w:val="center"/>
                </w:tcPr>
                <w:p w14:paraId="78AAEAFD">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rPr>
                    <w:t>新增</w:t>
                  </w:r>
                  <w:r>
                    <w:rPr>
                      <w:rFonts w:hint="default" w:ascii="Times New Roman" w:hAnsi="Times New Roman" w:cs="Times New Roman" w:eastAsiaTheme="minorEastAsia"/>
                      <w:color w:val="auto"/>
                      <w:kern w:val="2"/>
                      <w:sz w:val="21"/>
                      <w:szCs w:val="21"/>
                      <w:lang w:val="en-US" w:eastAsia="zh-CN"/>
                    </w:rPr>
                    <w:t>3台</w:t>
                  </w:r>
                </w:p>
              </w:tc>
            </w:tr>
            <w:tr w14:paraId="2E93B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3E1A4612">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10</w:t>
                  </w:r>
                </w:p>
              </w:tc>
              <w:tc>
                <w:tcPr>
                  <w:tcW w:w="1451" w:type="pct"/>
                  <w:noWrap/>
                  <w:vAlign w:val="center"/>
                </w:tcPr>
                <w:p w14:paraId="1EDA82D9">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kern w:val="2"/>
                      <w:sz w:val="21"/>
                      <w:szCs w:val="21"/>
                      <w:lang w:eastAsia="zh-CN"/>
                    </w:rPr>
                  </w:pPr>
                  <w:r>
                    <w:rPr>
                      <w:rFonts w:hint="eastAsia"/>
                      <w:color w:val="auto"/>
                      <w:kern w:val="2"/>
                      <w:sz w:val="21"/>
                      <w:szCs w:val="21"/>
                      <w:lang w:val="en-US" w:eastAsia="zh-CN"/>
                    </w:rPr>
                    <w:t>电</w:t>
                  </w:r>
                  <w:r>
                    <w:rPr>
                      <w:rFonts w:hint="eastAsia"/>
                      <w:color w:val="auto"/>
                      <w:kern w:val="2"/>
                      <w:sz w:val="21"/>
                      <w:szCs w:val="21"/>
                    </w:rPr>
                    <w:t>烘箱</w:t>
                  </w:r>
                </w:p>
              </w:tc>
              <w:tc>
                <w:tcPr>
                  <w:tcW w:w="694" w:type="pct"/>
                  <w:noWrap/>
                  <w:vAlign w:val="center"/>
                </w:tcPr>
                <w:p w14:paraId="0787E12B">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3</w:t>
                  </w:r>
                </w:p>
              </w:tc>
              <w:tc>
                <w:tcPr>
                  <w:tcW w:w="594" w:type="pct"/>
                  <w:vAlign w:val="center"/>
                </w:tcPr>
                <w:p w14:paraId="19DB920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eastAsiaTheme="minorEastAsia"/>
                      <w:color w:val="auto"/>
                      <w:kern w:val="2"/>
                      <w:sz w:val="21"/>
                      <w:szCs w:val="21"/>
                    </w:rPr>
                    <w:t>6</w:t>
                  </w:r>
                </w:p>
              </w:tc>
              <w:tc>
                <w:tcPr>
                  <w:tcW w:w="1069" w:type="pct"/>
                  <w:vAlign w:val="center"/>
                </w:tcPr>
                <w:p w14:paraId="3F322198">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总装线</w:t>
                  </w:r>
                  <w:r>
                    <w:rPr>
                      <w:rFonts w:hint="default" w:ascii="Times New Roman" w:hAnsi="Times New Roman" w:eastAsia="Times New Roman"/>
                      <w:color w:val="auto"/>
                      <w:kern w:val="2"/>
                      <w:sz w:val="21"/>
                      <w:szCs w:val="21"/>
                    </w:rPr>
                    <w:t>-</w:t>
                  </w:r>
                  <w:r>
                    <w:rPr>
                      <w:rFonts w:hint="eastAsia"/>
                      <w:color w:val="auto"/>
                      <w:kern w:val="2"/>
                      <w:sz w:val="21"/>
                      <w:szCs w:val="21"/>
                    </w:rPr>
                    <w:t>涂胶</w:t>
                  </w:r>
                </w:p>
              </w:tc>
              <w:tc>
                <w:tcPr>
                  <w:tcW w:w="807" w:type="pct"/>
                  <w:vAlign w:val="center"/>
                </w:tcPr>
                <w:p w14:paraId="3637B9D5">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rPr>
                    <w:t>新增</w:t>
                  </w:r>
                  <w:r>
                    <w:rPr>
                      <w:rFonts w:hint="default" w:ascii="Times New Roman" w:hAnsi="Times New Roman" w:cs="Times New Roman" w:eastAsiaTheme="minorEastAsia"/>
                      <w:color w:val="auto"/>
                      <w:kern w:val="2"/>
                      <w:sz w:val="21"/>
                      <w:szCs w:val="21"/>
                      <w:lang w:val="en-US" w:eastAsia="zh-CN"/>
                    </w:rPr>
                    <w:t>3台</w:t>
                  </w:r>
                </w:p>
              </w:tc>
            </w:tr>
            <w:tr w14:paraId="32BC08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6AA68B8F">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11</w:t>
                  </w:r>
                </w:p>
              </w:tc>
              <w:tc>
                <w:tcPr>
                  <w:tcW w:w="1451" w:type="pct"/>
                  <w:noWrap/>
                  <w:vAlign w:val="center"/>
                </w:tcPr>
                <w:p w14:paraId="33DA1D58">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动力辊道</w:t>
                  </w:r>
                </w:p>
              </w:tc>
              <w:tc>
                <w:tcPr>
                  <w:tcW w:w="694" w:type="pct"/>
                  <w:noWrap/>
                  <w:vAlign w:val="center"/>
                </w:tcPr>
                <w:p w14:paraId="04DA25E0">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550</w:t>
                  </w:r>
                  <w:r>
                    <w:rPr>
                      <w:rFonts w:hint="eastAsia"/>
                      <w:color w:val="auto"/>
                      <w:kern w:val="2"/>
                      <w:sz w:val="21"/>
                      <w:szCs w:val="21"/>
                    </w:rPr>
                    <w:t>米</w:t>
                  </w:r>
                </w:p>
              </w:tc>
              <w:tc>
                <w:tcPr>
                  <w:tcW w:w="594" w:type="pct"/>
                  <w:vAlign w:val="center"/>
                </w:tcPr>
                <w:p w14:paraId="09CA68F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eastAsiaTheme="minorEastAsia"/>
                      <w:color w:val="auto"/>
                      <w:kern w:val="2"/>
                      <w:sz w:val="21"/>
                      <w:szCs w:val="21"/>
                    </w:rPr>
                    <w:t>1100米</w:t>
                  </w:r>
                </w:p>
              </w:tc>
              <w:tc>
                <w:tcPr>
                  <w:tcW w:w="1069" w:type="pct"/>
                  <w:vAlign w:val="center"/>
                </w:tcPr>
                <w:p w14:paraId="51589109">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总装线、测试线转线</w:t>
                  </w:r>
                </w:p>
              </w:tc>
              <w:tc>
                <w:tcPr>
                  <w:tcW w:w="807" w:type="pct"/>
                  <w:vAlign w:val="center"/>
                </w:tcPr>
                <w:p w14:paraId="793CF1BA">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rPr>
                    <w:t>新增</w:t>
                  </w:r>
                  <w:r>
                    <w:rPr>
                      <w:rFonts w:hint="default" w:ascii="Times New Roman" w:hAnsi="Times New Roman" w:cs="Times New Roman" w:eastAsiaTheme="minorEastAsia"/>
                      <w:color w:val="auto"/>
                      <w:kern w:val="2"/>
                      <w:sz w:val="21"/>
                      <w:szCs w:val="21"/>
                      <w:lang w:val="en-US" w:eastAsia="zh-CN"/>
                    </w:rPr>
                    <w:t>550米</w:t>
                  </w:r>
                </w:p>
              </w:tc>
            </w:tr>
            <w:tr w14:paraId="1923F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0705D69D">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12</w:t>
                  </w:r>
                </w:p>
              </w:tc>
              <w:tc>
                <w:tcPr>
                  <w:tcW w:w="1451" w:type="pct"/>
                  <w:noWrap/>
                  <w:vAlign w:val="center"/>
                </w:tcPr>
                <w:p w14:paraId="18841F3E">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测量机</w:t>
                  </w:r>
                </w:p>
              </w:tc>
              <w:tc>
                <w:tcPr>
                  <w:tcW w:w="694" w:type="pct"/>
                  <w:noWrap/>
                  <w:vAlign w:val="center"/>
                </w:tcPr>
                <w:p w14:paraId="4DF31B73">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15</w:t>
                  </w:r>
                </w:p>
              </w:tc>
              <w:tc>
                <w:tcPr>
                  <w:tcW w:w="594" w:type="pct"/>
                  <w:vAlign w:val="center"/>
                </w:tcPr>
                <w:p w14:paraId="497CFB3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eastAsiaTheme="minorEastAsia"/>
                      <w:color w:val="auto"/>
                      <w:kern w:val="2"/>
                      <w:sz w:val="21"/>
                      <w:szCs w:val="21"/>
                    </w:rPr>
                    <w:t>21</w:t>
                  </w:r>
                </w:p>
              </w:tc>
              <w:tc>
                <w:tcPr>
                  <w:tcW w:w="1069" w:type="pct"/>
                  <w:vAlign w:val="center"/>
                </w:tcPr>
                <w:p w14:paraId="5AA2B69E">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总装线</w:t>
                  </w:r>
                </w:p>
              </w:tc>
              <w:tc>
                <w:tcPr>
                  <w:tcW w:w="807" w:type="pct"/>
                  <w:vAlign w:val="center"/>
                </w:tcPr>
                <w:p w14:paraId="7E4E0CF5">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rPr>
                    <w:t>新增</w:t>
                  </w:r>
                  <w:r>
                    <w:rPr>
                      <w:rFonts w:hint="default" w:ascii="Times New Roman" w:hAnsi="Times New Roman" w:cs="Times New Roman" w:eastAsiaTheme="minorEastAsia"/>
                      <w:color w:val="auto"/>
                      <w:kern w:val="2"/>
                      <w:sz w:val="21"/>
                      <w:szCs w:val="21"/>
                      <w:lang w:val="en-US" w:eastAsia="zh-CN"/>
                    </w:rPr>
                    <w:t>6台</w:t>
                  </w:r>
                </w:p>
              </w:tc>
            </w:tr>
            <w:tr w14:paraId="49C082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6878DBBE">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13</w:t>
                  </w:r>
                </w:p>
              </w:tc>
              <w:tc>
                <w:tcPr>
                  <w:tcW w:w="1451" w:type="pct"/>
                  <w:noWrap/>
                  <w:vAlign w:val="center"/>
                </w:tcPr>
                <w:p w14:paraId="4A7E703F">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安规设备</w:t>
                  </w:r>
                </w:p>
              </w:tc>
              <w:tc>
                <w:tcPr>
                  <w:tcW w:w="694" w:type="pct"/>
                  <w:noWrap/>
                  <w:vAlign w:val="center"/>
                </w:tcPr>
                <w:p w14:paraId="3517AD7E">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2</w:t>
                  </w:r>
                </w:p>
              </w:tc>
              <w:tc>
                <w:tcPr>
                  <w:tcW w:w="594" w:type="pct"/>
                  <w:vAlign w:val="center"/>
                </w:tcPr>
                <w:p w14:paraId="5C40CBD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eastAsiaTheme="minorEastAsia"/>
                      <w:color w:val="auto"/>
                      <w:kern w:val="2"/>
                      <w:sz w:val="21"/>
                      <w:szCs w:val="21"/>
                    </w:rPr>
                    <w:t>4</w:t>
                  </w:r>
                </w:p>
              </w:tc>
              <w:tc>
                <w:tcPr>
                  <w:tcW w:w="1069" w:type="pct"/>
                  <w:vAlign w:val="center"/>
                </w:tcPr>
                <w:p w14:paraId="7CA66C39">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总装线</w:t>
                  </w:r>
                </w:p>
              </w:tc>
              <w:tc>
                <w:tcPr>
                  <w:tcW w:w="807" w:type="pct"/>
                  <w:vAlign w:val="center"/>
                </w:tcPr>
                <w:p w14:paraId="61DEF679">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rPr>
                    <w:t>新增</w:t>
                  </w:r>
                  <w:r>
                    <w:rPr>
                      <w:rFonts w:hint="default" w:ascii="Times New Roman" w:hAnsi="Times New Roman" w:cs="Times New Roman" w:eastAsiaTheme="minorEastAsia"/>
                      <w:color w:val="auto"/>
                      <w:kern w:val="2"/>
                      <w:sz w:val="21"/>
                      <w:szCs w:val="21"/>
                      <w:lang w:val="en-US" w:eastAsia="zh-CN"/>
                    </w:rPr>
                    <w:t>2台</w:t>
                  </w:r>
                </w:p>
              </w:tc>
            </w:tr>
            <w:tr w14:paraId="18A3AB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0E3046B1">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14</w:t>
                  </w:r>
                </w:p>
              </w:tc>
              <w:tc>
                <w:tcPr>
                  <w:tcW w:w="1451" w:type="pct"/>
                  <w:noWrap/>
                  <w:vAlign w:val="center"/>
                </w:tcPr>
                <w:p w14:paraId="3A573376">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打标机</w:t>
                  </w:r>
                </w:p>
              </w:tc>
              <w:tc>
                <w:tcPr>
                  <w:tcW w:w="694" w:type="pct"/>
                  <w:noWrap/>
                  <w:vAlign w:val="center"/>
                </w:tcPr>
                <w:p w14:paraId="2CF78E7D">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w:t>
                  </w:r>
                </w:p>
              </w:tc>
              <w:tc>
                <w:tcPr>
                  <w:tcW w:w="594" w:type="pct"/>
                  <w:vAlign w:val="center"/>
                </w:tcPr>
                <w:p w14:paraId="221C369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eastAsiaTheme="minorEastAsia"/>
                      <w:color w:val="auto"/>
                      <w:kern w:val="2"/>
                      <w:sz w:val="21"/>
                      <w:szCs w:val="21"/>
                    </w:rPr>
                    <w:t>2</w:t>
                  </w:r>
                </w:p>
              </w:tc>
              <w:tc>
                <w:tcPr>
                  <w:tcW w:w="1069" w:type="pct"/>
                  <w:vAlign w:val="center"/>
                </w:tcPr>
                <w:p w14:paraId="3CC1A24A">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测试线</w:t>
                  </w:r>
                </w:p>
              </w:tc>
              <w:tc>
                <w:tcPr>
                  <w:tcW w:w="807" w:type="pct"/>
                  <w:vAlign w:val="center"/>
                </w:tcPr>
                <w:p w14:paraId="2F97967E">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rPr>
                    <w:t>新增</w:t>
                  </w:r>
                  <w:r>
                    <w:rPr>
                      <w:rFonts w:hint="default" w:ascii="Times New Roman" w:hAnsi="Times New Roman" w:cs="Times New Roman" w:eastAsiaTheme="minorEastAsia"/>
                      <w:color w:val="auto"/>
                      <w:kern w:val="2"/>
                      <w:sz w:val="21"/>
                      <w:szCs w:val="21"/>
                      <w:lang w:val="en-US" w:eastAsia="zh-CN"/>
                    </w:rPr>
                    <w:t>1台</w:t>
                  </w:r>
                </w:p>
              </w:tc>
            </w:tr>
            <w:tr w14:paraId="2C880B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5D947704">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15</w:t>
                  </w:r>
                </w:p>
              </w:tc>
              <w:tc>
                <w:tcPr>
                  <w:tcW w:w="1451" w:type="pct"/>
                  <w:noWrap/>
                  <w:vAlign w:val="center"/>
                </w:tcPr>
                <w:p w14:paraId="63C9179C">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称重系统</w:t>
                  </w:r>
                </w:p>
              </w:tc>
              <w:tc>
                <w:tcPr>
                  <w:tcW w:w="694" w:type="pct"/>
                  <w:noWrap/>
                  <w:vAlign w:val="center"/>
                </w:tcPr>
                <w:p w14:paraId="3877E8F8">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4</w:t>
                  </w:r>
                </w:p>
              </w:tc>
              <w:tc>
                <w:tcPr>
                  <w:tcW w:w="594" w:type="pct"/>
                  <w:vAlign w:val="center"/>
                </w:tcPr>
                <w:p w14:paraId="711820A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eastAsiaTheme="minorEastAsia"/>
                      <w:color w:val="auto"/>
                      <w:kern w:val="2"/>
                      <w:sz w:val="21"/>
                      <w:szCs w:val="21"/>
                    </w:rPr>
                    <w:t>8</w:t>
                  </w:r>
                </w:p>
              </w:tc>
              <w:tc>
                <w:tcPr>
                  <w:tcW w:w="1069" w:type="pct"/>
                  <w:vAlign w:val="center"/>
                </w:tcPr>
                <w:p w14:paraId="1FF22F1B">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测试线</w:t>
                  </w:r>
                  <w:r>
                    <w:rPr>
                      <w:rFonts w:hint="default" w:ascii="Times New Roman" w:hAnsi="Times New Roman" w:eastAsia="Times New Roman"/>
                      <w:color w:val="auto"/>
                      <w:kern w:val="2"/>
                      <w:sz w:val="21"/>
                      <w:szCs w:val="21"/>
                    </w:rPr>
                    <w:t>-</w:t>
                  </w:r>
                  <w:r>
                    <w:rPr>
                      <w:rFonts w:hint="eastAsia"/>
                      <w:color w:val="auto"/>
                      <w:kern w:val="2"/>
                      <w:sz w:val="21"/>
                      <w:szCs w:val="21"/>
                    </w:rPr>
                    <w:t>总成称重</w:t>
                  </w:r>
                </w:p>
              </w:tc>
              <w:tc>
                <w:tcPr>
                  <w:tcW w:w="807" w:type="pct"/>
                  <w:vAlign w:val="center"/>
                </w:tcPr>
                <w:p w14:paraId="1F8BBC69">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rPr>
                    <w:t>新增</w:t>
                  </w:r>
                  <w:r>
                    <w:rPr>
                      <w:rFonts w:hint="default" w:ascii="Times New Roman" w:hAnsi="Times New Roman" w:cs="Times New Roman" w:eastAsiaTheme="minorEastAsia"/>
                      <w:color w:val="auto"/>
                      <w:kern w:val="2"/>
                      <w:sz w:val="21"/>
                      <w:szCs w:val="21"/>
                      <w:lang w:val="en-US" w:eastAsia="zh-CN"/>
                    </w:rPr>
                    <w:t>4台</w:t>
                  </w:r>
                </w:p>
              </w:tc>
            </w:tr>
            <w:tr w14:paraId="19B47F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4150D509">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16</w:t>
                  </w:r>
                </w:p>
              </w:tc>
              <w:tc>
                <w:tcPr>
                  <w:tcW w:w="1451" w:type="pct"/>
                  <w:noWrap/>
                  <w:vAlign w:val="center"/>
                </w:tcPr>
                <w:p w14:paraId="07EEB1B6">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EOL</w:t>
                  </w:r>
                </w:p>
              </w:tc>
              <w:tc>
                <w:tcPr>
                  <w:tcW w:w="694" w:type="pct"/>
                  <w:noWrap/>
                  <w:vAlign w:val="center"/>
                </w:tcPr>
                <w:p w14:paraId="25593B92">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12</w:t>
                  </w:r>
                </w:p>
              </w:tc>
              <w:tc>
                <w:tcPr>
                  <w:tcW w:w="594" w:type="pct"/>
                  <w:vAlign w:val="center"/>
                </w:tcPr>
                <w:p w14:paraId="5DAFE1F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eastAsiaTheme="minorEastAsia"/>
                      <w:color w:val="auto"/>
                      <w:kern w:val="2"/>
                      <w:sz w:val="21"/>
                      <w:szCs w:val="21"/>
                    </w:rPr>
                    <w:t>16</w:t>
                  </w:r>
                </w:p>
              </w:tc>
              <w:tc>
                <w:tcPr>
                  <w:tcW w:w="1069" w:type="pct"/>
                  <w:vAlign w:val="center"/>
                </w:tcPr>
                <w:p w14:paraId="451CB170">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测试线</w:t>
                  </w:r>
                </w:p>
              </w:tc>
              <w:tc>
                <w:tcPr>
                  <w:tcW w:w="807" w:type="pct"/>
                  <w:vAlign w:val="center"/>
                </w:tcPr>
                <w:p w14:paraId="7BF5FAE6">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rPr>
                    <w:t>新增</w:t>
                  </w:r>
                  <w:r>
                    <w:rPr>
                      <w:rFonts w:hint="default" w:ascii="Times New Roman" w:hAnsi="Times New Roman" w:cs="Times New Roman" w:eastAsiaTheme="minorEastAsia"/>
                      <w:color w:val="auto"/>
                      <w:kern w:val="2"/>
                      <w:sz w:val="21"/>
                      <w:szCs w:val="21"/>
                      <w:lang w:val="en-US" w:eastAsia="zh-CN"/>
                    </w:rPr>
                    <w:t>4台</w:t>
                  </w:r>
                </w:p>
              </w:tc>
            </w:tr>
            <w:tr w14:paraId="3BC3E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24008522">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17</w:t>
                  </w:r>
                </w:p>
              </w:tc>
              <w:tc>
                <w:tcPr>
                  <w:tcW w:w="1451" w:type="pct"/>
                  <w:noWrap/>
                  <w:vAlign w:val="center"/>
                </w:tcPr>
                <w:p w14:paraId="1D258EBE">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终测试台</w:t>
                  </w:r>
                </w:p>
              </w:tc>
              <w:tc>
                <w:tcPr>
                  <w:tcW w:w="694" w:type="pct"/>
                  <w:noWrap/>
                  <w:vAlign w:val="center"/>
                </w:tcPr>
                <w:p w14:paraId="3CC6D01A">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6</w:t>
                  </w:r>
                </w:p>
              </w:tc>
              <w:tc>
                <w:tcPr>
                  <w:tcW w:w="594" w:type="pct"/>
                  <w:vAlign w:val="center"/>
                </w:tcPr>
                <w:p w14:paraId="2B33875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eastAsiaTheme="minorEastAsia"/>
                      <w:color w:val="auto"/>
                      <w:kern w:val="2"/>
                      <w:sz w:val="21"/>
                      <w:szCs w:val="21"/>
                    </w:rPr>
                    <w:t>10</w:t>
                  </w:r>
                </w:p>
              </w:tc>
              <w:tc>
                <w:tcPr>
                  <w:tcW w:w="1069" w:type="pct"/>
                  <w:vAlign w:val="center"/>
                </w:tcPr>
                <w:p w14:paraId="52AEBA2E">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测试线</w:t>
                  </w:r>
                </w:p>
              </w:tc>
              <w:tc>
                <w:tcPr>
                  <w:tcW w:w="807" w:type="pct"/>
                  <w:vAlign w:val="center"/>
                </w:tcPr>
                <w:p w14:paraId="5EE800D9">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lang w:val="en-US" w:eastAsia="zh-CN"/>
                    </w:rPr>
                  </w:pPr>
                  <w:r>
                    <w:rPr>
                      <w:rFonts w:hint="default" w:ascii="Times New Roman" w:hAnsi="Times New Roman" w:cs="Times New Roman" w:eastAsiaTheme="minorEastAsia"/>
                      <w:color w:val="auto"/>
                      <w:kern w:val="2"/>
                      <w:sz w:val="21"/>
                      <w:szCs w:val="21"/>
                    </w:rPr>
                    <w:t>新增</w:t>
                  </w:r>
                  <w:r>
                    <w:rPr>
                      <w:rFonts w:hint="default" w:ascii="Times New Roman" w:hAnsi="Times New Roman" w:cs="Times New Roman" w:eastAsiaTheme="minorEastAsia"/>
                      <w:color w:val="auto"/>
                      <w:kern w:val="2"/>
                      <w:sz w:val="21"/>
                      <w:szCs w:val="21"/>
                      <w:lang w:val="en-US" w:eastAsia="zh-CN"/>
                    </w:rPr>
                    <w:t>4台</w:t>
                  </w:r>
                </w:p>
              </w:tc>
            </w:tr>
            <w:tr w14:paraId="6D18D8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0D4B9C5E">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18</w:t>
                  </w:r>
                </w:p>
              </w:tc>
              <w:tc>
                <w:tcPr>
                  <w:tcW w:w="1451" w:type="pct"/>
                  <w:noWrap/>
                  <w:vAlign w:val="center"/>
                </w:tcPr>
                <w:p w14:paraId="4B193764">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齿轮机</w:t>
                  </w:r>
                </w:p>
              </w:tc>
              <w:tc>
                <w:tcPr>
                  <w:tcW w:w="694" w:type="pct"/>
                  <w:noWrap/>
                  <w:vAlign w:val="center"/>
                </w:tcPr>
                <w:p w14:paraId="2DC428A8">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w:t>
                  </w:r>
                </w:p>
              </w:tc>
              <w:tc>
                <w:tcPr>
                  <w:tcW w:w="594" w:type="pct"/>
                  <w:vAlign w:val="center"/>
                </w:tcPr>
                <w:p w14:paraId="27D1BCB4">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1069" w:type="pct"/>
                  <w:vAlign w:val="center"/>
                </w:tcPr>
                <w:p w14:paraId="42F5DC2C">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测试线</w:t>
                  </w:r>
                  <w:r>
                    <w:rPr>
                      <w:rFonts w:hint="default" w:ascii="Times New Roman" w:hAnsi="Times New Roman" w:eastAsia="Times New Roman"/>
                      <w:color w:val="auto"/>
                      <w:kern w:val="2"/>
                      <w:sz w:val="21"/>
                      <w:szCs w:val="21"/>
                    </w:rPr>
                    <w:t>-</w:t>
                  </w:r>
                  <w:r>
                    <w:rPr>
                      <w:rFonts w:hint="eastAsia"/>
                      <w:color w:val="auto"/>
                      <w:kern w:val="2"/>
                      <w:sz w:val="21"/>
                      <w:szCs w:val="21"/>
                    </w:rPr>
                    <w:t>检测设备</w:t>
                  </w:r>
                </w:p>
              </w:tc>
              <w:tc>
                <w:tcPr>
                  <w:tcW w:w="807" w:type="pct"/>
                  <w:vAlign w:val="center"/>
                </w:tcPr>
                <w:p w14:paraId="16B9EC4C">
                  <w:pPr>
                    <w:keepNext w:val="0"/>
                    <w:keepLines w:val="0"/>
                    <w:widowControl/>
                    <w:suppressLineNumbers w:val="0"/>
                    <w:spacing w:before="0" w:beforeAutospacing="0" w:after="0" w:afterAutospacing="0"/>
                    <w:ind w:left="0" w:right="0"/>
                    <w:jc w:val="center"/>
                    <w:rPr>
                      <w:rFonts w:hint="default" w:eastAsia="Times New Roman"/>
                      <w:color w:val="auto"/>
                      <w:kern w:val="2"/>
                      <w:sz w:val="21"/>
                      <w:szCs w:val="21"/>
                      <w:highlight w:val="yellow"/>
                    </w:rPr>
                  </w:pPr>
                  <w:r>
                    <w:rPr>
                      <w:rFonts w:hint="default" w:ascii="Times New Roman" w:hAnsi="Times New Roman" w:eastAsia="Times New Roman" w:cs="Times New Roman"/>
                      <w:color w:val="auto"/>
                      <w:kern w:val="2"/>
                      <w:sz w:val="21"/>
                      <w:szCs w:val="21"/>
                    </w:rPr>
                    <w:t>不变</w:t>
                  </w:r>
                </w:p>
              </w:tc>
            </w:tr>
            <w:tr w14:paraId="73EB83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5DE9D427">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19</w:t>
                  </w:r>
                </w:p>
              </w:tc>
              <w:tc>
                <w:tcPr>
                  <w:tcW w:w="1451" w:type="pct"/>
                  <w:noWrap/>
                  <w:vAlign w:val="center"/>
                </w:tcPr>
                <w:p w14:paraId="6FE05349">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三坐标</w:t>
                  </w:r>
                </w:p>
              </w:tc>
              <w:tc>
                <w:tcPr>
                  <w:tcW w:w="694" w:type="pct"/>
                  <w:noWrap/>
                  <w:vAlign w:val="center"/>
                </w:tcPr>
                <w:p w14:paraId="22F45FDB">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2</w:t>
                  </w:r>
                </w:p>
              </w:tc>
              <w:tc>
                <w:tcPr>
                  <w:tcW w:w="594" w:type="pct"/>
                  <w:vAlign w:val="center"/>
                </w:tcPr>
                <w:p w14:paraId="680BA035">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2</w:t>
                  </w:r>
                </w:p>
              </w:tc>
              <w:tc>
                <w:tcPr>
                  <w:tcW w:w="1069" w:type="pct"/>
                  <w:vAlign w:val="center"/>
                </w:tcPr>
                <w:p w14:paraId="0E119E18">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测试线</w:t>
                  </w:r>
                  <w:r>
                    <w:rPr>
                      <w:rFonts w:hint="default" w:ascii="Times New Roman" w:hAnsi="Times New Roman" w:eastAsia="Times New Roman"/>
                      <w:color w:val="auto"/>
                      <w:kern w:val="2"/>
                      <w:sz w:val="21"/>
                      <w:szCs w:val="21"/>
                    </w:rPr>
                    <w:t>-</w:t>
                  </w:r>
                  <w:r>
                    <w:rPr>
                      <w:rFonts w:hint="eastAsia"/>
                      <w:color w:val="auto"/>
                      <w:kern w:val="2"/>
                      <w:sz w:val="21"/>
                      <w:szCs w:val="21"/>
                    </w:rPr>
                    <w:t>检测设备</w:t>
                  </w:r>
                </w:p>
              </w:tc>
              <w:tc>
                <w:tcPr>
                  <w:tcW w:w="807" w:type="pct"/>
                  <w:vAlign w:val="center"/>
                </w:tcPr>
                <w:p w14:paraId="7F95FF56">
                  <w:pPr>
                    <w:keepNext w:val="0"/>
                    <w:keepLines w:val="0"/>
                    <w:widowControl/>
                    <w:suppressLineNumbers w:val="0"/>
                    <w:spacing w:before="0" w:beforeAutospacing="0" w:after="0" w:afterAutospacing="0"/>
                    <w:ind w:left="0" w:right="0"/>
                    <w:jc w:val="center"/>
                    <w:rPr>
                      <w:rFonts w:hint="default" w:eastAsia="Times New Roman"/>
                      <w:color w:val="auto"/>
                      <w:kern w:val="2"/>
                      <w:sz w:val="21"/>
                      <w:szCs w:val="21"/>
                      <w:highlight w:val="yellow"/>
                    </w:rPr>
                  </w:pPr>
                  <w:r>
                    <w:rPr>
                      <w:rFonts w:hint="default" w:ascii="Times New Roman" w:hAnsi="Times New Roman" w:eastAsia="Times New Roman" w:cs="Times New Roman"/>
                      <w:color w:val="auto"/>
                      <w:kern w:val="2"/>
                      <w:sz w:val="21"/>
                      <w:szCs w:val="21"/>
                    </w:rPr>
                    <w:t>不变</w:t>
                  </w:r>
                </w:p>
              </w:tc>
            </w:tr>
            <w:tr w14:paraId="35BEF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60E61703">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20</w:t>
                  </w:r>
                </w:p>
              </w:tc>
              <w:tc>
                <w:tcPr>
                  <w:tcW w:w="1451" w:type="pct"/>
                  <w:noWrap/>
                  <w:vAlign w:val="center"/>
                </w:tcPr>
                <w:p w14:paraId="0E993CDC">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轮廓仪和粗糙度仪</w:t>
                  </w:r>
                </w:p>
              </w:tc>
              <w:tc>
                <w:tcPr>
                  <w:tcW w:w="694" w:type="pct"/>
                  <w:noWrap/>
                  <w:vAlign w:val="center"/>
                </w:tcPr>
                <w:p w14:paraId="32B85DC8">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w:t>
                  </w:r>
                </w:p>
              </w:tc>
              <w:tc>
                <w:tcPr>
                  <w:tcW w:w="594" w:type="pct"/>
                  <w:vAlign w:val="center"/>
                </w:tcPr>
                <w:p w14:paraId="476A53E4">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1069" w:type="pct"/>
                  <w:vAlign w:val="center"/>
                </w:tcPr>
                <w:p w14:paraId="3A24B2EE">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测试线</w:t>
                  </w:r>
                  <w:r>
                    <w:rPr>
                      <w:rFonts w:hint="default" w:ascii="Times New Roman" w:hAnsi="Times New Roman" w:eastAsia="Times New Roman"/>
                      <w:color w:val="auto"/>
                      <w:kern w:val="2"/>
                      <w:sz w:val="21"/>
                      <w:szCs w:val="21"/>
                    </w:rPr>
                    <w:t>-</w:t>
                  </w:r>
                  <w:r>
                    <w:rPr>
                      <w:rFonts w:hint="eastAsia"/>
                      <w:color w:val="auto"/>
                      <w:kern w:val="2"/>
                      <w:sz w:val="21"/>
                      <w:szCs w:val="21"/>
                    </w:rPr>
                    <w:t>检测设备</w:t>
                  </w:r>
                </w:p>
              </w:tc>
              <w:tc>
                <w:tcPr>
                  <w:tcW w:w="807" w:type="pct"/>
                  <w:vAlign w:val="center"/>
                </w:tcPr>
                <w:p w14:paraId="18F35E2E">
                  <w:pPr>
                    <w:keepNext w:val="0"/>
                    <w:keepLines w:val="0"/>
                    <w:widowControl/>
                    <w:suppressLineNumbers w:val="0"/>
                    <w:spacing w:before="0" w:beforeAutospacing="0" w:after="0" w:afterAutospacing="0"/>
                    <w:ind w:left="0" w:right="0"/>
                    <w:jc w:val="center"/>
                    <w:rPr>
                      <w:rFonts w:hint="default" w:eastAsia="Times New Roman"/>
                      <w:color w:val="auto"/>
                      <w:kern w:val="2"/>
                      <w:sz w:val="21"/>
                      <w:szCs w:val="21"/>
                      <w:highlight w:val="yellow"/>
                    </w:rPr>
                  </w:pPr>
                  <w:r>
                    <w:rPr>
                      <w:rFonts w:hint="default" w:ascii="Times New Roman" w:hAnsi="Times New Roman" w:eastAsia="Times New Roman" w:cs="Times New Roman"/>
                      <w:color w:val="auto"/>
                      <w:kern w:val="2"/>
                      <w:sz w:val="21"/>
                      <w:szCs w:val="21"/>
                    </w:rPr>
                    <w:t>不变</w:t>
                  </w:r>
                </w:p>
              </w:tc>
            </w:tr>
            <w:tr w14:paraId="30FE01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541EE08C">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21</w:t>
                  </w:r>
                </w:p>
              </w:tc>
              <w:tc>
                <w:tcPr>
                  <w:tcW w:w="1451" w:type="pct"/>
                  <w:noWrap/>
                  <w:vAlign w:val="center"/>
                </w:tcPr>
                <w:p w14:paraId="5F99B0BA">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圆度仪</w:t>
                  </w:r>
                </w:p>
              </w:tc>
              <w:tc>
                <w:tcPr>
                  <w:tcW w:w="694" w:type="pct"/>
                  <w:noWrap/>
                  <w:vAlign w:val="center"/>
                </w:tcPr>
                <w:p w14:paraId="79F60C67">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w:t>
                  </w:r>
                </w:p>
              </w:tc>
              <w:tc>
                <w:tcPr>
                  <w:tcW w:w="594" w:type="pct"/>
                  <w:vAlign w:val="center"/>
                </w:tcPr>
                <w:p w14:paraId="7DFD0EDC">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1069" w:type="pct"/>
                  <w:noWrap/>
                  <w:vAlign w:val="center"/>
                </w:tcPr>
                <w:p w14:paraId="4AE1BA03">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测试线</w:t>
                  </w:r>
                  <w:r>
                    <w:rPr>
                      <w:rFonts w:hint="default" w:ascii="Times New Roman" w:hAnsi="Times New Roman" w:eastAsia="Times New Roman"/>
                      <w:color w:val="auto"/>
                      <w:kern w:val="2"/>
                      <w:sz w:val="21"/>
                      <w:szCs w:val="21"/>
                    </w:rPr>
                    <w:t>-</w:t>
                  </w:r>
                  <w:r>
                    <w:rPr>
                      <w:rFonts w:hint="eastAsia"/>
                      <w:color w:val="auto"/>
                      <w:kern w:val="2"/>
                      <w:sz w:val="21"/>
                      <w:szCs w:val="21"/>
                    </w:rPr>
                    <w:t>检测设备</w:t>
                  </w:r>
                </w:p>
              </w:tc>
              <w:tc>
                <w:tcPr>
                  <w:tcW w:w="807" w:type="pct"/>
                  <w:vAlign w:val="center"/>
                </w:tcPr>
                <w:p w14:paraId="4B8C74B6">
                  <w:pPr>
                    <w:keepNext w:val="0"/>
                    <w:keepLines w:val="0"/>
                    <w:widowControl/>
                    <w:suppressLineNumbers w:val="0"/>
                    <w:spacing w:before="0" w:beforeAutospacing="0" w:after="0" w:afterAutospacing="0"/>
                    <w:ind w:left="0" w:right="0"/>
                    <w:jc w:val="center"/>
                    <w:rPr>
                      <w:rFonts w:hint="default" w:eastAsia="Times New Roman"/>
                      <w:color w:val="auto"/>
                      <w:kern w:val="2"/>
                      <w:sz w:val="21"/>
                      <w:szCs w:val="21"/>
                      <w:highlight w:val="yellow"/>
                    </w:rPr>
                  </w:pPr>
                  <w:r>
                    <w:rPr>
                      <w:rFonts w:hint="default" w:ascii="Times New Roman" w:hAnsi="Times New Roman" w:eastAsia="Times New Roman" w:cs="Times New Roman"/>
                      <w:color w:val="auto"/>
                      <w:kern w:val="2"/>
                      <w:sz w:val="21"/>
                      <w:szCs w:val="21"/>
                    </w:rPr>
                    <w:t>不变</w:t>
                  </w:r>
                </w:p>
              </w:tc>
            </w:tr>
            <w:tr w14:paraId="2A20A7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5EAB43C9">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22</w:t>
                  </w:r>
                </w:p>
              </w:tc>
              <w:tc>
                <w:tcPr>
                  <w:tcW w:w="1451" w:type="pct"/>
                  <w:noWrap/>
                  <w:vAlign w:val="center"/>
                </w:tcPr>
                <w:p w14:paraId="4DBC7C89">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投影仪</w:t>
                  </w:r>
                </w:p>
              </w:tc>
              <w:tc>
                <w:tcPr>
                  <w:tcW w:w="694" w:type="pct"/>
                  <w:noWrap/>
                  <w:vAlign w:val="center"/>
                </w:tcPr>
                <w:p w14:paraId="757FCCED">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w:t>
                  </w:r>
                </w:p>
              </w:tc>
              <w:tc>
                <w:tcPr>
                  <w:tcW w:w="594" w:type="pct"/>
                  <w:vAlign w:val="center"/>
                </w:tcPr>
                <w:p w14:paraId="6990E44E">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1069" w:type="pct"/>
                  <w:vAlign w:val="center"/>
                </w:tcPr>
                <w:p w14:paraId="3D81FBAE">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测试线</w:t>
                  </w:r>
                  <w:r>
                    <w:rPr>
                      <w:rFonts w:hint="default" w:ascii="Times New Roman" w:hAnsi="Times New Roman" w:eastAsia="Times New Roman"/>
                      <w:color w:val="auto"/>
                      <w:kern w:val="2"/>
                      <w:sz w:val="21"/>
                      <w:szCs w:val="21"/>
                    </w:rPr>
                    <w:t>-</w:t>
                  </w:r>
                  <w:r>
                    <w:rPr>
                      <w:rFonts w:hint="eastAsia"/>
                      <w:color w:val="auto"/>
                      <w:kern w:val="2"/>
                      <w:sz w:val="21"/>
                      <w:szCs w:val="21"/>
                    </w:rPr>
                    <w:t>检测设备</w:t>
                  </w:r>
                </w:p>
              </w:tc>
              <w:tc>
                <w:tcPr>
                  <w:tcW w:w="807" w:type="pct"/>
                  <w:vAlign w:val="center"/>
                </w:tcPr>
                <w:p w14:paraId="5E8DDE61">
                  <w:pPr>
                    <w:keepNext w:val="0"/>
                    <w:keepLines w:val="0"/>
                    <w:widowControl/>
                    <w:suppressLineNumbers w:val="0"/>
                    <w:spacing w:before="0" w:beforeAutospacing="0" w:after="0" w:afterAutospacing="0"/>
                    <w:ind w:left="0" w:right="0"/>
                    <w:jc w:val="center"/>
                    <w:rPr>
                      <w:rFonts w:hint="default" w:eastAsia="Times New Roman"/>
                      <w:color w:val="auto"/>
                      <w:kern w:val="2"/>
                      <w:sz w:val="21"/>
                      <w:szCs w:val="21"/>
                      <w:highlight w:val="yellow"/>
                    </w:rPr>
                  </w:pPr>
                  <w:r>
                    <w:rPr>
                      <w:rFonts w:hint="default" w:ascii="Times New Roman" w:hAnsi="Times New Roman" w:eastAsia="Times New Roman" w:cs="Times New Roman"/>
                      <w:color w:val="auto"/>
                      <w:kern w:val="2"/>
                      <w:sz w:val="21"/>
                      <w:szCs w:val="21"/>
                    </w:rPr>
                    <w:t>不变</w:t>
                  </w:r>
                </w:p>
              </w:tc>
            </w:tr>
            <w:tr w14:paraId="4761F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5A0CC22B">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23</w:t>
                  </w:r>
                </w:p>
              </w:tc>
              <w:tc>
                <w:tcPr>
                  <w:tcW w:w="1451" w:type="pct"/>
                  <w:noWrap/>
                  <w:vAlign w:val="center"/>
                </w:tcPr>
                <w:p w14:paraId="7FC337F7">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清洁度试验机</w:t>
                  </w:r>
                </w:p>
              </w:tc>
              <w:tc>
                <w:tcPr>
                  <w:tcW w:w="694" w:type="pct"/>
                  <w:noWrap/>
                  <w:vAlign w:val="center"/>
                </w:tcPr>
                <w:p w14:paraId="1E7B36C3">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w:t>
                  </w:r>
                </w:p>
              </w:tc>
              <w:tc>
                <w:tcPr>
                  <w:tcW w:w="594" w:type="pct"/>
                  <w:vAlign w:val="center"/>
                </w:tcPr>
                <w:p w14:paraId="75EA8DB4">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1069" w:type="pct"/>
                  <w:vAlign w:val="center"/>
                </w:tcPr>
                <w:p w14:paraId="06EB3CEB">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测试线</w:t>
                  </w:r>
                  <w:r>
                    <w:rPr>
                      <w:rFonts w:hint="default" w:ascii="Times New Roman" w:hAnsi="Times New Roman" w:eastAsia="Times New Roman"/>
                      <w:color w:val="auto"/>
                      <w:kern w:val="2"/>
                      <w:sz w:val="21"/>
                      <w:szCs w:val="21"/>
                    </w:rPr>
                    <w:t>-</w:t>
                  </w:r>
                  <w:r>
                    <w:rPr>
                      <w:rFonts w:hint="eastAsia"/>
                      <w:color w:val="auto"/>
                      <w:kern w:val="2"/>
                      <w:sz w:val="21"/>
                      <w:szCs w:val="21"/>
                    </w:rPr>
                    <w:t>检测设备</w:t>
                  </w:r>
                </w:p>
              </w:tc>
              <w:tc>
                <w:tcPr>
                  <w:tcW w:w="807" w:type="pct"/>
                  <w:vAlign w:val="center"/>
                </w:tcPr>
                <w:p w14:paraId="214BBA56">
                  <w:pPr>
                    <w:keepNext w:val="0"/>
                    <w:keepLines w:val="0"/>
                    <w:widowControl/>
                    <w:suppressLineNumbers w:val="0"/>
                    <w:spacing w:before="0" w:beforeAutospacing="0" w:after="0" w:afterAutospacing="0"/>
                    <w:ind w:left="0" w:right="0"/>
                    <w:jc w:val="center"/>
                    <w:rPr>
                      <w:rFonts w:hint="default" w:eastAsia="Times New Roman"/>
                      <w:color w:val="auto"/>
                      <w:kern w:val="2"/>
                      <w:sz w:val="21"/>
                      <w:szCs w:val="21"/>
                      <w:highlight w:val="yellow"/>
                    </w:rPr>
                  </w:pPr>
                  <w:r>
                    <w:rPr>
                      <w:rFonts w:hint="default" w:ascii="Times New Roman" w:hAnsi="Times New Roman" w:eastAsia="Times New Roman" w:cs="Times New Roman"/>
                      <w:color w:val="auto"/>
                      <w:kern w:val="2"/>
                      <w:sz w:val="21"/>
                      <w:szCs w:val="21"/>
                    </w:rPr>
                    <w:t>不变</w:t>
                  </w:r>
                </w:p>
              </w:tc>
            </w:tr>
            <w:tr w14:paraId="1B6ECB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5EBC2D40">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24</w:t>
                  </w:r>
                </w:p>
              </w:tc>
              <w:tc>
                <w:tcPr>
                  <w:tcW w:w="1451" w:type="pct"/>
                  <w:noWrap/>
                  <w:vAlign w:val="center"/>
                </w:tcPr>
                <w:p w14:paraId="1EBEBCFA">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杂质分析显微镜</w:t>
                  </w:r>
                </w:p>
              </w:tc>
              <w:tc>
                <w:tcPr>
                  <w:tcW w:w="694" w:type="pct"/>
                  <w:noWrap/>
                  <w:vAlign w:val="center"/>
                </w:tcPr>
                <w:p w14:paraId="00069DFD">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w:t>
                  </w:r>
                </w:p>
              </w:tc>
              <w:tc>
                <w:tcPr>
                  <w:tcW w:w="594" w:type="pct"/>
                  <w:vAlign w:val="center"/>
                </w:tcPr>
                <w:p w14:paraId="68A7CED5">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1069" w:type="pct"/>
                  <w:vAlign w:val="center"/>
                </w:tcPr>
                <w:p w14:paraId="2EB9B8E0">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测试线</w:t>
                  </w:r>
                  <w:r>
                    <w:rPr>
                      <w:rFonts w:hint="default" w:ascii="Times New Roman" w:hAnsi="Times New Roman" w:eastAsia="Times New Roman"/>
                      <w:color w:val="auto"/>
                      <w:kern w:val="2"/>
                      <w:sz w:val="21"/>
                      <w:szCs w:val="21"/>
                    </w:rPr>
                    <w:t>-</w:t>
                  </w:r>
                  <w:r>
                    <w:rPr>
                      <w:rFonts w:hint="eastAsia"/>
                      <w:color w:val="auto"/>
                      <w:kern w:val="2"/>
                      <w:sz w:val="21"/>
                      <w:szCs w:val="21"/>
                    </w:rPr>
                    <w:t>检测设备</w:t>
                  </w:r>
                </w:p>
              </w:tc>
              <w:tc>
                <w:tcPr>
                  <w:tcW w:w="807" w:type="pct"/>
                  <w:vAlign w:val="center"/>
                </w:tcPr>
                <w:p w14:paraId="76C22AD0">
                  <w:pPr>
                    <w:keepNext w:val="0"/>
                    <w:keepLines w:val="0"/>
                    <w:widowControl/>
                    <w:suppressLineNumbers w:val="0"/>
                    <w:spacing w:before="0" w:beforeAutospacing="0" w:after="0" w:afterAutospacing="0"/>
                    <w:ind w:left="0" w:right="0"/>
                    <w:jc w:val="center"/>
                    <w:rPr>
                      <w:rFonts w:hint="default" w:eastAsia="Times New Roman"/>
                      <w:color w:val="auto"/>
                      <w:kern w:val="2"/>
                      <w:sz w:val="21"/>
                      <w:szCs w:val="21"/>
                      <w:highlight w:val="yellow"/>
                    </w:rPr>
                  </w:pPr>
                  <w:r>
                    <w:rPr>
                      <w:rFonts w:hint="default" w:ascii="Times New Roman" w:hAnsi="Times New Roman" w:eastAsia="Times New Roman" w:cs="Times New Roman"/>
                      <w:color w:val="auto"/>
                      <w:kern w:val="2"/>
                      <w:sz w:val="21"/>
                      <w:szCs w:val="21"/>
                    </w:rPr>
                    <w:t>不变</w:t>
                  </w:r>
                </w:p>
              </w:tc>
            </w:tr>
            <w:tr w14:paraId="6F3C53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3A88A140">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25</w:t>
                  </w:r>
                </w:p>
              </w:tc>
              <w:tc>
                <w:tcPr>
                  <w:tcW w:w="1451" w:type="pct"/>
                  <w:noWrap/>
                  <w:vAlign w:val="center"/>
                </w:tcPr>
                <w:p w14:paraId="2DBE427B">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分析天平</w:t>
                  </w:r>
                </w:p>
              </w:tc>
              <w:tc>
                <w:tcPr>
                  <w:tcW w:w="694" w:type="pct"/>
                  <w:noWrap/>
                  <w:vAlign w:val="center"/>
                </w:tcPr>
                <w:p w14:paraId="5C5E5C19">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w:t>
                  </w:r>
                </w:p>
              </w:tc>
              <w:tc>
                <w:tcPr>
                  <w:tcW w:w="594" w:type="pct"/>
                  <w:vAlign w:val="center"/>
                </w:tcPr>
                <w:p w14:paraId="180220BF">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1069" w:type="pct"/>
                  <w:vAlign w:val="center"/>
                </w:tcPr>
                <w:p w14:paraId="5875E45A">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测试线</w:t>
                  </w:r>
                  <w:r>
                    <w:rPr>
                      <w:rFonts w:hint="default" w:ascii="Times New Roman" w:hAnsi="Times New Roman" w:eastAsia="Times New Roman"/>
                      <w:color w:val="auto"/>
                      <w:kern w:val="2"/>
                      <w:sz w:val="21"/>
                      <w:szCs w:val="21"/>
                    </w:rPr>
                    <w:t>-</w:t>
                  </w:r>
                  <w:r>
                    <w:rPr>
                      <w:rFonts w:hint="eastAsia"/>
                      <w:color w:val="auto"/>
                      <w:kern w:val="2"/>
                      <w:sz w:val="21"/>
                      <w:szCs w:val="21"/>
                    </w:rPr>
                    <w:t>检测设备</w:t>
                  </w:r>
                </w:p>
              </w:tc>
              <w:tc>
                <w:tcPr>
                  <w:tcW w:w="807" w:type="pct"/>
                  <w:vAlign w:val="center"/>
                </w:tcPr>
                <w:p w14:paraId="01BFD4E1">
                  <w:pPr>
                    <w:keepNext w:val="0"/>
                    <w:keepLines w:val="0"/>
                    <w:widowControl/>
                    <w:suppressLineNumbers w:val="0"/>
                    <w:spacing w:before="0" w:beforeAutospacing="0" w:after="0" w:afterAutospacing="0"/>
                    <w:ind w:left="0" w:right="0"/>
                    <w:jc w:val="center"/>
                    <w:rPr>
                      <w:rFonts w:hint="default" w:eastAsia="Times New Roman"/>
                      <w:color w:val="auto"/>
                      <w:kern w:val="2"/>
                      <w:sz w:val="21"/>
                      <w:szCs w:val="21"/>
                      <w:highlight w:val="yellow"/>
                    </w:rPr>
                  </w:pPr>
                  <w:r>
                    <w:rPr>
                      <w:rFonts w:hint="default" w:ascii="Times New Roman" w:hAnsi="Times New Roman" w:eastAsia="Times New Roman" w:cs="Times New Roman"/>
                      <w:color w:val="auto"/>
                      <w:kern w:val="2"/>
                      <w:sz w:val="21"/>
                      <w:szCs w:val="21"/>
                    </w:rPr>
                    <w:t>不变</w:t>
                  </w:r>
                </w:p>
              </w:tc>
            </w:tr>
            <w:tr w14:paraId="5874AE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4E4A64C3">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26</w:t>
                  </w:r>
                </w:p>
              </w:tc>
              <w:tc>
                <w:tcPr>
                  <w:tcW w:w="1451" w:type="pct"/>
                  <w:noWrap/>
                  <w:vAlign w:val="center"/>
                </w:tcPr>
                <w:p w14:paraId="2EA5FE3E">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基本功能测试设备</w:t>
                  </w:r>
                </w:p>
              </w:tc>
              <w:tc>
                <w:tcPr>
                  <w:tcW w:w="694" w:type="pct"/>
                  <w:noWrap/>
                  <w:vAlign w:val="center"/>
                </w:tcPr>
                <w:p w14:paraId="38B7D207">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w:t>
                  </w:r>
                </w:p>
              </w:tc>
              <w:tc>
                <w:tcPr>
                  <w:tcW w:w="594" w:type="pct"/>
                  <w:vAlign w:val="center"/>
                </w:tcPr>
                <w:p w14:paraId="2C9C09A6">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1069" w:type="pct"/>
                  <w:vAlign w:val="center"/>
                </w:tcPr>
                <w:p w14:paraId="2B604FAF">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测试线</w:t>
                  </w:r>
                  <w:r>
                    <w:rPr>
                      <w:rFonts w:hint="default" w:ascii="Times New Roman" w:hAnsi="Times New Roman" w:eastAsia="Times New Roman"/>
                      <w:color w:val="auto"/>
                      <w:kern w:val="2"/>
                      <w:sz w:val="21"/>
                      <w:szCs w:val="21"/>
                    </w:rPr>
                    <w:t>-</w:t>
                  </w:r>
                  <w:r>
                    <w:rPr>
                      <w:rFonts w:hint="eastAsia"/>
                      <w:color w:val="auto"/>
                      <w:kern w:val="2"/>
                      <w:sz w:val="21"/>
                      <w:szCs w:val="21"/>
                    </w:rPr>
                    <w:t>检测设备</w:t>
                  </w:r>
                </w:p>
              </w:tc>
              <w:tc>
                <w:tcPr>
                  <w:tcW w:w="807" w:type="pct"/>
                  <w:vAlign w:val="center"/>
                </w:tcPr>
                <w:p w14:paraId="696406FD">
                  <w:pPr>
                    <w:keepNext w:val="0"/>
                    <w:keepLines w:val="0"/>
                    <w:widowControl/>
                    <w:suppressLineNumbers w:val="0"/>
                    <w:spacing w:before="0" w:beforeAutospacing="0" w:after="0" w:afterAutospacing="0"/>
                    <w:ind w:left="0" w:right="0"/>
                    <w:jc w:val="center"/>
                    <w:rPr>
                      <w:rFonts w:hint="default" w:eastAsia="Times New Roman"/>
                      <w:color w:val="auto"/>
                      <w:kern w:val="2"/>
                      <w:sz w:val="21"/>
                      <w:szCs w:val="21"/>
                      <w:highlight w:val="yellow"/>
                    </w:rPr>
                  </w:pPr>
                  <w:r>
                    <w:rPr>
                      <w:rFonts w:hint="default" w:ascii="Times New Roman" w:hAnsi="Times New Roman" w:eastAsia="Times New Roman" w:cs="Times New Roman"/>
                      <w:color w:val="auto"/>
                      <w:kern w:val="2"/>
                      <w:sz w:val="21"/>
                      <w:szCs w:val="21"/>
                    </w:rPr>
                    <w:t>不变</w:t>
                  </w:r>
                </w:p>
              </w:tc>
            </w:tr>
            <w:tr w14:paraId="406474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7BCF74BF">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27</w:t>
                  </w:r>
                </w:p>
              </w:tc>
              <w:tc>
                <w:tcPr>
                  <w:tcW w:w="1451" w:type="pct"/>
                  <w:noWrap/>
                  <w:vAlign w:val="center"/>
                </w:tcPr>
                <w:p w14:paraId="1269374E">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变压器</w:t>
                  </w:r>
                </w:p>
              </w:tc>
              <w:tc>
                <w:tcPr>
                  <w:tcW w:w="694" w:type="pct"/>
                  <w:noWrap/>
                  <w:vAlign w:val="center"/>
                </w:tcPr>
                <w:p w14:paraId="2E0809D8">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w:t>
                  </w:r>
                </w:p>
              </w:tc>
              <w:tc>
                <w:tcPr>
                  <w:tcW w:w="594" w:type="pct"/>
                  <w:vAlign w:val="center"/>
                </w:tcPr>
                <w:p w14:paraId="14EBD1BA">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1069" w:type="pct"/>
                  <w:noWrap/>
                  <w:vAlign w:val="center"/>
                </w:tcPr>
                <w:p w14:paraId="6BA116FD">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公辅设施</w:t>
                  </w:r>
                </w:p>
              </w:tc>
              <w:tc>
                <w:tcPr>
                  <w:tcW w:w="807" w:type="pct"/>
                  <w:vAlign w:val="center"/>
                </w:tcPr>
                <w:p w14:paraId="6F65E7B9">
                  <w:pPr>
                    <w:keepNext w:val="0"/>
                    <w:keepLines w:val="0"/>
                    <w:widowControl/>
                    <w:suppressLineNumbers w:val="0"/>
                    <w:spacing w:before="0" w:beforeAutospacing="0" w:after="0" w:afterAutospacing="0"/>
                    <w:ind w:left="0" w:right="0"/>
                    <w:jc w:val="center"/>
                    <w:rPr>
                      <w:rFonts w:hint="default" w:eastAsia="Times New Roman"/>
                      <w:color w:val="auto"/>
                      <w:kern w:val="2"/>
                      <w:sz w:val="21"/>
                      <w:szCs w:val="21"/>
                      <w:highlight w:val="yellow"/>
                    </w:rPr>
                  </w:pPr>
                  <w:r>
                    <w:rPr>
                      <w:rFonts w:hint="default" w:ascii="Times New Roman" w:hAnsi="Times New Roman" w:eastAsia="Times New Roman" w:cs="Times New Roman"/>
                      <w:color w:val="auto"/>
                      <w:kern w:val="2"/>
                      <w:sz w:val="21"/>
                      <w:szCs w:val="21"/>
                    </w:rPr>
                    <w:t>不变</w:t>
                  </w:r>
                </w:p>
              </w:tc>
            </w:tr>
            <w:tr w14:paraId="6ACE2D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78D37BD3">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asciiTheme="minorEastAsia" w:hAnsiTheme="minorEastAsia" w:eastAsiaTheme="minorEastAsia"/>
                      <w:color w:val="auto"/>
                      <w:kern w:val="2"/>
                      <w:sz w:val="21"/>
                      <w:szCs w:val="21"/>
                    </w:rPr>
                    <w:t>28</w:t>
                  </w:r>
                </w:p>
              </w:tc>
              <w:tc>
                <w:tcPr>
                  <w:tcW w:w="1451" w:type="pct"/>
                  <w:noWrap/>
                  <w:vAlign w:val="center"/>
                </w:tcPr>
                <w:p w14:paraId="420315FB">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冷水机组</w:t>
                  </w:r>
                </w:p>
              </w:tc>
              <w:tc>
                <w:tcPr>
                  <w:tcW w:w="694" w:type="pct"/>
                  <w:noWrap/>
                  <w:vAlign w:val="center"/>
                </w:tcPr>
                <w:p w14:paraId="22B5300D">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w:t>
                  </w:r>
                </w:p>
              </w:tc>
              <w:tc>
                <w:tcPr>
                  <w:tcW w:w="594" w:type="pct"/>
                  <w:vAlign w:val="center"/>
                </w:tcPr>
                <w:p w14:paraId="691493F4">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1069" w:type="pct"/>
                  <w:vMerge w:val="restart"/>
                  <w:vAlign w:val="center"/>
                </w:tcPr>
                <w:p w14:paraId="01D563B1">
                  <w:pPr>
                    <w:keepNext w:val="0"/>
                    <w:keepLines w:val="0"/>
                    <w:widowControl/>
                    <w:suppressLineNumbers w:val="0"/>
                    <w:spacing w:before="0" w:beforeAutospacing="0" w:after="0" w:afterAutospacing="0"/>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碳基清洗冷却循环</w:t>
                  </w:r>
                </w:p>
              </w:tc>
              <w:tc>
                <w:tcPr>
                  <w:tcW w:w="807" w:type="pct"/>
                  <w:vAlign w:val="center"/>
                </w:tcPr>
                <w:p w14:paraId="30ABB1D1">
                  <w:pPr>
                    <w:keepNext w:val="0"/>
                    <w:keepLines w:val="0"/>
                    <w:widowControl/>
                    <w:suppressLineNumbers w:val="0"/>
                    <w:spacing w:before="0" w:beforeAutospacing="0" w:after="0" w:afterAutospacing="0"/>
                    <w:ind w:left="0" w:right="0"/>
                    <w:jc w:val="center"/>
                    <w:rPr>
                      <w:rFonts w:hint="default" w:eastAsia="Times New Roman"/>
                      <w:color w:val="auto"/>
                      <w:kern w:val="2"/>
                      <w:sz w:val="21"/>
                      <w:szCs w:val="21"/>
                      <w:highlight w:val="yellow"/>
                    </w:rPr>
                  </w:pPr>
                  <w:r>
                    <w:rPr>
                      <w:rFonts w:hint="default" w:ascii="Times New Roman" w:hAnsi="Times New Roman" w:eastAsia="Times New Roman" w:cs="Times New Roman"/>
                      <w:color w:val="auto"/>
                      <w:kern w:val="2"/>
                      <w:sz w:val="21"/>
                      <w:szCs w:val="21"/>
                    </w:rPr>
                    <w:t>不变</w:t>
                  </w:r>
                </w:p>
              </w:tc>
            </w:tr>
            <w:tr w14:paraId="5E8DC9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193ECB1E">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29</w:t>
                  </w:r>
                </w:p>
              </w:tc>
              <w:tc>
                <w:tcPr>
                  <w:tcW w:w="1451" w:type="pct"/>
                  <w:noWrap/>
                  <w:vAlign w:val="center"/>
                </w:tcPr>
                <w:p w14:paraId="160FA6D4">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s="Times New Roman"/>
                      <w:color w:val="auto"/>
                      <w:kern w:val="2"/>
                      <w:sz w:val="21"/>
                      <w:szCs w:val="21"/>
                    </w:rPr>
                    <w:t>50m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/h</w:t>
                  </w:r>
                  <w:r>
                    <w:rPr>
                      <w:rFonts w:hint="eastAsia"/>
                      <w:color w:val="auto"/>
                      <w:kern w:val="2"/>
                      <w:sz w:val="21"/>
                      <w:szCs w:val="21"/>
                    </w:rPr>
                    <w:t>冷却水塔</w:t>
                  </w:r>
                </w:p>
              </w:tc>
              <w:tc>
                <w:tcPr>
                  <w:tcW w:w="694" w:type="pct"/>
                  <w:noWrap/>
                  <w:vAlign w:val="center"/>
                </w:tcPr>
                <w:p w14:paraId="774E3886">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w:t>
                  </w:r>
                </w:p>
              </w:tc>
              <w:tc>
                <w:tcPr>
                  <w:tcW w:w="594" w:type="pct"/>
                  <w:vAlign w:val="center"/>
                </w:tcPr>
                <w:p w14:paraId="02E59507">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1069" w:type="pct"/>
                  <w:vMerge w:val="continue"/>
                  <w:vAlign w:val="center"/>
                </w:tcPr>
                <w:p w14:paraId="1A0352D8">
                  <w:pPr>
                    <w:keepNext w:val="0"/>
                    <w:keepLines w:val="0"/>
                    <w:widowControl/>
                    <w:suppressLineNumbers w:val="0"/>
                    <w:spacing w:before="0" w:beforeAutospacing="0" w:after="0" w:afterAutospacing="0"/>
                    <w:ind w:left="0" w:right="0"/>
                    <w:rPr>
                      <w:rFonts w:hint="default" w:ascii="Times New Roman" w:hAnsi="Times New Roman"/>
                      <w:color w:val="auto"/>
                      <w:kern w:val="2"/>
                      <w:sz w:val="21"/>
                      <w:szCs w:val="21"/>
                    </w:rPr>
                  </w:pPr>
                </w:p>
              </w:tc>
              <w:tc>
                <w:tcPr>
                  <w:tcW w:w="807" w:type="pct"/>
                  <w:vAlign w:val="center"/>
                </w:tcPr>
                <w:p w14:paraId="0228D009">
                  <w:pPr>
                    <w:keepNext w:val="0"/>
                    <w:keepLines w:val="0"/>
                    <w:widowControl/>
                    <w:suppressLineNumbers w:val="0"/>
                    <w:spacing w:before="0" w:beforeAutospacing="0" w:after="0" w:afterAutospacing="0"/>
                    <w:ind w:left="0" w:right="0"/>
                    <w:jc w:val="center"/>
                    <w:rPr>
                      <w:rFonts w:hint="default" w:eastAsia="Times New Roman"/>
                      <w:color w:val="auto"/>
                      <w:kern w:val="2"/>
                      <w:sz w:val="21"/>
                      <w:szCs w:val="21"/>
                      <w:highlight w:val="yellow"/>
                    </w:rPr>
                  </w:pPr>
                  <w:r>
                    <w:rPr>
                      <w:rFonts w:hint="default" w:ascii="Times New Roman" w:hAnsi="Times New Roman" w:eastAsia="Times New Roman" w:cs="Times New Roman"/>
                      <w:color w:val="auto"/>
                      <w:kern w:val="2"/>
                      <w:sz w:val="21"/>
                      <w:szCs w:val="21"/>
                    </w:rPr>
                    <w:t>不变</w:t>
                  </w:r>
                </w:p>
              </w:tc>
            </w:tr>
            <w:tr w14:paraId="6FD339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0AD37DB0">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30</w:t>
                  </w:r>
                </w:p>
              </w:tc>
              <w:tc>
                <w:tcPr>
                  <w:tcW w:w="1451" w:type="pct"/>
                  <w:noWrap/>
                  <w:vAlign w:val="center"/>
                </w:tcPr>
                <w:p w14:paraId="0D68D577">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18"/>
                    </w:rPr>
                    <w:t>0.7Mpa 10m</w:t>
                  </w:r>
                  <w:r>
                    <w:rPr>
                      <w:rFonts w:hint="default" w:ascii="Times New Roman" w:hAnsi="Times New Roman"/>
                      <w:color w:val="auto"/>
                      <w:kern w:val="2"/>
                      <w:sz w:val="21"/>
                      <w:szCs w:val="18"/>
                      <w:vertAlign w:val="superscript"/>
                    </w:rPr>
                    <w:t>3</w:t>
                  </w:r>
                  <w:r>
                    <w:rPr>
                      <w:rFonts w:hint="default" w:ascii="Times New Roman" w:hAnsi="Times New Roman"/>
                      <w:color w:val="auto"/>
                      <w:kern w:val="2"/>
                      <w:sz w:val="21"/>
                      <w:szCs w:val="18"/>
                    </w:rPr>
                    <w:t>/</w:t>
                  </w:r>
                  <w:r>
                    <w:rPr>
                      <w:rFonts w:hint="eastAsia" w:ascii="Times New Roman" w:hAnsi="Times New Roman"/>
                      <w:color w:val="auto"/>
                      <w:kern w:val="2"/>
                      <w:sz w:val="21"/>
                      <w:szCs w:val="18"/>
                      <w:lang w:val="en-US" w:eastAsia="zh-CN"/>
                    </w:rPr>
                    <w:t>min</w:t>
                  </w:r>
                  <w:r>
                    <w:rPr>
                      <w:rFonts w:hint="eastAsia"/>
                      <w:color w:val="auto"/>
                      <w:kern w:val="2"/>
                      <w:sz w:val="21"/>
                      <w:szCs w:val="21"/>
                    </w:rPr>
                    <w:t>空压机</w:t>
                  </w:r>
                </w:p>
              </w:tc>
              <w:tc>
                <w:tcPr>
                  <w:tcW w:w="694" w:type="pct"/>
                  <w:noWrap/>
                  <w:vAlign w:val="center"/>
                </w:tcPr>
                <w:p w14:paraId="440719E7">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w:t>
                  </w:r>
                </w:p>
              </w:tc>
              <w:tc>
                <w:tcPr>
                  <w:tcW w:w="594" w:type="pct"/>
                  <w:vAlign w:val="center"/>
                </w:tcPr>
                <w:p w14:paraId="54BB282C">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1069" w:type="pct"/>
                  <w:vMerge w:val="restart"/>
                  <w:vAlign w:val="center"/>
                </w:tcPr>
                <w:p w14:paraId="54F423C3">
                  <w:pPr>
                    <w:keepNext w:val="0"/>
                    <w:keepLines w:val="0"/>
                    <w:widowControl/>
                    <w:suppressLineNumbers w:val="0"/>
                    <w:spacing w:before="0" w:beforeAutospacing="0" w:after="0" w:afterAutospacing="0"/>
                    <w:ind w:left="0" w:right="0"/>
                    <w:jc w:val="center"/>
                    <w:rPr>
                      <w:rFonts w:hint="eastAsia"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碳基清洗抽真空</w:t>
                  </w:r>
                </w:p>
              </w:tc>
              <w:tc>
                <w:tcPr>
                  <w:tcW w:w="807" w:type="pct"/>
                  <w:vAlign w:val="center"/>
                </w:tcPr>
                <w:p w14:paraId="0B1DAB45">
                  <w:pPr>
                    <w:keepNext w:val="0"/>
                    <w:keepLines w:val="0"/>
                    <w:widowControl/>
                    <w:suppressLineNumbers w:val="0"/>
                    <w:spacing w:before="0" w:beforeAutospacing="0" w:after="0" w:afterAutospacing="0"/>
                    <w:ind w:left="0" w:right="0"/>
                    <w:jc w:val="center"/>
                    <w:rPr>
                      <w:rFonts w:hint="default" w:eastAsia="Times New Roman"/>
                      <w:color w:val="auto"/>
                      <w:kern w:val="2"/>
                      <w:sz w:val="21"/>
                      <w:szCs w:val="21"/>
                      <w:highlight w:val="yellow"/>
                    </w:rPr>
                  </w:pPr>
                  <w:r>
                    <w:rPr>
                      <w:rFonts w:hint="default" w:ascii="Times New Roman" w:hAnsi="Times New Roman" w:eastAsia="Times New Roman" w:cs="Times New Roman"/>
                      <w:color w:val="auto"/>
                      <w:kern w:val="2"/>
                      <w:sz w:val="21"/>
                      <w:szCs w:val="21"/>
                    </w:rPr>
                    <w:t>不变</w:t>
                  </w:r>
                </w:p>
              </w:tc>
            </w:tr>
            <w:tr w14:paraId="07EAD9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6DE3EF8F">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31</w:t>
                  </w:r>
                </w:p>
              </w:tc>
              <w:tc>
                <w:tcPr>
                  <w:tcW w:w="1451" w:type="pct"/>
                  <w:noWrap/>
                  <w:vAlign w:val="center"/>
                </w:tcPr>
                <w:p w14:paraId="3E99DF13">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冷冻式干燥机</w:t>
                  </w:r>
                </w:p>
              </w:tc>
              <w:tc>
                <w:tcPr>
                  <w:tcW w:w="694" w:type="pct"/>
                  <w:noWrap/>
                  <w:vAlign w:val="center"/>
                </w:tcPr>
                <w:p w14:paraId="73739865">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w:t>
                  </w:r>
                </w:p>
              </w:tc>
              <w:tc>
                <w:tcPr>
                  <w:tcW w:w="594" w:type="pct"/>
                  <w:vAlign w:val="center"/>
                </w:tcPr>
                <w:p w14:paraId="4E32ED3F">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1069" w:type="pct"/>
                  <w:vMerge w:val="continue"/>
                  <w:vAlign w:val="center"/>
                </w:tcPr>
                <w:p w14:paraId="672355C7">
                  <w:pPr>
                    <w:keepNext w:val="0"/>
                    <w:keepLines w:val="0"/>
                    <w:widowControl/>
                    <w:suppressLineNumbers w:val="0"/>
                    <w:spacing w:before="0" w:beforeAutospacing="0" w:after="0" w:afterAutospacing="0"/>
                    <w:ind w:left="0" w:right="0"/>
                    <w:rPr>
                      <w:rFonts w:hint="default" w:ascii="Times New Roman" w:hAnsi="Times New Roman"/>
                      <w:color w:val="auto"/>
                      <w:kern w:val="2"/>
                      <w:sz w:val="21"/>
                      <w:szCs w:val="21"/>
                    </w:rPr>
                  </w:pPr>
                </w:p>
              </w:tc>
              <w:tc>
                <w:tcPr>
                  <w:tcW w:w="807" w:type="pct"/>
                  <w:vAlign w:val="center"/>
                </w:tcPr>
                <w:p w14:paraId="4453EAEF">
                  <w:pPr>
                    <w:keepNext w:val="0"/>
                    <w:keepLines w:val="0"/>
                    <w:widowControl/>
                    <w:suppressLineNumbers w:val="0"/>
                    <w:spacing w:before="0" w:beforeAutospacing="0" w:after="0" w:afterAutospacing="0"/>
                    <w:ind w:left="0" w:right="0"/>
                    <w:jc w:val="center"/>
                    <w:rPr>
                      <w:rFonts w:hint="default" w:eastAsia="Times New Roman"/>
                      <w:color w:val="auto"/>
                      <w:kern w:val="2"/>
                      <w:sz w:val="21"/>
                      <w:szCs w:val="21"/>
                      <w:highlight w:val="yellow"/>
                    </w:rPr>
                  </w:pPr>
                  <w:r>
                    <w:rPr>
                      <w:rFonts w:hint="default" w:ascii="Times New Roman" w:hAnsi="Times New Roman" w:eastAsia="Times New Roman" w:cs="Times New Roman"/>
                      <w:color w:val="auto"/>
                      <w:kern w:val="2"/>
                      <w:sz w:val="21"/>
                      <w:szCs w:val="21"/>
                    </w:rPr>
                    <w:t>不变</w:t>
                  </w:r>
                </w:p>
              </w:tc>
            </w:tr>
            <w:tr w14:paraId="382C6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3E0BC67E">
                  <w:pPr>
                    <w:keepNext w:val="0"/>
                    <w:keepLines w:val="0"/>
                    <w:widowControl/>
                    <w:suppressLineNumbers w:val="0"/>
                    <w:spacing w:before="0" w:beforeAutospacing="0" w:after="0" w:afterAutospacing="0"/>
                    <w:ind w:left="0" w:right="0"/>
                    <w:jc w:val="center"/>
                    <w:rPr>
                      <w:rFonts w:hint="default" w:ascii="Times New Roman" w:hAnsi="Times New Roman" w:eastAsiaTheme="minorEastAsia"/>
                      <w:color w:val="auto"/>
                      <w:kern w:val="2"/>
                      <w:sz w:val="21"/>
                      <w:szCs w:val="21"/>
                    </w:rPr>
                  </w:pPr>
                  <w:r>
                    <w:rPr>
                      <w:rFonts w:hint="eastAsia" w:ascii="Times New Roman" w:hAnsi="Times New Roman" w:eastAsiaTheme="minorEastAsia"/>
                      <w:color w:val="auto"/>
                      <w:kern w:val="2"/>
                      <w:sz w:val="21"/>
                      <w:szCs w:val="21"/>
                    </w:rPr>
                    <w:t>32</w:t>
                  </w:r>
                </w:p>
              </w:tc>
              <w:tc>
                <w:tcPr>
                  <w:tcW w:w="1451" w:type="pct"/>
                  <w:noWrap/>
                  <w:vAlign w:val="center"/>
                </w:tcPr>
                <w:p w14:paraId="6CB05D75">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压缩空气过滤器</w:t>
                  </w:r>
                </w:p>
              </w:tc>
              <w:tc>
                <w:tcPr>
                  <w:tcW w:w="694" w:type="pct"/>
                  <w:noWrap/>
                  <w:vAlign w:val="center"/>
                </w:tcPr>
                <w:p w14:paraId="7378AD77">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w:t>
                  </w:r>
                </w:p>
              </w:tc>
              <w:tc>
                <w:tcPr>
                  <w:tcW w:w="594" w:type="pct"/>
                  <w:vAlign w:val="center"/>
                </w:tcPr>
                <w:p w14:paraId="39C32843">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1069" w:type="pct"/>
                  <w:vMerge w:val="continue"/>
                  <w:vAlign w:val="center"/>
                </w:tcPr>
                <w:p w14:paraId="081F1CC9">
                  <w:pPr>
                    <w:keepNext w:val="0"/>
                    <w:keepLines w:val="0"/>
                    <w:widowControl/>
                    <w:suppressLineNumbers w:val="0"/>
                    <w:spacing w:before="0" w:beforeAutospacing="0" w:after="0" w:afterAutospacing="0"/>
                    <w:ind w:left="0" w:right="0"/>
                    <w:rPr>
                      <w:rFonts w:hint="default" w:ascii="Times New Roman" w:hAnsi="Times New Roman"/>
                      <w:color w:val="auto"/>
                      <w:kern w:val="2"/>
                      <w:sz w:val="21"/>
                      <w:szCs w:val="21"/>
                    </w:rPr>
                  </w:pPr>
                </w:p>
              </w:tc>
              <w:tc>
                <w:tcPr>
                  <w:tcW w:w="807" w:type="pct"/>
                  <w:vAlign w:val="center"/>
                </w:tcPr>
                <w:p w14:paraId="09AAD6EB">
                  <w:pPr>
                    <w:keepNext w:val="0"/>
                    <w:keepLines w:val="0"/>
                    <w:widowControl/>
                    <w:suppressLineNumbers w:val="0"/>
                    <w:spacing w:before="0" w:beforeAutospacing="0" w:after="0" w:afterAutospacing="0"/>
                    <w:ind w:left="0" w:right="0"/>
                    <w:jc w:val="center"/>
                    <w:rPr>
                      <w:rFonts w:hint="default" w:eastAsia="Times New Roman"/>
                      <w:color w:val="auto"/>
                      <w:kern w:val="2"/>
                      <w:sz w:val="21"/>
                      <w:szCs w:val="21"/>
                      <w:highlight w:val="yellow"/>
                    </w:rPr>
                  </w:pPr>
                  <w:r>
                    <w:rPr>
                      <w:rFonts w:hint="default" w:ascii="Times New Roman" w:hAnsi="Times New Roman" w:eastAsia="Times New Roman" w:cs="Times New Roman"/>
                      <w:color w:val="auto"/>
                      <w:kern w:val="2"/>
                      <w:sz w:val="21"/>
                      <w:szCs w:val="21"/>
                    </w:rPr>
                    <w:t>不变</w:t>
                  </w:r>
                </w:p>
              </w:tc>
            </w:tr>
            <w:tr w14:paraId="4C3AA8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2B84302F">
                  <w:pPr>
                    <w:keepNext w:val="0"/>
                    <w:keepLines w:val="0"/>
                    <w:widowControl/>
                    <w:suppressLineNumbers w:val="0"/>
                    <w:spacing w:before="0" w:beforeAutospacing="0" w:after="0" w:afterAutospacing="0"/>
                    <w:ind w:left="0" w:right="0"/>
                    <w:jc w:val="center"/>
                    <w:rPr>
                      <w:rFonts w:hint="eastAsia" w:ascii="Times New Roman" w:hAnsi="Times New Roman" w:eastAsiaTheme="minorEastAsia"/>
                      <w:color w:val="auto"/>
                      <w:kern w:val="2"/>
                      <w:sz w:val="21"/>
                      <w:szCs w:val="21"/>
                      <w:lang w:eastAsia="zh-CN"/>
                    </w:rPr>
                  </w:pPr>
                  <w:r>
                    <w:rPr>
                      <w:rFonts w:hint="eastAsia" w:ascii="Times New Roman" w:hAnsi="Times New Roman" w:eastAsiaTheme="minorEastAsia"/>
                      <w:color w:val="auto"/>
                      <w:kern w:val="2"/>
                      <w:sz w:val="21"/>
                      <w:szCs w:val="21"/>
                    </w:rPr>
                    <w:t>3</w:t>
                  </w:r>
                  <w:r>
                    <w:rPr>
                      <w:rFonts w:hint="eastAsia" w:ascii="Times New Roman" w:hAnsi="Times New Roman" w:eastAsiaTheme="minorEastAsia"/>
                      <w:color w:val="auto"/>
                      <w:kern w:val="2"/>
                      <w:sz w:val="21"/>
                      <w:szCs w:val="21"/>
                      <w:lang w:val="en-US" w:eastAsia="zh-CN"/>
                    </w:rPr>
                    <w:t>3</w:t>
                  </w:r>
                </w:p>
              </w:tc>
              <w:tc>
                <w:tcPr>
                  <w:tcW w:w="1451" w:type="pct"/>
                  <w:noWrap/>
                  <w:vAlign w:val="center"/>
                </w:tcPr>
                <w:p w14:paraId="1E499806">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空气处理机组</w:t>
                  </w:r>
                </w:p>
              </w:tc>
              <w:tc>
                <w:tcPr>
                  <w:tcW w:w="694" w:type="pct"/>
                  <w:noWrap/>
                  <w:vAlign w:val="center"/>
                </w:tcPr>
                <w:p w14:paraId="4407CB85">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w:t>
                  </w:r>
                </w:p>
              </w:tc>
              <w:tc>
                <w:tcPr>
                  <w:tcW w:w="594" w:type="pct"/>
                  <w:vAlign w:val="center"/>
                </w:tcPr>
                <w:p w14:paraId="6E603ACC">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1069" w:type="pct"/>
                  <w:vMerge w:val="continue"/>
                  <w:vAlign w:val="center"/>
                </w:tcPr>
                <w:p w14:paraId="31A95F41">
                  <w:pPr>
                    <w:keepNext w:val="0"/>
                    <w:keepLines w:val="0"/>
                    <w:widowControl/>
                    <w:suppressLineNumbers w:val="0"/>
                    <w:spacing w:before="0" w:beforeAutospacing="0" w:after="0" w:afterAutospacing="0"/>
                    <w:ind w:left="0" w:right="0"/>
                    <w:rPr>
                      <w:rFonts w:hint="default" w:ascii="Times New Roman" w:hAnsi="Times New Roman"/>
                      <w:color w:val="auto"/>
                      <w:kern w:val="2"/>
                      <w:sz w:val="21"/>
                      <w:szCs w:val="21"/>
                    </w:rPr>
                  </w:pPr>
                </w:p>
              </w:tc>
              <w:tc>
                <w:tcPr>
                  <w:tcW w:w="807" w:type="pct"/>
                  <w:vAlign w:val="center"/>
                </w:tcPr>
                <w:p w14:paraId="476A9FA1">
                  <w:pPr>
                    <w:keepNext w:val="0"/>
                    <w:keepLines w:val="0"/>
                    <w:widowControl/>
                    <w:suppressLineNumbers w:val="0"/>
                    <w:spacing w:before="0" w:beforeAutospacing="0" w:after="0" w:afterAutospacing="0"/>
                    <w:ind w:left="0" w:right="0"/>
                    <w:jc w:val="center"/>
                    <w:rPr>
                      <w:rFonts w:hint="default" w:eastAsia="Times New Roman"/>
                      <w:color w:val="auto"/>
                      <w:kern w:val="2"/>
                      <w:sz w:val="21"/>
                      <w:szCs w:val="21"/>
                      <w:highlight w:val="yellow"/>
                    </w:rPr>
                  </w:pPr>
                  <w:r>
                    <w:rPr>
                      <w:rFonts w:hint="default" w:ascii="Times New Roman" w:hAnsi="Times New Roman" w:eastAsia="Times New Roman" w:cs="Times New Roman"/>
                      <w:color w:val="auto"/>
                      <w:kern w:val="2"/>
                      <w:sz w:val="21"/>
                      <w:szCs w:val="21"/>
                    </w:rPr>
                    <w:t>不变</w:t>
                  </w:r>
                </w:p>
              </w:tc>
            </w:tr>
            <w:tr w14:paraId="50102E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2CF5C09E">
                  <w:pPr>
                    <w:keepNext w:val="0"/>
                    <w:keepLines w:val="0"/>
                    <w:widowControl/>
                    <w:suppressLineNumbers w:val="0"/>
                    <w:spacing w:before="0" w:beforeAutospacing="0" w:after="0" w:afterAutospacing="0"/>
                    <w:ind w:left="0" w:right="0"/>
                    <w:jc w:val="center"/>
                    <w:rPr>
                      <w:rFonts w:hint="eastAsia" w:ascii="Times New Roman" w:hAnsi="Times New Roman" w:eastAsiaTheme="minorEastAsia"/>
                      <w:color w:val="auto"/>
                      <w:kern w:val="2"/>
                      <w:sz w:val="21"/>
                      <w:szCs w:val="21"/>
                      <w:lang w:val="en-US" w:eastAsia="zh-CN"/>
                    </w:rPr>
                  </w:pPr>
                  <w:r>
                    <w:rPr>
                      <w:rFonts w:hint="eastAsia" w:ascii="Times New Roman" w:hAnsi="Times New Roman" w:eastAsiaTheme="minorEastAsia"/>
                      <w:color w:val="auto"/>
                      <w:kern w:val="2"/>
                      <w:sz w:val="21"/>
                      <w:szCs w:val="21"/>
                    </w:rPr>
                    <w:t>3</w:t>
                  </w:r>
                  <w:r>
                    <w:rPr>
                      <w:rFonts w:hint="eastAsia" w:ascii="Times New Roman" w:hAnsi="Times New Roman" w:eastAsiaTheme="minorEastAsia"/>
                      <w:color w:val="auto"/>
                      <w:kern w:val="2"/>
                      <w:sz w:val="21"/>
                      <w:szCs w:val="21"/>
                      <w:lang w:val="en-US" w:eastAsia="zh-CN"/>
                    </w:rPr>
                    <w:t>4</w:t>
                  </w:r>
                </w:p>
              </w:tc>
              <w:tc>
                <w:tcPr>
                  <w:tcW w:w="1451" w:type="pct"/>
                  <w:noWrap/>
                  <w:vAlign w:val="center"/>
                </w:tcPr>
                <w:p w14:paraId="55B520F4">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s="Times New Roman"/>
                      <w:color w:val="auto"/>
                      <w:kern w:val="2"/>
                      <w:sz w:val="21"/>
                      <w:szCs w:val="21"/>
                    </w:rPr>
                    <w:t>50m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/h</w:t>
                  </w:r>
                  <w:r>
                    <w:rPr>
                      <w:rFonts w:hint="eastAsia"/>
                      <w:color w:val="auto"/>
                      <w:kern w:val="2"/>
                      <w:sz w:val="21"/>
                      <w:szCs w:val="21"/>
                    </w:rPr>
                    <w:t>冷冻水泵</w:t>
                  </w:r>
                </w:p>
              </w:tc>
              <w:tc>
                <w:tcPr>
                  <w:tcW w:w="694" w:type="pct"/>
                  <w:noWrap/>
                  <w:vAlign w:val="center"/>
                </w:tcPr>
                <w:p w14:paraId="0A74C1EA">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w:t>
                  </w:r>
                </w:p>
              </w:tc>
              <w:tc>
                <w:tcPr>
                  <w:tcW w:w="594" w:type="pct"/>
                  <w:vAlign w:val="center"/>
                </w:tcPr>
                <w:p w14:paraId="46F059CF">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1069" w:type="pct"/>
                  <w:vMerge w:val="continue"/>
                  <w:vAlign w:val="center"/>
                </w:tcPr>
                <w:p w14:paraId="47850428">
                  <w:pPr>
                    <w:keepNext w:val="0"/>
                    <w:keepLines w:val="0"/>
                    <w:widowControl/>
                    <w:suppressLineNumbers w:val="0"/>
                    <w:spacing w:before="0" w:beforeAutospacing="0" w:after="0" w:afterAutospacing="0"/>
                    <w:ind w:left="0" w:right="0"/>
                    <w:rPr>
                      <w:rFonts w:hint="default" w:ascii="Times New Roman" w:hAnsi="Times New Roman"/>
                      <w:color w:val="auto"/>
                      <w:kern w:val="2"/>
                      <w:sz w:val="21"/>
                      <w:szCs w:val="21"/>
                    </w:rPr>
                  </w:pPr>
                </w:p>
              </w:tc>
              <w:tc>
                <w:tcPr>
                  <w:tcW w:w="807" w:type="pct"/>
                  <w:vAlign w:val="center"/>
                </w:tcPr>
                <w:p w14:paraId="3C9FFC90">
                  <w:pPr>
                    <w:keepNext w:val="0"/>
                    <w:keepLines w:val="0"/>
                    <w:widowControl/>
                    <w:suppressLineNumbers w:val="0"/>
                    <w:spacing w:before="0" w:beforeAutospacing="0" w:after="0" w:afterAutospacing="0"/>
                    <w:ind w:left="0" w:right="0"/>
                    <w:jc w:val="center"/>
                    <w:rPr>
                      <w:rFonts w:hint="default" w:eastAsia="Times New Roman"/>
                      <w:color w:val="auto"/>
                      <w:kern w:val="2"/>
                      <w:sz w:val="21"/>
                      <w:szCs w:val="21"/>
                      <w:highlight w:val="yellow"/>
                    </w:rPr>
                  </w:pPr>
                  <w:r>
                    <w:rPr>
                      <w:rFonts w:hint="default" w:ascii="Times New Roman" w:hAnsi="Times New Roman" w:eastAsia="Times New Roman" w:cs="Times New Roman"/>
                      <w:color w:val="auto"/>
                      <w:kern w:val="2"/>
                      <w:sz w:val="21"/>
                      <w:szCs w:val="21"/>
                    </w:rPr>
                    <w:t>不变</w:t>
                  </w:r>
                </w:p>
              </w:tc>
            </w:tr>
            <w:tr w14:paraId="665F16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81" w:type="pct"/>
                  <w:noWrap/>
                  <w:vAlign w:val="center"/>
                </w:tcPr>
                <w:p w14:paraId="58BB1065">
                  <w:pPr>
                    <w:keepNext w:val="0"/>
                    <w:keepLines w:val="0"/>
                    <w:widowControl/>
                    <w:suppressLineNumbers w:val="0"/>
                    <w:spacing w:before="0" w:beforeAutospacing="0" w:after="0" w:afterAutospacing="0"/>
                    <w:ind w:left="0" w:right="0"/>
                    <w:jc w:val="center"/>
                    <w:rPr>
                      <w:rFonts w:hint="eastAsia" w:ascii="Times New Roman" w:hAnsi="Times New Roman" w:eastAsiaTheme="minorEastAsia"/>
                      <w:color w:val="auto"/>
                      <w:kern w:val="2"/>
                      <w:sz w:val="21"/>
                      <w:szCs w:val="21"/>
                      <w:lang w:val="en-US" w:eastAsia="zh-CN"/>
                    </w:rPr>
                  </w:pPr>
                  <w:r>
                    <w:rPr>
                      <w:rFonts w:hint="eastAsia" w:ascii="Times New Roman" w:hAnsi="Times New Roman" w:eastAsiaTheme="minorEastAsia"/>
                      <w:color w:val="auto"/>
                      <w:kern w:val="2"/>
                      <w:sz w:val="21"/>
                      <w:szCs w:val="21"/>
                    </w:rPr>
                    <w:t>3</w:t>
                  </w:r>
                  <w:r>
                    <w:rPr>
                      <w:rFonts w:hint="eastAsia" w:ascii="Times New Roman" w:hAnsi="Times New Roman" w:eastAsiaTheme="minorEastAsia"/>
                      <w:color w:val="auto"/>
                      <w:kern w:val="2"/>
                      <w:sz w:val="21"/>
                      <w:szCs w:val="21"/>
                      <w:lang w:val="en-US" w:eastAsia="zh-CN"/>
                    </w:rPr>
                    <w:t>5</w:t>
                  </w:r>
                </w:p>
              </w:tc>
              <w:tc>
                <w:tcPr>
                  <w:tcW w:w="1451" w:type="pct"/>
                  <w:noWrap/>
                  <w:vAlign w:val="center"/>
                </w:tcPr>
                <w:p w14:paraId="68C5C332">
                  <w:pPr>
                    <w:keepNext w:val="0"/>
                    <w:keepLines w:val="0"/>
                    <w:widowControl/>
                    <w:suppressLineNumbers w:val="0"/>
                    <w:spacing w:before="0" w:beforeAutospacing="0" w:after="0" w:afterAutospacing="0"/>
                    <w:ind w:left="0" w:right="0"/>
                    <w:jc w:val="center"/>
                    <w:rPr>
                      <w:rFonts w:hint="default" w:ascii="Times New Roman" w:hAnsi="Times New Roman" w:eastAsia="Times New Roman"/>
                      <w:color w:val="auto"/>
                      <w:kern w:val="2"/>
                      <w:sz w:val="21"/>
                      <w:szCs w:val="21"/>
                    </w:rPr>
                  </w:pPr>
                  <w:r>
                    <w:rPr>
                      <w:rFonts w:hint="eastAsia"/>
                      <w:color w:val="auto"/>
                      <w:kern w:val="2"/>
                      <w:sz w:val="21"/>
                      <w:szCs w:val="21"/>
                    </w:rPr>
                    <w:t>二级活性炭吸附箱</w:t>
                  </w:r>
                </w:p>
                <w:p w14:paraId="75063D43">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（用于清洗废气）</w:t>
                  </w:r>
                </w:p>
              </w:tc>
              <w:tc>
                <w:tcPr>
                  <w:tcW w:w="694" w:type="pct"/>
                  <w:noWrap/>
                  <w:vAlign w:val="center"/>
                </w:tcPr>
                <w:p w14:paraId="677AD73C">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eastAsia="Times New Roman"/>
                      <w:color w:val="auto"/>
                      <w:kern w:val="2"/>
                      <w:sz w:val="21"/>
                      <w:szCs w:val="21"/>
                    </w:rPr>
                    <w:t>1</w:t>
                  </w:r>
                </w:p>
              </w:tc>
              <w:tc>
                <w:tcPr>
                  <w:tcW w:w="594" w:type="pct"/>
                  <w:vAlign w:val="center"/>
                </w:tcPr>
                <w:p w14:paraId="57BDBF02">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1069" w:type="pct"/>
                  <w:vAlign w:val="center"/>
                </w:tcPr>
                <w:p w14:paraId="08609127">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 w:val="21"/>
                      <w:szCs w:val="21"/>
                    </w:rPr>
                  </w:pPr>
                  <w:r>
                    <w:rPr>
                      <w:rFonts w:hint="eastAsia"/>
                      <w:color w:val="auto"/>
                      <w:kern w:val="2"/>
                      <w:sz w:val="21"/>
                      <w:szCs w:val="21"/>
                    </w:rPr>
                    <w:t>环保设备</w:t>
                  </w:r>
                </w:p>
              </w:tc>
              <w:tc>
                <w:tcPr>
                  <w:tcW w:w="807" w:type="pct"/>
                  <w:vAlign w:val="center"/>
                </w:tcPr>
                <w:p w14:paraId="38B394CE">
                  <w:pPr>
                    <w:keepNext w:val="0"/>
                    <w:keepLines w:val="0"/>
                    <w:widowControl/>
                    <w:suppressLineNumbers w:val="0"/>
                    <w:spacing w:before="0" w:beforeAutospacing="0" w:after="0" w:afterAutospacing="0"/>
                    <w:ind w:left="0" w:right="0"/>
                    <w:jc w:val="center"/>
                    <w:rPr>
                      <w:rFonts w:hint="default" w:eastAsia="Times New Roman"/>
                      <w:color w:val="auto"/>
                      <w:kern w:val="2"/>
                      <w:sz w:val="21"/>
                      <w:szCs w:val="21"/>
                      <w:highlight w:val="yellow"/>
                    </w:rPr>
                  </w:pPr>
                  <w:r>
                    <w:rPr>
                      <w:rFonts w:hint="default" w:ascii="Times New Roman" w:hAnsi="Times New Roman" w:eastAsia="Times New Roman" w:cs="Times New Roman"/>
                      <w:color w:val="auto"/>
                      <w:kern w:val="2"/>
                      <w:sz w:val="21"/>
                      <w:szCs w:val="21"/>
                    </w:rPr>
                    <w:t>不变</w:t>
                  </w:r>
                </w:p>
              </w:tc>
            </w:tr>
          </w:tbl>
          <w:p w14:paraId="10A12788">
            <w:pPr>
              <w:keepNext w:val="0"/>
              <w:keepLines w:val="0"/>
              <w:widowControl/>
              <w:suppressLineNumbers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default" w:ascii="Times New Roman" w:hAnsi="Times New Roman" w:cs="Times New Roman"/>
                <w:color w:val="auto"/>
                <w:kern w:val="2"/>
              </w:rPr>
              <w:t>本项目清洗机规格均相同，具体说明见下表。</w:t>
            </w:r>
          </w:p>
          <w:p w14:paraId="0AC2B3AD">
            <w:pPr>
              <w:keepNext w:val="0"/>
              <w:keepLines w:val="0"/>
              <w:widowControl/>
              <w:suppressLineNumbers w:val="0"/>
              <w:spacing w:before="0" w:beforeAutospacing="0" w:after="0" w:afterAutospacing="0" w:line="360" w:lineRule="auto"/>
              <w:ind w:left="0" w:right="0"/>
              <w:jc w:val="center"/>
              <w:rPr>
                <w:rFonts w:hint="default" w:ascii="Times New Roman" w:hAnsi="黑体" w:eastAsia="黑体" w:cs="Times New Roman"/>
                <w:color w:val="auto"/>
                <w:kern w:val="2"/>
              </w:rPr>
            </w:pPr>
            <w:r>
              <w:rPr>
                <w:rFonts w:hint="default" w:ascii="Times New Roman" w:hAnsi="黑体" w:eastAsia="黑体" w:cs="Times New Roman"/>
                <w:color w:val="auto"/>
                <w:kern w:val="2"/>
              </w:rPr>
              <w:t>表2-</w:t>
            </w:r>
            <w:r>
              <w:rPr>
                <w:rFonts w:hint="eastAsia" w:ascii="Times New Roman" w:hAnsi="黑体" w:eastAsia="黑体" w:cs="Times New Roman"/>
                <w:color w:val="auto"/>
                <w:kern w:val="2"/>
                <w:lang w:val="en-US" w:eastAsia="zh-CN"/>
              </w:rPr>
              <w:t>7</w:t>
            </w:r>
            <w:r>
              <w:rPr>
                <w:rFonts w:hint="default" w:ascii="Times New Roman" w:hAnsi="黑体" w:eastAsia="黑体" w:cs="Times New Roman"/>
                <w:color w:val="auto"/>
                <w:kern w:val="2"/>
              </w:rPr>
              <w:t xml:space="preserve">  项目清洗机具体规格一览表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636"/>
              <w:gridCol w:w="1577"/>
              <w:gridCol w:w="1293"/>
              <w:gridCol w:w="870"/>
              <w:gridCol w:w="1226"/>
              <w:gridCol w:w="491"/>
              <w:gridCol w:w="960"/>
              <w:gridCol w:w="869"/>
            </w:tblGrid>
            <w:tr w14:paraId="26A96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vAlign w:val="center"/>
                </w:tcPr>
                <w:p w14:paraId="4CD32696">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序</w:t>
                  </w:r>
                </w:p>
                <w:p w14:paraId="5A49E628">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号</w:t>
                  </w:r>
                </w:p>
              </w:tc>
              <w:tc>
                <w:tcPr>
                  <w:tcW w:w="366" w:type="pct"/>
                  <w:vAlign w:val="center"/>
                </w:tcPr>
                <w:p w14:paraId="3839815C">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清洗线名称</w:t>
                  </w:r>
                </w:p>
              </w:tc>
              <w:tc>
                <w:tcPr>
                  <w:tcW w:w="968" w:type="pct"/>
                  <w:vAlign w:val="center"/>
                </w:tcPr>
                <w:p w14:paraId="3D790D3F">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工序</w:t>
                  </w:r>
                </w:p>
              </w:tc>
              <w:tc>
                <w:tcPr>
                  <w:tcW w:w="664" w:type="pct"/>
                  <w:vAlign w:val="center"/>
                </w:tcPr>
                <w:p w14:paraId="7DFBBBF6">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尺寸[长(m)×宽(m)×高(m)]</w:t>
                  </w:r>
                </w:p>
              </w:tc>
              <w:tc>
                <w:tcPr>
                  <w:tcW w:w="545" w:type="pct"/>
                  <w:vAlign w:val="center"/>
                </w:tcPr>
                <w:p w14:paraId="66F28C2F">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有效容量（t）</w:t>
                  </w:r>
                </w:p>
              </w:tc>
              <w:tc>
                <w:tcPr>
                  <w:tcW w:w="758" w:type="pct"/>
                  <w:vAlign w:val="center"/>
                </w:tcPr>
                <w:p w14:paraId="56426A7B">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使用物料</w:t>
                  </w:r>
                </w:p>
              </w:tc>
              <w:tc>
                <w:tcPr>
                  <w:tcW w:w="318" w:type="pct"/>
                  <w:vAlign w:val="center"/>
                </w:tcPr>
                <w:p w14:paraId="3A40363B">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配比</w:t>
                  </w:r>
                </w:p>
                <w:p w14:paraId="2827B760">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w:t>
                  </w:r>
                </w:p>
              </w:tc>
              <w:tc>
                <w:tcPr>
                  <w:tcW w:w="551" w:type="pct"/>
                  <w:vAlign w:val="center"/>
                </w:tcPr>
                <w:p w14:paraId="16C6F0BE">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工作温度</w:t>
                  </w:r>
                </w:p>
                <w:p w14:paraId="41D8A515">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w:t>
                  </w:r>
                </w:p>
              </w:tc>
              <w:tc>
                <w:tcPr>
                  <w:tcW w:w="544" w:type="pct"/>
                  <w:vAlign w:val="center"/>
                </w:tcPr>
                <w:p w14:paraId="25BB0242">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加热</w:t>
                  </w:r>
                </w:p>
                <w:p w14:paraId="166264DE">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方式</w:t>
                  </w:r>
                </w:p>
              </w:tc>
            </w:tr>
            <w:tr w14:paraId="150C4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vAlign w:val="center"/>
                </w:tcPr>
                <w:p w14:paraId="34AF2F2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366" w:type="pct"/>
                  <w:vMerge w:val="restart"/>
                  <w:vAlign w:val="center"/>
                </w:tcPr>
                <w:p w14:paraId="7D58764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碳氢自动清洗机（4台）</w:t>
                  </w:r>
                </w:p>
              </w:tc>
              <w:tc>
                <w:tcPr>
                  <w:tcW w:w="968" w:type="pct"/>
                  <w:vAlign w:val="center"/>
                </w:tcPr>
                <w:p w14:paraId="43E925B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真空浸泡清洗1</w:t>
                  </w:r>
                </w:p>
              </w:tc>
              <w:tc>
                <w:tcPr>
                  <w:tcW w:w="664" w:type="pct"/>
                  <w:vAlign w:val="center"/>
                </w:tcPr>
                <w:p w14:paraId="078D530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0.655×1.1×</w:t>
                  </w:r>
                </w:p>
                <w:p w14:paraId="5681930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0.75</w:t>
                  </w:r>
                </w:p>
              </w:tc>
              <w:tc>
                <w:tcPr>
                  <w:tcW w:w="545" w:type="pct"/>
                  <w:vAlign w:val="center"/>
                </w:tcPr>
                <w:p w14:paraId="76C54A5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0.54</w:t>
                  </w:r>
                </w:p>
              </w:tc>
              <w:tc>
                <w:tcPr>
                  <w:tcW w:w="758" w:type="pct"/>
                  <w:vAlign w:val="center"/>
                </w:tcPr>
                <w:p w14:paraId="041263F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碳氢清洗剂</w:t>
                  </w:r>
                </w:p>
              </w:tc>
              <w:tc>
                <w:tcPr>
                  <w:tcW w:w="318" w:type="pct"/>
                  <w:vAlign w:val="center"/>
                </w:tcPr>
                <w:p w14:paraId="7D2ED0C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551" w:type="pct"/>
                  <w:vAlign w:val="center"/>
                </w:tcPr>
                <w:p w14:paraId="7CFF6B5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常温</w:t>
                  </w:r>
                </w:p>
              </w:tc>
              <w:tc>
                <w:tcPr>
                  <w:tcW w:w="544" w:type="pct"/>
                  <w:vAlign w:val="center"/>
                </w:tcPr>
                <w:p w14:paraId="2D12D37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14:paraId="5C7AA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vAlign w:val="center"/>
                </w:tcPr>
                <w:p w14:paraId="31D6C9C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366" w:type="pct"/>
                  <w:vMerge w:val="continue"/>
                  <w:vAlign w:val="center"/>
                </w:tcPr>
                <w:p w14:paraId="49FD7B3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p>
              </w:tc>
              <w:tc>
                <w:tcPr>
                  <w:tcW w:w="968" w:type="pct"/>
                  <w:vAlign w:val="center"/>
                </w:tcPr>
                <w:p w14:paraId="3644EA5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真空超声波浸泡清洗2</w:t>
                  </w:r>
                </w:p>
              </w:tc>
              <w:tc>
                <w:tcPr>
                  <w:tcW w:w="664" w:type="pct"/>
                  <w:vAlign w:val="center"/>
                </w:tcPr>
                <w:p w14:paraId="6A6DD5B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0.655×1.1×</w:t>
                  </w:r>
                </w:p>
                <w:p w14:paraId="5789CA5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0.75</w:t>
                  </w:r>
                </w:p>
              </w:tc>
              <w:tc>
                <w:tcPr>
                  <w:tcW w:w="545" w:type="pct"/>
                  <w:vAlign w:val="center"/>
                </w:tcPr>
                <w:p w14:paraId="5489CB0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0.54</w:t>
                  </w:r>
                </w:p>
              </w:tc>
              <w:tc>
                <w:tcPr>
                  <w:tcW w:w="758" w:type="pct"/>
                  <w:vAlign w:val="center"/>
                </w:tcPr>
                <w:p w14:paraId="4374AA1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碳氢清洗剂</w:t>
                  </w:r>
                </w:p>
              </w:tc>
              <w:tc>
                <w:tcPr>
                  <w:tcW w:w="318" w:type="pct"/>
                  <w:vAlign w:val="center"/>
                </w:tcPr>
                <w:p w14:paraId="5841200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551" w:type="pct"/>
                  <w:vAlign w:val="center"/>
                </w:tcPr>
                <w:p w14:paraId="264B68A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常温</w:t>
                  </w:r>
                </w:p>
              </w:tc>
              <w:tc>
                <w:tcPr>
                  <w:tcW w:w="544" w:type="pct"/>
                  <w:vAlign w:val="center"/>
                </w:tcPr>
                <w:p w14:paraId="0F196C3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14:paraId="75DC8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vAlign w:val="center"/>
                </w:tcPr>
                <w:p w14:paraId="6A31D9C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w:t>
                  </w:r>
                </w:p>
              </w:tc>
              <w:tc>
                <w:tcPr>
                  <w:tcW w:w="366" w:type="pct"/>
                  <w:vMerge w:val="continue"/>
                  <w:vAlign w:val="center"/>
                </w:tcPr>
                <w:p w14:paraId="69299F1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p>
              </w:tc>
              <w:tc>
                <w:tcPr>
                  <w:tcW w:w="968" w:type="pct"/>
                  <w:vAlign w:val="center"/>
                </w:tcPr>
                <w:p w14:paraId="73DB770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真空超声波浸泡清洗3</w:t>
                  </w:r>
                </w:p>
              </w:tc>
              <w:tc>
                <w:tcPr>
                  <w:tcW w:w="664" w:type="pct"/>
                  <w:vAlign w:val="center"/>
                </w:tcPr>
                <w:p w14:paraId="6BBB42F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0.655×1.1×</w:t>
                  </w:r>
                </w:p>
                <w:p w14:paraId="76ECC60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0.75</w:t>
                  </w:r>
                </w:p>
              </w:tc>
              <w:tc>
                <w:tcPr>
                  <w:tcW w:w="545" w:type="pct"/>
                  <w:vAlign w:val="center"/>
                </w:tcPr>
                <w:p w14:paraId="49BEC82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0.54</w:t>
                  </w:r>
                </w:p>
              </w:tc>
              <w:tc>
                <w:tcPr>
                  <w:tcW w:w="758" w:type="pct"/>
                  <w:vAlign w:val="center"/>
                </w:tcPr>
                <w:p w14:paraId="073482A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碳氢清洗剂</w:t>
                  </w:r>
                </w:p>
              </w:tc>
              <w:tc>
                <w:tcPr>
                  <w:tcW w:w="318" w:type="pct"/>
                  <w:vAlign w:val="center"/>
                </w:tcPr>
                <w:p w14:paraId="7E0F198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551" w:type="pct"/>
                  <w:vAlign w:val="center"/>
                </w:tcPr>
                <w:p w14:paraId="5E96355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常温</w:t>
                  </w:r>
                </w:p>
              </w:tc>
              <w:tc>
                <w:tcPr>
                  <w:tcW w:w="544" w:type="pct"/>
                  <w:vAlign w:val="center"/>
                </w:tcPr>
                <w:p w14:paraId="6938A23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r>
            <w:tr w14:paraId="3700F2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282" w:type="pct"/>
                  <w:vAlign w:val="center"/>
                </w:tcPr>
                <w:p w14:paraId="4157938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w:t>
                  </w:r>
                </w:p>
              </w:tc>
              <w:tc>
                <w:tcPr>
                  <w:tcW w:w="366" w:type="pct"/>
                  <w:vMerge w:val="continue"/>
                  <w:vAlign w:val="center"/>
                </w:tcPr>
                <w:p w14:paraId="7A7D109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p>
              </w:tc>
              <w:tc>
                <w:tcPr>
                  <w:tcW w:w="968" w:type="pct"/>
                  <w:vAlign w:val="center"/>
                </w:tcPr>
                <w:p w14:paraId="1877598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真空干燥1</w:t>
                  </w:r>
                </w:p>
              </w:tc>
              <w:tc>
                <w:tcPr>
                  <w:tcW w:w="664" w:type="pct"/>
                  <w:vAlign w:val="center"/>
                </w:tcPr>
                <w:p w14:paraId="28F5476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0.555×0.97×</w:t>
                  </w:r>
                </w:p>
                <w:p w14:paraId="5CD0181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0.575</w:t>
                  </w:r>
                </w:p>
              </w:tc>
              <w:tc>
                <w:tcPr>
                  <w:tcW w:w="545" w:type="pct"/>
                  <w:vAlign w:val="center"/>
                </w:tcPr>
                <w:p w14:paraId="0644EDE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0.31</w:t>
                  </w:r>
                </w:p>
              </w:tc>
              <w:tc>
                <w:tcPr>
                  <w:tcW w:w="758" w:type="pct"/>
                  <w:vAlign w:val="center"/>
                </w:tcPr>
                <w:p w14:paraId="2F7F3B6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碳氢清洗剂</w:t>
                  </w:r>
                </w:p>
              </w:tc>
              <w:tc>
                <w:tcPr>
                  <w:tcW w:w="318" w:type="pct"/>
                  <w:vAlign w:val="center"/>
                </w:tcPr>
                <w:p w14:paraId="1D3C6E3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551" w:type="pct"/>
                  <w:vAlign w:val="center"/>
                </w:tcPr>
                <w:p w14:paraId="7D76B7D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100~120</w:t>
                  </w:r>
                </w:p>
              </w:tc>
              <w:tc>
                <w:tcPr>
                  <w:tcW w:w="544" w:type="pct"/>
                  <w:vMerge w:val="restart"/>
                  <w:vAlign w:val="center"/>
                </w:tcPr>
                <w:p w14:paraId="76FEEBE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碳氢清洗剂蒸汽加热（用电）</w:t>
                  </w:r>
                </w:p>
              </w:tc>
            </w:tr>
            <w:tr w14:paraId="52A660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vAlign w:val="center"/>
                </w:tcPr>
                <w:p w14:paraId="0E55F5C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w:t>
                  </w:r>
                </w:p>
              </w:tc>
              <w:tc>
                <w:tcPr>
                  <w:tcW w:w="366" w:type="pct"/>
                  <w:vMerge w:val="continue"/>
                  <w:vAlign w:val="center"/>
                </w:tcPr>
                <w:p w14:paraId="0A90ED9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p>
              </w:tc>
              <w:tc>
                <w:tcPr>
                  <w:tcW w:w="968" w:type="pct"/>
                  <w:vAlign w:val="center"/>
                </w:tcPr>
                <w:p w14:paraId="20EC3C3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真空干燥2</w:t>
                  </w:r>
                </w:p>
              </w:tc>
              <w:tc>
                <w:tcPr>
                  <w:tcW w:w="664" w:type="pct"/>
                  <w:vAlign w:val="center"/>
                </w:tcPr>
                <w:p w14:paraId="648ECE6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0.555×0.97×</w:t>
                  </w:r>
                </w:p>
                <w:p w14:paraId="2EE9E54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0.575</w:t>
                  </w:r>
                </w:p>
              </w:tc>
              <w:tc>
                <w:tcPr>
                  <w:tcW w:w="545" w:type="pct"/>
                  <w:vAlign w:val="center"/>
                </w:tcPr>
                <w:p w14:paraId="0250D90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0.31</w:t>
                  </w:r>
                </w:p>
              </w:tc>
              <w:tc>
                <w:tcPr>
                  <w:tcW w:w="758" w:type="pct"/>
                  <w:vAlign w:val="center"/>
                </w:tcPr>
                <w:p w14:paraId="71B75DD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碳氢清洗剂</w:t>
                  </w:r>
                </w:p>
              </w:tc>
              <w:tc>
                <w:tcPr>
                  <w:tcW w:w="318" w:type="pct"/>
                  <w:vAlign w:val="center"/>
                </w:tcPr>
                <w:p w14:paraId="72BF9A0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551" w:type="pct"/>
                  <w:vAlign w:val="center"/>
                </w:tcPr>
                <w:p w14:paraId="6576F0D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100~120</w:t>
                  </w:r>
                </w:p>
              </w:tc>
              <w:tc>
                <w:tcPr>
                  <w:tcW w:w="544" w:type="pct"/>
                  <w:vMerge w:val="continue"/>
                  <w:vAlign w:val="center"/>
                </w:tcPr>
                <w:p w14:paraId="5482930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p>
              </w:tc>
            </w:tr>
            <w:tr w14:paraId="34252E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82" w:type="pct"/>
                  <w:vAlign w:val="center"/>
                </w:tcPr>
                <w:p w14:paraId="54C25E8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w:t>
                  </w:r>
                </w:p>
              </w:tc>
              <w:tc>
                <w:tcPr>
                  <w:tcW w:w="366" w:type="pct"/>
                  <w:vMerge w:val="continue"/>
                  <w:vAlign w:val="center"/>
                </w:tcPr>
                <w:p w14:paraId="52A8460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p>
              </w:tc>
              <w:tc>
                <w:tcPr>
                  <w:tcW w:w="968" w:type="pct"/>
                  <w:vAlign w:val="center"/>
                </w:tcPr>
                <w:p w14:paraId="10B1089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蒸馏再生系统</w:t>
                  </w:r>
                </w:p>
              </w:tc>
              <w:tc>
                <w:tcPr>
                  <w:tcW w:w="664" w:type="pct"/>
                  <w:vAlign w:val="center"/>
                </w:tcPr>
                <w:p w14:paraId="5EE7528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545" w:type="pct"/>
                  <w:vAlign w:val="center"/>
                </w:tcPr>
                <w:p w14:paraId="449CDE9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758" w:type="pct"/>
                  <w:vAlign w:val="center"/>
                </w:tcPr>
                <w:p w14:paraId="6DC7F0A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碳氢清洗剂旧液</w:t>
                  </w:r>
                </w:p>
              </w:tc>
              <w:tc>
                <w:tcPr>
                  <w:tcW w:w="318" w:type="pct"/>
                  <w:vAlign w:val="center"/>
                </w:tcPr>
                <w:p w14:paraId="1A6C715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551" w:type="pct"/>
                  <w:vAlign w:val="center"/>
                </w:tcPr>
                <w:p w14:paraId="1560455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100~120</w:t>
                  </w:r>
                </w:p>
              </w:tc>
              <w:tc>
                <w:tcPr>
                  <w:tcW w:w="544" w:type="pct"/>
                  <w:vAlign w:val="center"/>
                </w:tcPr>
                <w:p w14:paraId="58451B4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电加热</w:t>
                  </w:r>
                </w:p>
              </w:tc>
            </w:tr>
          </w:tbl>
          <w:p w14:paraId="559C220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kern w:val="2"/>
              </w:rPr>
            </w:pPr>
            <w:r>
              <w:rPr>
                <w:rFonts w:hint="eastAsia" w:ascii="Times New Roman" w:hAnsi="Times New Roman" w:cs="Times New Roman"/>
                <w:bCs/>
                <w:color w:val="auto"/>
                <w:kern w:val="2"/>
              </w:rPr>
              <w:t>6</w:t>
            </w:r>
            <w:r>
              <w:rPr>
                <w:rFonts w:hint="default" w:ascii="Times New Roman" w:hAnsi="Times New Roman" w:cs="Times New Roman"/>
                <w:bCs/>
                <w:color w:val="auto"/>
                <w:kern w:val="2"/>
              </w:rPr>
              <w:t>、主要原辅材料和能源消耗</w:t>
            </w:r>
          </w:p>
          <w:p w14:paraId="557ACF46">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cs="Times New Roman"/>
                <w:color w:val="auto"/>
                <w:kern w:val="2"/>
              </w:rPr>
            </w:pPr>
            <w:r>
              <w:rPr>
                <w:rFonts w:hint="default" w:ascii="Times New Roman" w:hAnsi="Times New Roman" w:cs="Times New Roman"/>
                <w:color w:val="auto"/>
                <w:kern w:val="2"/>
              </w:rPr>
              <w:t>项目</w:t>
            </w:r>
            <w:r>
              <w:rPr>
                <w:rFonts w:hint="eastAsia" w:ascii="Times New Roman" w:hAnsi="Times New Roman" w:cs="Times New Roman"/>
                <w:color w:val="auto"/>
                <w:kern w:val="2"/>
              </w:rPr>
              <w:t>主要原辅材料及能源消耗见下表。</w:t>
            </w:r>
          </w:p>
          <w:p w14:paraId="6164D69D">
            <w:pPr>
              <w:pStyle w:val="12"/>
              <w:keepNext w:val="0"/>
              <w:keepLines w:val="0"/>
              <w:widowControl/>
              <w:suppressLineNumbers w:val="0"/>
              <w:spacing w:before="0" w:beforeAutospacing="0" w:after="0" w:afterAutospacing="0"/>
              <w:ind w:left="0" w:right="0"/>
              <w:rPr>
                <w:rFonts w:hint="default"/>
                <w:color w:val="auto"/>
                <w:kern w:val="2"/>
              </w:rPr>
            </w:pPr>
          </w:p>
          <w:p w14:paraId="168B2DF7">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cs="Times New Roman"/>
                <w:color w:val="auto"/>
                <w:kern w:val="2"/>
              </w:rPr>
            </w:pPr>
            <w:r>
              <w:rPr>
                <w:rFonts w:hint="default" w:ascii="Times New Roman" w:hAnsi="黑体" w:eastAsia="黑体" w:cs="Times New Roman"/>
                <w:color w:val="auto"/>
                <w:kern w:val="2"/>
              </w:rPr>
              <w:t>表</w:t>
            </w:r>
            <w:r>
              <w:rPr>
                <w:rFonts w:hint="default" w:ascii="Times New Roman" w:hAnsi="Times New Roman" w:eastAsia="黑体" w:cs="Times New Roman"/>
                <w:color w:val="auto"/>
                <w:kern w:val="2"/>
              </w:rPr>
              <w:t>2-</w:t>
            </w:r>
            <w:r>
              <w:rPr>
                <w:rFonts w:hint="eastAsia" w:ascii="Times New Roman" w:hAnsi="Times New Roman" w:eastAsia="黑体" w:cs="Times New Roman"/>
                <w:color w:val="auto"/>
                <w:kern w:val="2"/>
              </w:rPr>
              <w:t>8  原辅材料及能源消耗一览表</w:t>
            </w:r>
          </w:p>
          <w:tbl>
            <w:tblPr>
              <w:tblStyle w:val="9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1074"/>
              <w:gridCol w:w="1291"/>
              <w:gridCol w:w="1158"/>
              <w:gridCol w:w="854"/>
              <w:gridCol w:w="854"/>
              <w:gridCol w:w="765"/>
              <w:gridCol w:w="752"/>
              <w:gridCol w:w="980"/>
            </w:tblGrid>
            <w:tr w14:paraId="0F3E0B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629" w:type="dxa"/>
                  <w:tcBorders>
                    <w:top w:val="single" w:color="auto" w:sz="12" w:space="0"/>
                    <w:left w:val="nil"/>
                    <w:bottom w:val="single" w:color="auto" w:sz="4" w:space="0"/>
                    <w:right w:val="single" w:color="auto" w:sz="4" w:space="0"/>
                  </w:tcBorders>
                  <w:noWrap/>
                  <w:vAlign w:val="center"/>
                </w:tcPr>
                <w:p w14:paraId="1AEC11D9">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2"/>
                      <w:sz w:val="21"/>
                      <w:szCs w:val="21"/>
                    </w:rPr>
                  </w:pPr>
                  <w:r>
                    <w:rPr>
                      <w:rFonts w:hint="default" w:ascii="Times New Roman" w:hAnsi="Times New Roman" w:eastAsia="Times New Roman" w:cs="Times New Roman"/>
                      <w:b/>
                      <w:color w:val="auto"/>
                      <w:kern w:val="2"/>
                      <w:sz w:val="21"/>
                      <w:szCs w:val="21"/>
                    </w:rPr>
                    <w:t>序号</w:t>
                  </w:r>
                </w:p>
              </w:tc>
              <w:tc>
                <w:tcPr>
                  <w:tcW w:w="1074" w:type="dxa"/>
                  <w:tcBorders>
                    <w:top w:val="single" w:color="auto" w:sz="12" w:space="0"/>
                    <w:left w:val="single" w:color="auto" w:sz="4" w:space="0"/>
                    <w:bottom w:val="single" w:color="auto" w:sz="4" w:space="0"/>
                    <w:right w:val="single" w:color="auto" w:sz="4" w:space="0"/>
                  </w:tcBorders>
                  <w:noWrap/>
                  <w:vAlign w:val="center"/>
                </w:tcPr>
                <w:p w14:paraId="34F80B9A">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原材料种类</w:t>
                  </w:r>
                </w:p>
              </w:tc>
              <w:tc>
                <w:tcPr>
                  <w:tcW w:w="1291" w:type="dxa"/>
                  <w:tcBorders>
                    <w:top w:val="single" w:color="auto" w:sz="12" w:space="0"/>
                    <w:left w:val="single" w:color="auto" w:sz="4" w:space="0"/>
                    <w:bottom w:val="single" w:color="auto" w:sz="4" w:space="0"/>
                    <w:right w:val="single" w:color="auto" w:sz="4" w:space="0"/>
                  </w:tcBorders>
                  <w:noWrap/>
                  <w:vAlign w:val="center"/>
                </w:tcPr>
                <w:p w14:paraId="3AC7A1EA">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Times New Roman" w:cs="Times New Roman"/>
                      <w:b/>
                      <w:color w:val="auto"/>
                      <w:kern w:val="2"/>
                      <w:sz w:val="21"/>
                      <w:szCs w:val="21"/>
                    </w:rPr>
                  </w:pPr>
                  <w:r>
                    <w:rPr>
                      <w:rFonts w:hint="default" w:ascii="Times New Roman" w:hAnsi="Times New Roman" w:eastAsia="Times New Roman" w:cs="Times New Roman"/>
                      <w:b/>
                      <w:color w:val="auto"/>
                      <w:kern w:val="2"/>
                      <w:sz w:val="21"/>
                      <w:szCs w:val="21"/>
                    </w:rPr>
                    <w:t>改扩建前年用量</w:t>
                  </w:r>
                </w:p>
              </w:tc>
              <w:tc>
                <w:tcPr>
                  <w:tcW w:w="1158" w:type="dxa"/>
                  <w:tcBorders>
                    <w:top w:val="single" w:color="auto" w:sz="12" w:space="0"/>
                    <w:left w:val="single" w:color="auto" w:sz="4" w:space="0"/>
                    <w:bottom w:val="single" w:color="auto" w:sz="4" w:space="0"/>
                    <w:right w:val="single" w:color="auto" w:sz="4" w:space="0"/>
                  </w:tcBorders>
                  <w:vAlign w:val="center"/>
                </w:tcPr>
                <w:p w14:paraId="5CEFCF7F">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Times New Roman" w:cs="Times New Roman"/>
                      <w:b/>
                      <w:color w:val="auto"/>
                      <w:kern w:val="2"/>
                      <w:sz w:val="21"/>
                      <w:szCs w:val="21"/>
                    </w:rPr>
                  </w:pPr>
                  <w:r>
                    <w:rPr>
                      <w:rFonts w:hint="default" w:ascii="Times New Roman" w:hAnsi="Times New Roman" w:eastAsia="Times New Roman" w:cs="Times New Roman"/>
                      <w:b/>
                      <w:color w:val="auto"/>
                      <w:kern w:val="2"/>
                      <w:sz w:val="21"/>
                      <w:szCs w:val="21"/>
                    </w:rPr>
                    <w:t>改扩建后</w:t>
                  </w:r>
                </w:p>
                <w:p w14:paraId="61A68BD0">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Times New Roman" w:cs="Times New Roman"/>
                      <w:b/>
                      <w:color w:val="auto"/>
                      <w:kern w:val="2"/>
                      <w:sz w:val="21"/>
                      <w:szCs w:val="21"/>
                    </w:rPr>
                  </w:pPr>
                  <w:r>
                    <w:rPr>
                      <w:rFonts w:hint="default" w:ascii="Times New Roman" w:hAnsi="Times New Roman" w:eastAsia="Times New Roman" w:cs="Times New Roman"/>
                      <w:b/>
                      <w:color w:val="auto"/>
                      <w:kern w:val="2"/>
                      <w:sz w:val="21"/>
                      <w:szCs w:val="21"/>
                    </w:rPr>
                    <w:t>年用量</w:t>
                  </w:r>
                </w:p>
              </w:tc>
              <w:tc>
                <w:tcPr>
                  <w:tcW w:w="854" w:type="dxa"/>
                  <w:tcBorders>
                    <w:top w:val="single" w:color="auto" w:sz="12" w:space="0"/>
                    <w:left w:val="single" w:color="auto" w:sz="4" w:space="0"/>
                    <w:bottom w:val="single" w:color="auto" w:sz="4" w:space="0"/>
                    <w:right w:val="single" w:color="auto" w:sz="4" w:space="0"/>
                  </w:tcBorders>
                  <w:noWrap/>
                  <w:vAlign w:val="center"/>
                </w:tcPr>
                <w:p w14:paraId="622E44B0">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原材料规格</w:t>
                  </w:r>
                </w:p>
              </w:tc>
              <w:tc>
                <w:tcPr>
                  <w:tcW w:w="854" w:type="dxa"/>
                  <w:tcBorders>
                    <w:top w:val="single" w:color="auto" w:sz="12" w:space="0"/>
                    <w:left w:val="single" w:color="auto" w:sz="4" w:space="0"/>
                    <w:bottom w:val="single" w:color="auto" w:sz="4" w:space="0"/>
                    <w:right w:val="single" w:color="auto" w:sz="4" w:space="0"/>
                  </w:tcBorders>
                  <w:noWrap/>
                  <w:vAlign w:val="center"/>
                </w:tcPr>
                <w:p w14:paraId="6167EA2E">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包装方式</w:t>
                  </w:r>
                </w:p>
              </w:tc>
              <w:tc>
                <w:tcPr>
                  <w:tcW w:w="765" w:type="dxa"/>
                  <w:tcBorders>
                    <w:top w:val="single" w:color="auto" w:sz="12" w:space="0"/>
                    <w:left w:val="single" w:color="auto" w:sz="4" w:space="0"/>
                    <w:bottom w:val="single" w:color="auto" w:sz="4" w:space="0"/>
                    <w:right w:val="single" w:color="auto" w:sz="4" w:space="0"/>
                  </w:tcBorders>
                  <w:noWrap/>
                  <w:vAlign w:val="center"/>
                </w:tcPr>
                <w:p w14:paraId="474545D9">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最大贮存量</w:t>
                  </w:r>
                </w:p>
              </w:tc>
              <w:tc>
                <w:tcPr>
                  <w:tcW w:w="752" w:type="dxa"/>
                  <w:tcBorders>
                    <w:top w:val="single" w:color="auto" w:sz="12" w:space="0"/>
                    <w:left w:val="single" w:color="auto" w:sz="4" w:space="0"/>
                    <w:bottom w:val="single" w:color="auto" w:sz="4" w:space="0"/>
                    <w:right w:val="single" w:color="auto" w:sz="4" w:space="0"/>
                  </w:tcBorders>
                  <w:noWrap/>
                  <w:vAlign w:val="center"/>
                </w:tcPr>
                <w:p w14:paraId="5EBE85CE">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存储位置</w:t>
                  </w:r>
                </w:p>
              </w:tc>
              <w:tc>
                <w:tcPr>
                  <w:tcW w:w="979" w:type="dxa"/>
                  <w:tcBorders>
                    <w:top w:val="single" w:color="auto" w:sz="12" w:space="0"/>
                    <w:left w:val="single" w:color="auto" w:sz="4" w:space="0"/>
                    <w:bottom w:val="single" w:color="auto" w:sz="4" w:space="0"/>
                    <w:right w:val="nil"/>
                  </w:tcBorders>
                  <w:noWrap/>
                  <w:vAlign w:val="center"/>
                </w:tcPr>
                <w:p w14:paraId="26618216">
                  <w:pPr>
                    <w:keepNext w:val="0"/>
                    <w:keepLines w:val="0"/>
                    <w:widowControl/>
                    <w:suppressLineNumbers w:val="0"/>
                    <w:spacing w:before="0" w:beforeAutospacing="0" w:after="0" w:afterAutospacing="0"/>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对应工序</w:t>
                  </w:r>
                </w:p>
              </w:tc>
            </w:tr>
            <w:tr w14:paraId="0E3DB0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29" w:type="dxa"/>
                  <w:tcBorders>
                    <w:top w:val="single" w:color="auto" w:sz="4" w:space="0"/>
                    <w:left w:val="nil"/>
                    <w:bottom w:val="single" w:color="auto" w:sz="4" w:space="0"/>
                    <w:right w:val="single" w:color="auto" w:sz="4" w:space="0"/>
                  </w:tcBorders>
                  <w:noWrap/>
                  <w:vAlign w:val="center"/>
                </w:tcPr>
                <w:p w14:paraId="74EA9BA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1074" w:type="dxa"/>
                  <w:tcBorders>
                    <w:top w:val="single" w:color="auto" w:sz="4" w:space="0"/>
                    <w:left w:val="single" w:color="auto" w:sz="4" w:space="0"/>
                    <w:bottom w:val="single" w:color="auto" w:sz="4" w:space="0"/>
                    <w:right w:val="single" w:color="auto" w:sz="4" w:space="0"/>
                  </w:tcBorders>
                  <w:vAlign w:val="center"/>
                </w:tcPr>
                <w:p w14:paraId="7D9B946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MCU</w:t>
                  </w:r>
                  <w:r>
                    <w:rPr>
                      <w:rFonts w:hint="default" w:ascii="Times New Roman" w:hAnsi="Times New Roman" w:cs="Times New Roman"/>
                      <w:color w:val="auto"/>
                      <w:kern w:val="2"/>
                      <w:sz w:val="21"/>
                      <w:szCs w:val="21"/>
                    </w:rPr>
                    <w:t>硬件、软件</w:t>
                  </w:r>
                </w:p>
              </w:tc>
              <w:tc>
                <w:tcPr>
                  <w:tcW w:w="1291" w:type="dxa"/>
                  <w:tcBorders>
                    <w:top w:val="single" w:color="auto" w:sz="4" w:space="0"/>
                    <w:left w:val="single" w:color="auto" w:sz="4" w:space="0"/>
                    <w:bottom w:val="single" w:color="auto" w:sz="4" w:space="0"/>
                    <w:right w:val="single" w:color="auto" w:sz="4" w:space="0"/>
                  </w:tcBorders>
                  <w:noWrap/>
                  <w:vAlign w:val="center"/>
                </w:tcPr>
                <w:p w14:paraId="2781ADD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w:t>
                  </w:r>
                  <w:r>
                    <w:rPr>
                      <w:rFonts w:hint="default" w:ascii="Times New Roman" w:hAnsi="Times New Roman" w:cs="Times New Roman"/>
                      <w:color w:val="auto"/>
                      <w:kern w:val="2"/>
                      <w:sz w:val="21"/>
                      <w:szCs w:val="21"/>
                    </w:rPr>
                    <w:t>万套</w:t>
                  </w:r>
                </w:p>
              </w:tc>
              <w:tc>
                <w:tcPr>
                  <w:tcW w:w="1158" w:type="dxa"/>
                  <w:tcBorders>
                    <w:top w:val="single" w:color="auto" w:sz="4" w:space="0"/>
                    <w:left w:val="single" w:color="auto" w:sz="4" w:space="0"/>
                    <w:bottom w:val="single" w:color="auto" w:sz="4" w:space="0"/>
                    <w:right w:val="single" w:color="auto" w:sz="4" w:space="0"/>
                  </w:tcBorders>
                  <w:vAlign w:val="center"/>
                </w:tcPr>
                <w:p w14:paraId="69C86A20">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eastAsiaTheme="minorEastAsia"/>
                      <w:color w:val="auto"/>
                      <w:kern w:val="2"/>
                      <w:sz w:val="21"/>
                      <w:szCs w:val="21"/>
                    </w:rPr>
                    <w:t>2</w:t>
                  </w:r>
                  <w:r>
                    <w:rPr>
                      <w:rFonts w:hint="eastAsia" w:ascii="Times New Roman" w:hAnsi="Times New Roman" w:cs="Times New Roman" w:eastAsiaTheme="minorEastAsia"/>
                      <w:color w:val="auto"/>
                      <w:kern w:val="2"/>
                      <w:sz w:val="21"/>
                      <w:szCs w:val="21"/>
                    </w:rPr>
                    <w:t>5</w:t>
                  </w:r>
                  <w:r>
                    <w:rPr>
                      <w:rFonts w:hint="default" w:ascii="Times New Roman" w:hAnsi="Times New Roman" w:cs="Times New Roman"/>
                      <w:color w:val="auto"/>
                      <w:kern w:val="2"/>
                      <w:sz w:val="21"/>
                      <w:szCs w:val="21"/>
                    </w:rPr>
                    <w:t>万套</w:t>
                  </w:r>
                </w:p>
              </w:tc>
              <w:tc>
                <w:tcPr>
                  <w:tcW w:w="854" w:type="dxa"/>
                  <w:tcBorders>
                    <w:top w:val="single" w:color="auto" w:sz="4" w:space="0"/>
                    <w:left w:val="single" w:color="auto" w:sz="4" w:space="0"/>
                    <w:bottom w:val="single" w:color="auto" w:sz="4" w:space="0"/>
                    <w:right w:val="single" w:color="auto" w:sz="4" w:space="0"/>
                  </w:tcBorders>
                  <w:noWrap/>
                  <w:vAlign w:val="center"/>
                </w:tcPr>
                <w:p w14:paraId="2CEDE15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200</w:t>
                  </w:r>
                  <w:r>
                    <w:rPr>
                      <w:rFonts w:hint="default" w:ascii="Times New Roman" w:hAnsi="Times New Roman" w:cs="Times New Roman"/>
                      <w:color w:val="auto"/>
                      <w:kern w:val="2"/>
                      <w:sz w:val="21"/>
                      <w:szCs w:val="21"/>
                    </w:rPr>
                    <w:t>件</w:t>
                  </w:r>
                  <w:r>
                    <w:rPr>
                      <w:rFonts w:hint="default" w:ascii="Times New Roman" w:hAnsi="Times New Roman" w:eastAsia="Times New Roman" w:cs="Times New Roman"/>
                      <w:color w:val="auto"/>
                      <w:kern w:val="2"/>
                      <w:sz w:val="21"/>
                      <w:szCs w:val="21"/>
                    </w:rPr>
                    <w:t>/</w:t>
                  </w:r>
                  <w:r>
                    <w:rPr>
                      <w:rFonts w:hint="default" w:ascii="Times New Roman" w:hAnsi="Times New Roman" w:cs="Times New Roman"/>
                      <w:color w:val="auto"/>
                      <w:kern w:val="2"/>
                      <w:sz w:val="21"/>
                      <w:szCs w:val="21"/>
                    </w:rPr>
                    <w:t>箱</w:t>
                  </w:r>
                </w:p>
              </w:tc>
              <w:tc>
                <w:tcPr>
                  <w:tcW w:w="854" w:type="dxa"/>
                  <w:tcBorders>
                    <w:top w:val="single" w:color="auto" w:sz="4" w:space="0"/>
                    <w:left w:val="single" w:color="auto" w:sz="4" w:space="0"/>
                    <w:bottom w:val="single" w:color="auto" w:sz="4" w:space="0"/>
                    <w:right w:val="single" w:color="auto" w:sz="4" w:space="0"/>
                  </w:tcBorders>
                  <w:noWrap/>
                  <w:vAlign w:val="center"/>
                </w:tcPr>
                <w:p w14:paraId="3C50C2E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纸箱</w:t>
                  </w:r>
                </w:p>
              </w:tc>
              <w:tc>
                <w:tcPr>
                  <w:tcW w:w="765" w:type="dxa"/>
                  <w:tcBorders>
                    <w:top w:val="single" w:color="auto" w:sz="4" w:space="0"/>
                    <w:left w:val="single" w:color="auto" w:sz="4" w:space="0"/>
                    <w:bottom w:val="single" w:color="auto" w:sz="4" w:space="0"/>
                    <w:right w:val="single" w:color="auto" w:sz="4" w:space="0"/>
                  </w:tcBorders>
                  <w:noWrap/>
                  <w:vAlign w:val="center"/>
                </w:tcPr>
                <w:p w14:paraId="6C63016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w:t>
                  </w:r>
                  <w:r>
                    <w:rPr>
                      <w:rFonts w:hint="eastAsia" w:ascii="Times New Roman" w:hAnsi="Times New Roman" w:cs="Times New Roman"/>
                      <w:color w:val="auto"/>
                      <w:kern w:val="2"/>
                      <w:sz w:val="21"/>
                      <w:szCs w:val="21"/>
                    </w:rPr>
                    <w:t>5</w:t>
                  </w:r>
                  <w:r>
                    <w:rPr>
                      <w:rFonts w:hint="default" w:ascii="Times New Roman" w:hAnsi="Times New Roman" w:eastAsia="Times New Roman" w:cs="Times New Roman"/>
                      <w:color w:val="auto"/>
                      <w:kern w:val="2"/>
                      <w:sz w:val="21"/>
                      <w:szCs w:val="21"/>
                    </w:rPr>
                    <w:t>00</w:t>
                  </w:r>
                  <w:r>
                    <w:rPr>
                      <w:rFonts w:hint="default" w:ascii="Times New Roman" w:hAnsi="Times New Roman" w:cs="Times New Roman"/>
                      <w:color w:val="auto"/>
                      <w:kern w:val="2"/>
                      <w:sz w:val="21"/>
                      <w:szCs w:val="21"/>
                    </w:rPr>
                    <w:t>套</w:t>
                  </w:r>
                </w:p>
              </w:tc>
              <w:tc>
                <w:tcPr>
                  <w:tcW w:w="752" w:type="dxa"/>
                  <w:vMerge w:val="restart"/>
                  <w:tcBorders>
                    <w:top w:val="single" w:color="auto" w:sz="4" w:space="0"/>
                    <w:left w:val="single" w:color="auto" w:sz="4" w:space="0"/>
                    <w:bottom w:val="single" w:color="auto" w:sz="4" w:space="0"/>
                    <w:right w:val="single" w:color="auto" w:sz="4" w:space="0"/>
                  </w:tcBorders>
                  <w:noWrap/>
                  <w:vAlign w:val="center"/>
                </w:tcPr>
                <w:p w14:paraId="0E0E458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原材料仓库</w:t>
                  </w:r>
                </w:p>
              </w:tc>
              <w:tc>
                <w:tcPr>
                  <w:tcW w:w="979" w:type="dxa"/>
                  <w:vMerge w:val="restart"/>
                  <w:tcBorders>
                    <w:top w:val="single" w:color="auto" w:sz="4" w:space="0"/>
                    <w:left w:val="single" w:color="auto" w:sz="4" w:space="0"/>
                    <w:bottom w:val="single" w:color="auto" w:sz="4" w:space="0"/>
                    <w:right w:val="nil"/>
                  </w:tcBorders>
                  <w:noWrap/>
                  <w:vAlign w:val="center"/>
                </w:tcPr>
                <w:p w14:paraId="281310E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总装线</w:t>
                  </w:r>
                </w:p>
              </w:tc>
            </w:tr>
            <w:tr w14:paraId="6EED4B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629" w:type="dxa"/>
                  <w:tcBorders>
                    <w:top w:val="single" w:color="auto" w:sz="4" w:space="0"/>
                    <w:left w:val="nil"/>
                    <w:bottom w:val="single" w:color="auto" w:sz="4" w:space="0"/>
                    <w:right w:val="single" w:color="auto" w:sz="4" w:space="0"/>
                  </w:tcBorders>
                  <w:noWrap/>
                  <w:vAlign w:val="center"/>
                </w:tcPr>
                <w:p w14:paraId="5664D9D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w:t>
                  </w:r>
                </w:p>
              </w:tc>
              <w:tc>
                <w:tcPr>
                  <w:tcW w:w="1074" w:type="dxa"/>
                  <w:tcBorders>
                    <w:top w:val="single" w:color="auto" w:sz="4" w:space="0"/>
                    <w:left w:val="single" w:color="auto" w:sz="4" w:space="0"/>
                    <w:bottom w:val="single" w:color="auto" w:sz="4" w:space="0"/>
                    <w:right w:val="single" w:color="auto" w:sz="4" w:space="0"/>
                  </w:tcBorders>
                  <w:vAlign w:val="center"/>
                </w:tcPr>
                <w:p w14:paraId="4AFC725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HCU</w:t>
                  </w:r>
                  <w:r>
                    <w:rPr>
                      <w:rFonts w:hint="default" w:ascii="Times New Roman" w:hAnsi="Times New Roman" w:cs="Times New Roman"/>
                      <w:color w:val="auto"/>
                      <w:kern w:val="2"/>
                      <w:sz w:val="21"/>
                      <w:szCs w:val="21"/>
                    </w:rPr>
                    <w:t>硬件、软件</w:t>
                  </w:r>
                </w:p>
              </w:tc>
              <w:tc>
                <w:tcPr>
                  <w:tcW w:w="1291" w:type="dxa"/>
                  <w:tcBorders>
                    <w:top w:val="single" w:color="auto" w:sz="4" w:space="0"/>
                    <w:left w:val="single" w:color="auto" w:sz="4" w:space="0"/>
                    <w:bottom w:val="single" w:color="auto" w:sz="4" w:space="0"/>
                    <w:right w:val="single" w:color="auto" w:sz="4" w:space="0"/>
                  </w:tcBorders>
                  <w:noWrap/>
                  <w:vAlign w:val="center"/>
                </w:tcPr>
                <w:p w14:paraId="122F53F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w:t>
                  </w:r>
                  <w:r>
                    <w:rPr>
                      <w:rFonts w:hint="default" w:ascii="Times New Roman" w:hAnsi="Times New Roman" w:cs="Times New Roman"/>
                      <w:color w:val="auto"/>
                      <w:kern w:val="2"/>
                      <w:sz w:val="21"/>
                      <w:szCs w:val="21"/>
                    </w:rPr>
                    <w:t>万套</w:t>
                  </w:r>
                </w:p>
              </w:tc>
              <w:tc>
                <w:tcPr>
                  <w:tcW w:w="1158" w:type="dxa"/>
                  <w:tcBorders>
                    <w:top w:val="single" w:color="auto" w:sz="4" w:space="0"/>
                    <w:left w:val="single" w:color="auto" w:sz="4" w:space="0"/>
                    <w:bottom w:val="single" w:color="auto" w:sz="4" w:space="0"/>
                    <w:right w:val="single" w:color="auto" w:sz="4" w:space="0"/>
                  </w:tcBorders>
                  <w:vAlign w:val="center"/>
                </w:tcPr>
                <w:p w14:paraId="7E9ABEA8">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eastAsiaTheme="minorEastAsia"/>
                      <w:color w:val="auto"/>
                      <w:kern w:val="2"/>
                      <w:sz w:val="21"/>
                      <w:szCs w:val="21"/>
                    </w:rPr>
                    <w:t>2</w:t>
                  </w:r>
                  <w:r>
                    <w:rPr>
                      <w:rFonts w:hint="eastAsia" w:ascii="Times New Roman" w:hAnsi="Times New Roman" w:cs="Times New Roman" w:eastAsiaTheme="minorEastAsia"/>
                      <w:color w:val="auto"/>
                      <w:kern w:val="2"/>
                      <w:sz w:val="21"/>
                      <w:szCs w:val="21"/>
                    </w:rPr>
                    <w:t>5</w:t>
                  </w:r>
                  <w:r>
                    <w:rPr>
                      <w:rFonts w:hint="default" w:ascii="Times New Roman" w:hAnsi="Times New Roman" w:cs="Times New Roman"/>
                      <w:color w:val="auto"/>
                      <w:kern w:val="2"/>
                      <w:sz w:val="21"/>
                      <w:szCs w:val="21"/>
                    </w:rPr>
                    <w:t>万套</w:t>
                  </w:r>
                </w:p>
              </w:tc>
              <w:tc>
                <w:tcPr>
                  <w:tcW w:w="854" w:type="dxa"/>
                  <w:tcBorders>
                    <w:top w:val="single" w:color="auto" w:sz="4" w:space="0"/>
                    <w:left w:val="single" w:color="auto" w:sz="4" w:space="0"/>
                    <w:bottom w:val="single" w:color="auto" w:sz="4" w:space="0"/>
                    <w:right w:val="single" w:color="auto" w:sz="4" w:space="0"/>
                  </w:tcBorders>
                  <w:noWrap/>
                  <w:vAlign w:val="center"/>
                </w:tcPr>
                <w:p w14:paraId="495F0BA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200</w:t>
                  </w:r>
                  <w:r>
                    <w:rPr>
                      <w:rFonts w:hint="default" w:ascii="Times New Roman" w:hAnsi="Times New Roman" w:cs="Times New Roman"/>
                      <w:color w:val="auto"/>
                      <w:kern w:val="2"/>
                      <w:sz w:val="21"/>
                      <w:szCs w:val="21"/>
                    </w:rPr>
                    <w:t>件</w:t>
                  </w:r>
                  <w:r>
                    <w:rPr>
                      <w:rFonts w:hint="default" w:ascii="Times New Roman" w:hAnsi="Times New Roman" w:eastAsia="Times New Roman" w:cs="Times New Roman"/>
                      <w:color w:val="auto"/>
                      <w:kern w:val="2"/>
                      <w:sz w:val="21"/>
                      <w:szCs w:val="21"/>
                    </w:rPr>
                    <w:t>/</w:t>
                  </w:r>
                  <w:r>
                    <w:rPr>
                      <w:rFonts w:hint="default" w:ascii="Times New Roman" w:hAnsi="Times New Roman" w:cs="Times New Roman"/>
                      <w:color w:val="auto"/>
                      <w:kern w:val="2"/>
                      <w:sz w:val="21"/>
                      <w:szCs w:val="21"/>
                    </w:rPr>
                    <w:t>箱</w:t>
                  </w:r>
                </w:p>
              </w:tc>
              <w:tc>
                <w:tcPr>
                  <w:tcW w:w="854" w:type="dxa"/>
                  <w:tcBorders>
                    <w:top w:val="single" w:color="auto" w:sz="4" w:space="0"/>
                    <w:left w:val="single" w:color="auto" w:sz="4" w:space="0"/>
                    <w:bottom w:val="single" w:color="auto" w:sz="4" w:space="0"/>
                    <w:right w:val="single" w:color="auto" w:sz="4" w:space="0"/>
                  </w:tcBorders>
                  <w:noWrap/>
                  <w:vAlign w:val="center"/>
                </w:tcPr>
                <w:p w14:paraId="2383D71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纸箱</w:t>
                  </w:r>
                </w:p>
              </w:tc>
              <w:tc>
                <w:tcPr>
                  <w:tcW w:w="765" w:type="dxa"/>
                  <w:tcBorders>
                    <w:top w:val="single" w:color="auto" w:sz="4" w:space="0"/>
                    <w:left w:val="single" w:color="auto" w:sz="4" w:space="0"/>
                    <w:bottom w:val="single" w:color="auto" w:sz="4" w:space="0"/>
                    <w:right w:val="single" w:color="auto" w:sz="4" w:space="0"/>
                  </w:tcBorders>
                  <w:noWrap/>
                  <w:vAlign w:val="center"/>
                </w:tcPr>
                <w:p w14:paraId="301675E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w:t>
                  </w:r>
                  <w:r>
                    <w:rPr>
                      <w:rFonts w:hint="eastAsia" w:ascii="Times New Roman" w:hAnsi="Times New Roman" w:cs="Times New Roman"/>
                      <w:color w:val="auto"/>
                      <w:kern w:val="2"/>
                      <w:sz w:val="21"/>
                      <w:szCs w:val="21"/>
                    </w:rPr>
                    <w:t>5</w:t>
                  </w:r>
                  <w:r>
                    <w:rPr>
                      <w:rFonts w:hint="default" w:ascii="Times New Roman" w:hAnsi="Times New Roman" w:eastAsia="Times New Roman" w:cs="Times New Roman"/>
                      <w:color w:val="auto"/>
                      <w:kern w:val="2"/>
                      <w:sz w:val="21"/>
                      <w:szCs w:val="21"/>
                    </w:rPr>
                    <w:t>00</w:t>
                  </w:r>
                  <w:r>
                    <w:rPr>
                      <w:rFonts w:hint="default" w:ascii="Times New Roman" w:hAnsi="Times New Roman" w:cs="Times New Roman"/>
                      <w:color w:val="auto"/>
                      <w:kern w:val="2"/>
                      <w:sz w:val="21"/>
                      <w:szCs w:val="21"/>
                    </w:rPr>
                    <w:t>套</w:t>
                  </w: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6E5D3327">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979" w:type="dxa"/>
                  <w:vMerge w:val="continue"/>
                  <w:tcBorders>
                    <w:top w:val="single" w:color="auto" w:sz="4" w:space="0"/>
                    <w:left w:val="single" w:color="auto" w:sz="4" w:space="0"/>
                    <w:bottom w:val="single" w:color="auto" w:sz="4" w:space="0"/>
                    <w:right w:val="nil"/>
                  </w:tcBorders>
                  <w:vAlign w:val="center"/>
                </w:tcPr>
                <w:p w14:paraId="05D3CB14">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r>
            <w:tr w14:paraId="4955F9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9" w:type="dxa"/>
                  <w:tcBorders>
                    <w:top w:val="single" w:color="auto" w:sz="4" w:space="0"/>
                    <w:left w:val="nil"/>
                    <w:bottom w:val="single" w:color="auto" w:sz="4" w:space="0"/>
                    <w:right w:val="single" w:color="auto" w:sz="4" w:space="0"/>
                  </w:tcBorders>
                  <w:noWrap/>
                  <w:vAlign w:val="center"/>
                </w:tcPr>
                <w:p w14:paraId="70B47C7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3</w:t>
                  </w:r>
                </w:p>
              </w:tc>
              <w:tc>
                <w:tcPr>
                  <w:tcW w:w="1074" w:type="dxa"/>
                  <w:tcBorders>
                    <w:top w:val="single" w:color="auto" w:sz="4" w:space="0"/>
                    <w:left w:val="single" w:color="auto" w:sz="4" w:space="0"/>
                    <w:bottom w:val="single" w:color="auto" w:sz="4" w:space="0"/>
                    <w:right w:val="single" w:color="auto" w:sz="4" w:space="0"/>
                  </w:tcBorders>
                  <w:vAlign w:val="center"/>
                </w:tcPr>
                <w:p w14:paraId="05A4FA2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TCU</w:t>
                  </w:r>
                  <w:r>
                    <w:rPr>
                      <w:rFonts w:hint="default" w:ascii="Times New Roman" w:hAnsi="Times New Roman" w:cs="Times New Roman"/>
                      <w:color w:val="auto"/>
                      <w:kern w:val="2"/>
                      <w:sz w:val="21"/>
                      <w:szCs w:val="21"/>
                    </w:rPr>
                    <w:t>硬件、软件</w:t>
                  </w:r>
                </w:p>
              </w:tc>
              <w:tc>
                <w:tcPr>
                  <w:tcW w:w="1291" w:type="dxa"/>
                  <w:tcBorders>
                    <w:top w:val="single" w:color="auto" w:sz="4" w:space="0"/>
                    <w:left w:val="single" w:color="auto" w:sz="4" w:space="0"/>
                    <w:bottom w:val="single" w:color="auto" w:sz="4" w:space="0"/>
                    <w:right w:val="single" w:color="auto" w:sz="4" w:space="0"/>
                  </w:tcBorders>
                  <w:noWrap/>
                  <w:vAlign w:val="center"/>
                </w:tcPr>
                <w:p w14:paraId="0D48C1D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w:t>
                  </w:r>
                  <w:r>
                    <w:rPr>
                      <w:rFonts w:hint="default" w:ascii="Times New Roman" w:hAnsi="Times New Roman" w:cs="Times New Roman"/>
                      <w:color w:val="auto"/>
                      <w:kern w:val="2"/>
                      <w:sz w:val="21"/>
                      <w:szCs w:val="21"/>
                    </w:rPr>
                    <w:t>万套</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14:paraId="70836F47">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eastAsiaTheme="minorEastAsia"/>
                      <w:color w:val="auto"/>
                      <w:kern w:val="2"/>
                      <w:sz w:val="21"/>
                      <w:szCs w:val="21"/>
                    </w:rPr>
                    <w:t>2</w:t>
                  </w:r>
                  <w:r>
                    <w:rPr>
                      <w:rFonts w:hint="eastAsia" w:ascii="Times New Roman" w:hAnsi="Times New Roman" w:cs="Times New Roman" w:eastAsiaTheme="minorEastAsia"/>
                      <w:color w:val="auto"/>
                      <w:kern w:val="2"/>
                      <w:sz w:val="21"/>
                      <w:szCs w:val="21"/>
                    </w:rPr>
                    <w:t>5</w:t>
                  </w:r>
                  <w:r>
                    <w:rPr>
                      <w:rFonts w:hint="default" w:ascii="Times New Roman" w:hAnsi="Times New Roman" w:cs="Times New Roman"/>
                      <w:color w:val="auto"/>
                      <w:kern w:val="2"/>
                      <w:sz w:val="21"/>
                      <w:szCs w:val="21"/>
                    </w:rPr>
                    <w:t>万套</w:t>
                  </w:r>
                </w:p>
              </w:tc>
              <w:tc>
                <w:tcPr>
                  <w:tcW w:w="854" w:type="dxa"/>
                  <w:tcBorders>
                    <w:top w:val="single" w:color="auto" w:sz="4" w:space="0"/>
                    <w:left w:val="single" w:color="auto" w:sz="4" w:space="0"/>
                    <w:bottom w:val="single" w:color="auto" w:sz="4" w:space="0"/>
                    <w:right w:val="single" w:color="auto" w:sz="4" w:space="0"/>
                  </w:tcBorders>
                  <w:noWrap/>
                  <w:vAlign w:val="center"/>
                </w:tcPr>
                <w:p w14:paraId="2F5180D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200</w:t>
                  </w:r>
                  <w:r>
                    <w:rPr>
                      <w:rFonts w:hint="default" w:ascii="Times New Roman" w:hAnsi="Times New Roman" w:cs="Times New Roman"/>
                      <w:color w:val="auto"/>
                      <w:kern w:val="2"/>
                      <w:sz w:val="21"/>
                      <w:szCs w:val="21"/>
                    </w:rPr>
                    <w:t>件</w:t>
                  </w:r>
                  <w:r>
                    <w:rPr>
                      <w:rFonts w:hint="default" w:ascii="Times New Roman" w:hAnsi="Times New Roman" w:eastAsia="Times New Roman" w:cs="Times New Roman"/>
                      <w:color w:val="auto"/>
                      <w:kern w:val="2"/>
                      <w:sz w:val="21"/>
                      <w:szCs w:val="21"/>
                    </w:rPr>
                    <w:t>/</w:t>
                  </w:r>
                  <w:r>
                    <w:rPr>
                      <w:rFonts w:hint="default" w:ascii="Times New Roman" w:hAnsi="Times New Roman" w:cs="Times New Roman"/>
                      <w:color w:val="auto"/>
                      <w:kern w:val="2"/>
                      <w:sz w:val="21"/>
                      <w:szCs w:val="21"/>
                    </w:rPr>
                    <w:t>箱</w:t>
                  </w:r>
                </w:p>
              </w:tc>
              <w:tc>
                <w:tcPr>
                  <w:tcW w:w="854" w:type="dxa"/>
                  <w:tcBorders>
                    <w:top w:val="single" w:color="auto" w:sz="4" w:space="0"/>
                    <w:left w:val="single" w:color="auto" w:sz="4" w:space="0"/>
                    <w:bottom w:val="single" w:color="auto" w:sz="4" w:space="0"/>
                    <w:right w:val="single" w:color="auto" w:sz="4" w:space="0"/>
                  </w:tcBorders>
                  <w:noWrap/>
                  <w:vAlign w:val="center"/>
                </w:tcPr>
                <w:p w14:paraId="00D7CB2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纸箱</w:t>
                  </w:r>
                </w:p>
              </w:tc>
              <w:tc>
                <w:tcPr>
                  <w:tcW w:w="765" w:type="dxa"/>
                  <w:tcBorders>
                    <w:top w:val="single" w:color="auto" w:sz="4" w:space="0"/>
                    <w:left w:val="single" w:color="auto" w:sz="4" w:space="0"/>
                    <w:bottom w:val="single" w:color="auto" w:sz="4" w:space="0"/>
                    <w:right w:val="single" w:color="auto" w:sz="4" w:space="0"/>
                  </w:tcBorders>
                  <w:noWrap/>
                  <w:vAlign w:val="center"/>
                </w:tcPr>
                <w:p w14:paraId="17A0EBA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w:t>
                  </w:r>
                  <w:r>
                    <w:rPr>
                      <w:rFonts w:hint="eastAsia" w:ascii="Times New Roman" w:hAnsi="Times New Roman" w:cs="Times New Roman"/>
                      <w:color w:val="auto"/>
                      <w:kern w:val="2"/>
                      <w:sz w:val="21"/>
                      <w:szCs w:val="21"/>
                    </w:rPr>
                    <w:t>5</w:t>
                  </w:r>
                  <w:r>
                    <w:rPr>
                      <w:rFonts w:hint="default" w:ascii="Times New Roman" w:hAnsi="Times New Roman" w:eastAsia="Times New Roman" w:cs="Times New Roman"/>
                      <w:color w:val="auto"/>
                      <w:kern w:val="2"/>
                      <w:sz w:val="21"/>
                      <w:szCs w:val="21"/>
                    </w:rPr>
                    <w:t>00</w:t>
                  </w:r>
                  <w:r>
                    <w:rPr>
                      <w:rFonts w:hint="default" w:ascii="Times New Roman" w:hAnsi="Times New Roman" w:cs="Times New Roman"/>
                      <w:color w:val="auto"/>
                      <w:kern w:val="2"/>
                      <w:sz w:val="21"/>
                      <w:szCs w:val="21"/>
                    </w:rPr>
                    <w:t>套</w:t>
                  </w: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5C3381F7">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979" w:type="dxa"/>
                  <w:vMerge w:val="continue"/>
                  <w:tcBorders>
                    <w:top w:val="single" w:color="auto" w:sz="4" w:space="0"/>
                    <w:left w:val="single" w:color="auto" w:sz="4" w:space="0"/>
                    <w:bottom w:val="single" w:color="auto" w:sz="4" w:space="0"/>
                    <w:right w:val="nil"/>
                  </w:tcBorders>
                  <w:vAlign w:val="center"/>
                </w:tcPr>
                <w:p w14:paraId="078E3B3A">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r>
            <w:tr w14:paraId="7EB952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9" w:type="dxa"/>
                  <w:tcBorders>
                    <w:top w:val="single" w:color="auto" w:sz="4" w:space="0"/>
                    <w:left w:val="nil"/>
                    <w:bottom w:val="single" w:color="auto" w:sz="4" w:space="0"/>
                    <w:right w:val="single" w:color="auto" w:sz="4" w:space="0"/>
                  </w:tcBorders>
                  <w:noWrap/>
                  <w:vAlign w:val="center"/>
                </w:tcPr>
                <w:p w14:paraId="1B20D30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4</w:t>
                  </w:r>
                </w:p>
              </w:tc>
              <w:tc>
                <w:tcPr>
                  <w:tcW w:w="1074" w:type="dxa"/>
                  <w:tcBorders>
                    <w:top w:val="single" w:color="auto" w:sz="4" w:space="0"/>
                    <w:left w:val="single" w:color="auto" w:sz="4" w:space="0"/>
                    <w:bottom w:val="single" w:color="auto" w:sz="4" w:space="0"/>
                    <w:right w:val="single" w:color="auto" w:sz="4" w:space="0"/>
                  </w:tcBorders>
                  <w:vAlign w:val="center"/>
                </w:tcPr>
                <w:p w14:paraId="2F1383D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EM1</w:t>
                  </w:r>
                  <w:r>
                    <w:rPr>
                      <w:rFonts w:hint="default" w:ascii="Times New Roman" w:hAnsi="Times New Roman" w:cs="Times New Roman"/>
                      <w:color w:val="auto"/>
                      <w:kern w:val="2"/>
                      <w:sz w:val="21"/>
                      <w:szCs w:val="21"/>
                    </w:rPr>
                    <w:t>电机</w:t>
                  </w:r>
                </w:p>
              </w:tc>
              <w:tc>
                <w:tcPr>
                  <w:tcW w:w="1291" w:type="dxa"/>
                  <w:tcBorders>
                    <w:top w:val="single" w:color="auto" w:sz="4" w:space="0"/>
                    <w:left w:val="single" w:color="auto" w:sz="4" w:space="0"/>
                    <w:bottom w:val="single" w:color="auto" w:sz="4" w:space="0"/>
                    <w:right w:val="single" w:color="auto" w:sz="4" w:space="0"/>
                  </w:tcBorders>
                  <w:noWrap/>
                  <w:vAlign w:val="center"/>
                </w:tcPr>
                <w:p w14:paraId="7DA8E20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w:t>
                  </w:r>
                  <w:r>
                    <w:rPr>
                      <w:rFonts w:hint="default" w:ascii="Times New Roman" w:hAnsi="Times New Roman" w:cs="Times New Roman"/>
                      <w:color w:val="auto"/>
                      <w:kern w:val="2"/>
                      <w:sz w:val="21"/>
                      <w:szCs w:val="21"/>
                    </w:rPr>
                    <w:t>万套</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14:paraId="4283008C">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eastAsiaTheme="minorEastAsia"/>
                      <w:color w:val="auto"/>
                      <w:kern w:val="2"/>
                      <w:sz w:val="21"/>
                      <w:szCs w:val="21"/>
                    </w:rPr>
                    <w:t>2</w:t>
                  </w:r>
                  <w:r>
                    <w:rPr>
                      <w:rFonts w:hint="eastAsia" w:ascii="Times New Roman" w:hAnsi="Times New Roman" w:cs="Times New Roman" w:eastAsiaTheme="minorEastAsia"/>
                      <w:color w:val="auto"/>
                      <w:kern w:val="2"/>
                      <w:sz w:val="21"/>
                      <w:szCs w:val="21"/>
                    </w:rPr>
                    <w:t>5</w:t>
                  </w:r>
                  <w:r>
                    <w:rPr>
                      <w:rFonts w:hint="default" w:ascii="Times New Roman" w:hAnsi="Times New Roman" w:cs="Times New Roman"/>
                      <w:color w:val="auto"/>
                      <w:kern w:val="2"/>
                      <w:sz w:val="21"/>
                      <w:szCs w:val="21"/>
                    </w:rPr>
                    <w:t>万套</w:t>
                  </w:r>
                </w:p>
              </w:tc>
              <w:tc>
                <w:tcPr>
                  <w:tcW w:w="854" w:type="dxa"/>
                  <w:tcBorders>
                    <w:top w:val="single" w:color="auto" w:sz="4" w:space="0"/>
                    <w:left w:val="single" w:color="auto" w:sz="4" w:space="0"/>
                    <w:bottom w:val="single" w:color="auto" w:sz="4" w:space="0"/>
                    <w:right w:val="single" w:color="auto" w:sz="4" w:space="0"/>
                  </w:tcBorders>
                  <w:noWrap/>
                  <w:vAlign w:val="center"/>
                </w:tcPr>
                <w:p w14:paraId="4D9F90A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50</w:t>
                  </w:r>
                  <w:r>
                    <w:rPr>
                      <w:rFonts w:hint="default" w:ascii="Times New Roman" w:hAnsi="Times New Roman" w:cs="Times New Roman"/>
                      <w:color w:val="auto"/>
                      <w:kern w:val="2"/>
                      <w:sz w:val="21"/>
                      <w:szCs w:val="21"/>
                    </w:rPr>
                    <w:t>件</w:t>
                  </w:r>
                  <w:r>
                    <w:rPr>
                      <w:rFonts w:hint="default" w:ascii="Times New Roman" w:hAnsi="Times New Roman" w:eastAsia="Times New Roman" w:cs="Times New Roman"/>
                      <w:color w:val="auto"/>
                      <w:kern w:val="2"/>
                      <w:sz w:val="21"/>
                      <w:szCs w:val="21"/>
                    </w:rPr>
                    <w:t>/</w:t>
                  </w:r>
                  <w:r>
                    <w:rPr>
                      <w:rFonts w:hint="default" w:ascii="Times New Roman" w:hAnsi="Times New Roman" w:cs="Times New Roman"/>
                      <w:color w:val="auto"/>
                      <w:kern w:val="2"/>
                      <w:sz w:val="21"/>
                      <w:szCs w:val="21"/>
                    </w:rPr>
                    <w:t>箱</w:t>
                  </w:r>
                </w:p>
              </w:tc>
              <w:tc>
                <w:tcPr>
                  <w:tcW w:w="854" w:type="dxa"/>
                  <w:tcBorders>
                    <w:top w:val="single" w:color="auto" w:sz="4" w:space="0"/>
                    <w:left w:val="single" w:color="auto" w:sz="4" w:space="0"/>
                    <w:bottom w:val="single" w:color="auto" w:sz="4" w:space="0"/>
                    <w:right w:val="single" w:color="auto" w:sz="4" w:space="0"/>
                  </w:tcBorders>
                  <w:noWrap/>
                  <w:vAlign w:val="center"/>
                </w:tcPr>
                <w:p w14:paraId="6A3EE26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纸箱</w:t>
                  </w:r>
                </w:p>
              </w:tc>
              <w:tc>
                <w:tcPr>
                  <w:tcW w:w="765" w:type="dxa"/>
                  <w:tcBorders>
                    <w:top w:val="single" w:color="auto" w:sz="4" w:space="0"/>
                    <w:left w:val="single" w:color="auto" w:sz="4" w:space="0"/>
                    <w:bottom w:val="single" w:color="auto" w:sz="4" w:space="0"/>
                    <w:right w:val="single" w:color="auto" w:sz="4" w:space="0"/>
                  </w:tcBorders>
                  <w:noWrap/>
                  <w:vAlign w:val="center"/>
                </w:tcPr>
                <w:p w14:paraId="2050226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w:t>
                  </w:r>
                  <w:r>
                    <w:rPr>
                      <w:rFonts w:hint="eastAsia" w:ascii="Times New Roman" w:hAnsi="Times New Roman" w:cs="Times New Roman"/>
                      <w:color w:val="auto"/>
                      <w:kern w:val="2"/>
                      <w:sz w:val="21"/>
                      <w:szCs w:val="21"/>
                    </w:rPr>
                    <w:t>5</w:t>
                  </w:r>
                  <w:r>
                    <w:rPr>
                      <w:rFonts w:hint="default" w:ascii="Times New Roman" w:hAnsi="Times New Roman" w:eastAsia="Times New Roman" w:cs="Times New Roman"/>
                      <w:color w:val="auto"/>
                      <w:kern w:val="2"/>
                      <w:sz w:val="21"/>
                      <w:szCs w:val="21"/>
                    </w:rPr>
                    <w:t>00</w:t>
                  </w:r>
                  <w:r>
                    <w:rPr>
                      <w:rFonts w:hint="default" w:ascii="Times New Roman" w:hAnsi="Times New Roman" w:cs="Times New Roman"/>
                      <w:color w:val="auto"/>
                      <w:kern w:val="2"/>
                      <w:sz w:val="21"/>
                      <w:szCs w:val="21"/>
                    </w:rPr>
                    <w:t>套</w:t>
                  </w: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6D7E90EF">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979" w:type="dxa"/>
                  <w:vMerge w:val="continue"/>
                  <w:tcBorders>
                    <w:top w:val="single" w:color="auto" w:sz="4" w:space="0"/>
                    <w:left w:val="single" w:color="auto" w:sz="4" w:space="0"/>
                    <w:bottom w:val="single" w:color="auto" w:sz="4" w:space="0"/>
                    <w:right w:val="nil"/>
                  </w:tcBorders>
                  <w:vAlign w:val="center"/>
                </w:tcPr>
                <w:p w14:paraId="70B0F249">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r>
            <w:tr w14:paraId="3D827F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9" w:type="dxa"/>
                  <w:tcBorders>
                    <w:top w:val="single" w:color="auto" w:sz="4" w:space="0"/>
                    <w:left w:val="nil"/>
                    <w:bottom w:val="single" w:color="auto" w:sz="4" w:space="0"/>
                    <w:right w:val="single" w:color="auto" w:sz="4" w:space="0"/>
                  </w:tcBorders>
                  <w:noWrap/>
                  <w:vAlign w:val="center"/>
                </w:tcPr>
                <w:p w14:paraId="037DD21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5</w:t>
                  </w:r>
                </w:p>
              </w:tc>
              <w:tc>
                <w:tcPr>
                  <w:tcW w:w="1074" w:type="dxa"/>
                  <w:tcBorders>
                    <w:top w:val="single" w:color="auto" w:sz="4" w:space="0"/>
                    <w:left w:val="single" w:color="auto" w:sz="4" w:space="0"/>
                    <w:bottom w:val="single" w:color="auto" w:sz="4" w:space="0"/>
                    <w:right w:val="single" w:color="auto" w:sz="4" w:space="0"/>
                  </w:tcBorders>
                  <w:vAlign w:val="center"/>
                </w:tcPr>
                <w:p w14:paraId="29DE508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EM2</w:t>
                  </w:r>
                  <w:r>
                    <w:rPr>
                      <w:rFonts w:hint="default" w:ascii="Times New Roman" w:hAnsi="Times New Roman" w:cs="Times New Roman"/>
                      <w:color w:val="auto"/>
                      <w:kern w:val="2"/>
                      <w:sz w:val="21"/>
                      <w:szCs w:val="21"/>
                    </w:rPr>
                    <w:t>电机</w:t>
                  </w:r>
                </w:p>
              </w:tc>
              <w:tc>
                <w:tcPr>
                  <w:tcW w:w="1291" w:type="dxa"/>
                  <w:tcBorders>
                    <w:top w:val="single" w:color="auto" w:sz="4" w:space="0"/>
                    <w:left w:val="single" w:color="auto" w:sz="4" w:space="0"/>
                    <w:bottom w:val="single" w:color="auto" w:sz="4" w:space="0"/>
                    <w:right w:val="single" w:color="auto" w:sz="4" w:space="0"/>
                  </w:tcBorders>
                  <w:noWrap/>
                  <w:vAlign w:val="center"/>
                </w:tcPr>
                <w:p w14:paraId="7596F7C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w:t>
                  </w:r>
                  <w:r>
                    <w:rPr>
                      <w:rFonts w:hint="default" w:ascii="Times New Roman" w:hAnsi="Times New Roman" w:cs="Times New Roman"/>
                      <w:color w:val="auto"/>
                      <w:kern w:val="2"/>
                      <w:sz w:val="21"/>
                      <w:szCs w:val="21"/>
                    </w:rPr>
                    <w:t>万套</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14:paraId="53AA3672">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eastAsiaTheme="minorEastAsia"/>
                      <w:color w:val="auto"/>
                      <w:kern w:val="2"/>
                      <w:sz w:val="21"/>
                      <w:szCs w:val="21"/>
                    </w:rPr>
                    <w:t>2</w:t>
                  </w:r>
                  <w:r>
                    <w:rPr>
                      <w:rFonts w:hint="eastAsia" w:ascii="Times New Roman" w:hAnsi="Times New Roman" w:cs="Times New Roman" w:eastAsiaTheme="minorEastAsia"/>
                      <w:color w:val="auto"/>
                      <w:kern w:val="2"/>
                      <w:sz w:val="21"/>
                      <w:szCs w:val="21"/>
                    </w:rPr>
                    <w:t>5</w:t>
                  </w:r>
                  <w:r>
                    <w:rPr>
                      <w:rFonts w:hint="default" w:ascii="Times New Roman" w:hAnsi="Times New Roman" w:cs="Times New Roman"/>
                      <w:color w:val="auto"/>
                      <w:kern w:val="2"/>
                      <w:sz w:val="21"/>
                      <w:szCs w:val="21"/>
                    </w:rPr>
                    <w:t>万套</w:t>
                  </w:r>
                </w:p>
              </w:tc>
              <w:tc>
                <w:tcPr>
                  <w:tcW w:w="854" w:type="dxa"/>
                  <w:tcBorders>
                    <w:top w:val="single" w:color="auto" w:sz="4" w:space="0"/>
                    <w:left w:val="single" w:color="auto" w:sz="4" w:space="0"/>
                    <w:bottom w:val="single" w:color="auto" w:sz="4" w:space="0"/>
                    <w:right w:val="single" w:color="auto" w:sz="4" w:space="0"/>
                  </w:tcBorders>
                  <w:noWrap/>
                  <w:vAlign w:val="center"/>
                </w:tcPr>
                <w:p w14:paraId="3DC1368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50</w:t>
                  </w:r>
                  <w:r>
                    <w:rPr>
                      <w:rFonts w:hint="default" w:ascii="Times New Roman" w:hAnsi="Times New Roman" w:cs="Times New Roman"/>
                      <w:color w:val="auto"/>
                      <w:kern w:val="2"/>
                      <w:sz w:val="21"/>
                      <w:szCs w:val="21"/>
                    </w:rPr>
                    <w:t>件</w:t>
                  </w:r>
                  <w:r>
                    <w:rPr>
                      <w:rFonts w:hint="default" w:ascii="Times New Roman" w:hAnsi="Times New Roman" w:eastAsia="Times New Roman" w:cs="Times New Roman"/>
                      <w:color w:val="auto"/>
                      <w:kern w:val="2"/>
                      <w:sz w:val="21"/>
                      <w:szCs w:val="21"/>
                    </w:rPr>
                    <w:t>/</w:t>
                  </w:r>
                  <w:r>
                    <w:rPr>
                      <w:rFonts w:hint="default" w:ascii="Times New Roman" w:hAnsi="Times New Roman" w:cs="Times New Roman"/>
                      <w:color w:val="auto"/>
                      <w:kern w:val="2"/>
                      <w:sz w:val="21"/>
                      <w:szCs w:val="21"/>
                    </w:rPr>
                    <w:t>箱</w:t>
                  </w:r>
                </w:p>
              </w:tc>
              <w:tc>
                <w:tcPr>
                  <w:tcW w:w="854" w:type="dxa"/>
                  <w:tcBorders>
                    <w:top w:val="single" w:color="auto" w:sz="4" w:space="0"/>
                    <w:left w:val="single" w:color="auto" w:sz="4" w:space="0"/>
                    <w:bottom w:val="single" w:color="auto" w:sz="4" w:space="0"/>
                    <w:right w:val="single" w:color="auto" w:sz="4" w:space="0"/>
                  </w:tcBorders>
                  <w:noWrap/>
                  <w:vAlign w:val="center"/>
                </w:tcPr>
                <w:p w14:paraId="2C73C32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纸箱</w:t>
                  </w:r>
                </w:p>
              </w:tc>
              <w:tc>
                <w:tcPr>
                  <w:tcW w:w="765" w:type="dxa"/>
                  <w:tcBorders>
                    <w:top w:val="single" w:color="auto" w:sz="4" w:space="0"/>
                    <w:left w:val="single" w:color="auto" w:sz="4" w:space="0"/>
                    <w:bottom w:val="single" w:color="auto" w:sz="4" w:space="0"/>
                    <w:right w:val="single" w:color="auto" w:sz="4" w:space="0"/>
                  </w:tcBorders>
                  <w:noWrap/>
                  <w:vAlign w:val="center"/>
                </w:tcPr>
                <w:p w14:paraId="5EF4E86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w:t>
                  </w:r>
                  <w:r>
                    <w:rPr>
                      <w:rFonts w:hint="eastAsia" w:ascii="Times New Roman" w:hAnsi="Times New Roman" w:cs="Times New Roman"/>
                      <w:color w:val="auto"/>
                      <w:kern w:val="2"/>
                      <w:sz w:val="21"/>
                      <w:szCs w:val="21"/>
                    </w:rPr>
                    <w:t>5</w:t>
                  </w:r>
                  <w:r>
                    <w:rPr>
                      <w:rFonts w:hint="default" w:ascii="Times New Roman" w:hAnsi="Times New Roman" w:eastAsia="Times New Roman" w:cs="Times New Roman"/>
                      <w:color w:val="auto"/>
                      <w:kern w:val="2"/>
                      <w:sz w:val="21"/>
                      <w:szCs w:val="21"/>
                    </w:rPr>
                    <w:t>00</w:t>
                  </w:r>
                  <w:r>
                    <w:rPr>
                      <w:rFonts w:hint="default" w:ascii="Times New Roman" w:hAnsi="Times New Roman" w:cs="Times New Roman"/>
                      <w:color w:val="auto"/>
                      <w:kern w:val="2"/>
                      <w:sz w:val="21"/>
                      <w:szCs w:val="21"/>
                    </w:rPr>
                    <w:t>套</w:t>
                  </w: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0182B809">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979" w:type="dxa"/>
                  <w:vMerge w:val="continue"/>
                  <w:tcBorders>
                    <w:top w:val="single" w:color="auto" w:sz="4" w:space="0"/>
                    <w:left w:val="single" w:color="auto" w:sz="4" w:space="0"/>
                    <w:bottom w:val="single" w:color="auto" w:sz="4" w:space="0"/>
                    <w:right w:val="nil"/>
                  </w:tcBorders>
                  <w:vAlign w:val="center"/>
                </w:tcPr>
                <w:p w14:paraId="24664D87">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r>
            <w:tr w14:paraId="1FDA3A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9" w:type="dxa"/>
                  <w:tcBorders>
                    <w:top w:val="single" w:color="auto" w:sz="4" w:space="0"/>
                    <w:left w:val="nil"/>
                    <w:bottom w:val="single" w:color="auto" w:sz="4" w:space="0"/>
                    <w:right w:val="single" w:color="auto" w:sz="4" w:space="0"/>
                  </w:tcBorders>
                  <w:noWrap/>
                  <w:vAlign w:val="center"/>
                </w:tcPr>
                <w:p w14:paraId="4113FB7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6</w:t>
                  </w:r>
                </w:p>
              </w:tc>
              <w:tc>
                <w:tcPr>
                  <w:tcW w:w="1074" w:type="dxa"/>
                  <w:tcBorders>
                    <w:top w:val="single" w:color="auto" w:sz="4" w:space="0"/>
                    <w:left w:val="single" w:color="auto" w:sz="4" w:space="0"/>
                    <w:bottom w:val="single" w:color="auto" w:sz="4" w:space="0"/>
                    <w:right w:val="single" w:color="auto" w:sz="4" w:space="0"/>
                  </w:tcBorders>
                  <w:vAlign w:val="center"/>
                </w:tcPr>
                <w:p w14:paraId="514120D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壳体</w:t>
                  </w:r>
                </w:p>
              </w:tc>
              <w:tc>
                <w:tcPr>
                  <w:tcW w:w="1291" w:type="dxa"/>
                  <w:tcBorders>
                    <w:top w:val="single" w:color="auto" w:sz="4" w:space="0"/>
                    <w:left w:val="single" w:color="auto" w:sz="4" w:space="0"/>
                    <w:bottom w:val="single" w:color="auto" w:sz="4" w:space="0"/>
                    <w:right w:val="single" w:color="auto" w:sz="4" w:space="0"/>
                  </w:tcBorders>
                  <w:noWrap/>
                  <w:vAlign w:val="center"/>
                </w:tcPr>
                <w:p w14:paraId="248EE44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w:t>
                  </w:r>
                  <w:r>
                    <w:rPr>
                      <w:rFonts w:hint="default" w:ascii="Times New Roman" w:hAnsi="Times New Roman" w:cs="Times New Roman"/>
                      <w:color w:val="auto"/>
                      <w:kern w:val="2"/>
                      <w:sz w:val="21"/>
                      <w:szCs w:val="21"/>
                    </w:rPr>
                    <w:t>万套</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14:paraId="1A4B0CEB">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eastAsiaTheme="minorEastAsia"/>
                      <w:color w:val="auto"/>
                      <w:kern w:val="2"/>
                      <w:sz w:val="21"/>
                      <w:szCs w:val="21"/>
                    </w:rPr>
                    <w:t>2</w:t>
                  </w:r>
                  <w:r>
                    <w:rPr>
                      <w:rFonts w:hint="eastAsia" w:ascii="Times New Roman" w:hAnsi="Times New Roman" w:cs="Times New Roman" w:eastAsiaTheme="minorEastAsia"/>
                      <w:color w:val="auto"/>
                      <w:kern w:val="2"/>
                      <w:sz w:val="21"/>
                      <w:szCs w:val="21"/>
                    </w:rPr>
                    <w:t>5</w:t>
                  </w:r>
                  <w:r>
                    <w:rPr>
                      <w:rFonts w:hint="default" w:ascii="Times New Roman" w:hAnsi="Times New Roman" w:cs="Times New Roman"/>
                      <w:color w:val="auto"/>
                      <w:kern w:val="2"/>
                      <w:sz w:val="21"/>
                      <w:szCs w:val="21"/>
                    </w:rPr>
                    <w:t>万套</w:t>
                  </w:r>
                </w:p>
              </w:tc>
              <w:tc>
                <w:tcPr>
                  <w:tcW w:w="854" w:type="dxa"/>
                  <w:tcBorders>
                    <w:top w:val="single" w:color="auto" w:sz="4" w:space="0"/>
                    <w:left w:val="single" w:color="auto" w:sz="4" w:space="0"/>
                    <w:bottom w:val="single" w:color="auto" w:sz="4" w:space="0"/>
                    <w:right w:val="single" w:color="auto" w:sz="4" w:space="0"/>
                  </w:tcBorders>
                  <w:noWrap/>
                  <w:vAlign w:val="center"/>
                </w:tcPr>
                <w:p w14:paraId="5B8488B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100</w:t>
                  </w:r>
                  <w:r>
                    <w:rPr>
                      <w:rFonts w:hint="default" w:ascii="Times New Roman" w:hAnsi="Times New Roman" w:cs="Times New Roman"/>
                      <w:color w:val="auto"/>
                      <w:kern w:val="2"/>
                      <w:sz w:val="21"/>
                      <w:szCs w:val="21"/>
                    </w:rPr>
                    <w:t>件</w:t>
                  </w:r>
                  <w:r>
                    <w:rPr>
                      <w:rFonts w:hint="default" w:ascii="Times New Roman" w:hAnsi="Times New Roman" w:eastAsia="Times New Roman" w:cs="Times New Roman"/>
                      <w:color w:val="auto"/>
                      <w:kern w:val="2"/>
                      <w:sz w:val="21"/>
                      <w:szCs w:val="21"/>
                    </w:rPr>
                    <w:t>/</w:t>
                  </w:r>
                  <w:r>
                    <w:rPr>
                      <w:rFonts w:hint="default" w:ascii="Times New Roman" w:hAnsi="Times New Roman" w:cs="Times New Roman"/>
                      <w:color w:val="auto"/>
                      <w:kern w:val="2"/>
                      <w:sz w:val="21"/>
                      <w:szCs w:val="21"/>
                    </w:rPr>
                    <w:t>箱</w:t>
                  </w:r>
                </w:p>
              </w:tc>
              <w:tc>
                <w:tcPr>
                  <w:tcW w:w="854" w:type="dxa"/>
                  <w:tcBorders>
                    <w:top w:val="single" w:color="auto" w:sz="4" w:space="0"/>
                    <w:left w:val="single" w:color="auto" w:sz="4" w:space="0"/>
                    <w:bottom w:val="single" w:color="auto" w:sz="4" w:space="0"/>
                    <w:right w:val="single" w:color="auto" w:sz="4" w:space="0"/>
                  </w:tcBorders>
                  <w:noWrap/>
                  <w:vAlign w:val="center"/>
                </w:tcPr>
                <w:p w14:paraId="1F8BC84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纸箱</w:t>
                  </w:r>
                </w:p>
              </w:tc>
              <w:tc>
                <w:tcPr>
                  <w:tcW w:w="765" w:type="dxa"/>
                  <w:tcBorders>
                    <w:top w:val="single" w:color="auto" w:sz="4" w:space="0"/>
                    <w:left w:val="single" w:color="auto" w:sz="4" w:space="0"/>
                    <w:bottom w:val="single" w:color="auto" w:sz="4" w:space="0"/>
                    <w:right w:val="single" w:color="auto" w:sz="4" w:space="0"/>
                  </w:tcBorders>
                  <w:noWrap/>
                  <w:vAlign w:val="center"/>
                </w:tcPr>
                <w:p w14:paraId="3D82DC9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w:t>
                  </w:r>
                  <w:r>
                    <w:rPr>
                      <w:rFonts w:hint="eastAsia" w:ascii="Times New Roman" w:hAnsi="Times New Roman" w:cs="Times New Roman"/>
                      <w:color w:val="auto"/>
                      <w:kern w:val="2"/>
                      <w:sz w:val="21"/>
                      <w:szCs w:val="21"/>
                    </w:rPr>
                    <w:t>5</w:t>
                  </w:r>
                  <w:r>
                    <w:rPr>
                      <w:rFonts w:hint="default" w:ascii="Times New Roman" w:hAnsi="Times New Roman" w:eastAsia="Times New Roman" w:cs="Times New Roman"/>
                      <w:color w:val="auto"/>
                      <w:kern w:val="2"/>
                      <w:sz w:val="21"/>
                      <w:szCs w:val="21"/>
                    </w:rPr>
                    <w:t>00</w:t>
                  </w:r>
                  <w:r>
                    <w:rPr>
                      <w:rFonts w:hint="default" w:ascii="Times New Roman" w:hAnsi="Times New Roman" w:cs="Times New Roman"/>
                      <w:color w:val="auto"/>
                      <w:kern w:val="2"/>
                      <w:sz w:val="21"/>
                      <w:szCs w:val="21"/>
                    </w:rPr>
                    <w:t>套</w:t>
                  </w: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40CFF973">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979" w:type="dxa"/>
                  <w:vMerge w:val="continue"/>
                  <w:tcBorders>
                    <w:top w:val="single" w:color="auto" w:sz="4" w:space="0"/>
                    <w:left w:val="single" w:color="auto" w:sz="4" w:space="0"/>
                    <w:bottom w:val="single" w:color="auto" w:sz="4" w:space="0"/>
                    <w:right w:val="nil"/>
                  </w:tcBorders>
                  <w:vAlign w:val="center"/>
                </w:tcPr>
                <w:p w14:paraId="673393AE">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r>
            <w:tr w14:paraId="1F475C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9" w:type="dxa"/>
                  <w:tcBorders>
                    <w:top w:val="single" w:color="auto" w:sz="4" w:space="0"/>
                    <w:left w:val="nil"/>
                    <w:bottom w:val="single" w:color="auto" w:sz="4" w:space="0"/>
                    <w:right w:val="single" w:color="auto" w:sz="4" w:space="0"/>
                  </w:tcBorders>
                  <w:noWrap/>
                  <w:vAlign w:val="center"/>
                </w:tcPr>
                <w:p w14:paraId="14AAB7B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7</w:t>
                  </w:r>
                </w:p>
              </w:tc>
              <w:tc>
                <w:tcPr>
                  <w:tcW w:w="1074" w:type="dxa"/>
                  <w:tcBorders>
                    <w:top w:val="single" w:color="auto" w:sz="4" w:space="0"/>
                    <w:left w:val="single" w:color="auto" w:sz="4" w:space="0"/>
                    <w:bottom w:val="single" w:color="auto" w:sz="4" w:space="0"/>
                    <w:right w:val="single" w:color="auto" w:sz="4" w:space="0"/>
                  </w:tcBorders>
                  <w:vAlign w:val="center"/>
                </w:tcPr>
                <w:p w14:paraId="2AADB73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轴齿</w:t>
                  </w:r>
                </w:p>
              </w:tc>
              <w:tc>
                <w:tcPr>
                  <w:tcW w:w="1291" w:type="dxa"/>
                  <w:tcBorders>
                    <w:top w:val="single" w:color="auto" w:sz="4" w:space="0"/>
                    <w:left w:val="single" w:color="auto" w:sz="4" w:space="0"/>
                    <w:bottom w:val="single" w:color="auto" w:sz="4" w:space="0"/>
                    <w:right w:val="single" w:color="auto" w:sz="4" w:space="0"/>
                  </w:tcBorders>
                  <w:noWrap/>
                  <w:vAlign w:val="center"/>
                </w:tcPr>
                <w:p w14:paraId="2343BAA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w:t>
                  </w:r>
                  <w:r>
                    <w:rPr>
                      <w:rFonts w:hint="default" w:ascii="Times New Roman" w:hAnsi="Times New Roman" w:cs="Times New Roman"/>
                      <w:color w:val="auto"/>
                      <w:kern w:val="2"/>
                      <w:sz w:val="21"/>
                      <w:szCs w:val="21"/>
                    </w:rPr>
                    <w:t>万套</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14:paraId="399AA3BA">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eastAsiaTheme="minorEastAsia"/>
                      <w:color w:val="auto"/>
                      <w:kern w:val="2"/>
                      <w:sz w:val="21"/>
                      <w:szCs w:val="21"/>
                    </w:rPr>
                    <w:t>2</w:t>
                  </w:r>
                  <w:r>
                    <w:rPr>
                      <w:rFonts w:hint="eastAsia" w:ascii="Times New Roman" w:hAnsi="Times New Roman" w:cs="Times New Roman" w:eastAsiaTheme="minorEastAsia"/>
                      <w:color w:val="auto"/>
                      <w:kern w:val="2"/>
                      <w:sz w:val="21"/>
                      <w:szCs w:val="21"/>
                    </w:rPr>
                    <w:t>5</w:t>
                  </w:r>
                  <w:r>
                    <w:rPr>
                      <w:rFonts w:hint="default" w:ascii="Times New Roman" w:hAnsi="Times New Roman" w:cs="Times New Roman"/>
                      <w:color w:val="auto"/>
                      <w:kern w:val="2"/>
                      <w:sz w:val="21"/>
                      <w:szCs w:val="21"/>
                    </w:rPr>
                    <w:t>万套</w:t>
                  </w:r>
                </w:p>
              </w:tc>
              <w:tc>
                <w:tcPr>
                  <w:tcW w:w="854" w:type="dxa"/>
                  <w:tcBorders>
                    <w:top w:val="single" w:color="auto" w:sz="4" w:space="0"/>
                    <w:left w:val="single" w:color="auto" w:sz="4" w:space="0"/>
                    <w:bottom w:val="single" w:color="auto" w:sz="4" w:space="0"/>
                    <w:right w:val="single" w:color="auto" w:sz="4" w:space="0"/>
                  </w:tcBorders>
                  <w:noWrap/>
                  <w:vAlign w:val="center"/>
                </w:tcPr>
                <w:p w14:paraId="4CEC10F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200</w:t>
                  </w:r>
                  <w:r>
                    <w:rPr>
                      <w:rFonts w:hint="default" w:ascii="Times New Roman" w:hAnsi="Times New Roman" w:cs="Times New Roman"/>
                      <w:color w:val="auto"/>
                      <w:kern w:val="2"/>
                      <w:sz w:val="21"/>
                      <w:szCs w:val="21"/>
                    </w:rPr>
                    <w:t>件</w:t>
                  </w:r>
                  <w:r>
                    <w:rPr>
                      <w:rFonts w:hint="default" w:ascii="Times New Roman" w:hAnsi="Times New Roman" w:eastAsia="Times New Roman" w:cs="Times New Roman"/>
                      <w:color w:val="auto"/>
                      <w:kern w:val="2"/>
                      <w:sz w:val="21"/>
                      <w:szCs w:val="21"/>
                    </w:rPr>
                    <w:t>/</w:t>
                  </w:r>
                  <w:r>
                    <w:rPr>
                      <w:rFonts w:hint="default" w:ascii="Times New Roman" w:hAnsi="Times New Roman" w:cs="Times New Roman"/>
                      <w:color w:val="auto"/>
                      <w:kern w:val="2"/>
                      <w:sz w:val="21"/>
                      <w:szCs w:val="21"/>
                    </w:rPr>
                    <w:t>箱</w:t>
                  </w:r>
                </w:p>
              </w:tc>
              <w:tc>
                <w:tcPr>
                  <w:tcW w:w="854" w:type="dxa"/>
                  <w:tcBorders>
                    <w:top w:val="single" w:color="auto" w:sz="4" w:space="0"/>
                    <w:left w:val="single" w:color="auto" w:sz="4" w:space="0"/>
                    <w:bottom w:val="single" w:color="auto" w:sz="4" w:space="0"/>
                    <w:right w:val="single" w:color="auto" w:sz="4" w:space="0"/>
                  </w:tcBorders>
                  <w:noWrap/>
                  <w:vAlign w:val="center"/>
                </w:tcPr>
                <w:p w14:paraId="38EC423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纸箱</w:t>
                  </w:r>
                </w:p>
              </w:tc>
              <w:tc>
                <w:tcPr>
                  <w:tcW w:w="765" w:type="dxa"/>
                  <w:tcBorders>
                    <w:top w:val="single" w:color="auto" w:sz="4" w:space="0"/>
                    <w:left w:val="single" w:color="auto" w:sz="4" w:space="0"/>
                    <w:bottom w:val="single" w:color="auto" w:sz="4" w:space="0"/>
                    <w:right w:val="single" w:color="auto" w:sz="4" w:space="0"/>
                  </w:tcBorders>
                  <w:noWrap/>
                  <w:vAlign w:val="center"/>
                </w:tcPr>
                <w:p w14:paraId="59E4E9A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w:t>
                  </w:r>
                  <w:r>
                    <w:rPr>
                      <w:rFonts w:hint="eastAsia" w:ascii="Times New Roman" w:hAnsi="Times New Roman" w:cs="Times New Roman"/>
                      <w:color w:val="auto"/>
                      <w:kern w:val="2"/>
                      <w:sz w:val="21"/>
                      <w:szCs w:val="21"/>
                    </w:rPr>
                    <w:t>5</w:t>
                  </w:r>
                  <w:r>
                    <w:rPr>
                      <w:rFonts w:hint="default" w:ascii="Times New Roman" w:hAnsi="Times New Roman" w:eastAsia="Times New Roman" w:cs="Times New Roman"/>
                      <w:color w:val="auto"/>
                      <w:kern w:val="2"/>
                      <w:sz w:val="21"/>
                      <w:szCs w:val="21"/>
                    </w:rPr>
                    <w:t>00</w:t>
                  </w:r>
                  <w:r>
                    <w:rPr>
                      <w:rFonts w:hint="default" w:ascii="Times New Roman" w:hAnsi="Times New Roman" w:cs="Times New Roman"/>
                      <w:color w:val="auto"/>
                      <w:kern w:val="2"/>
                      <w:sz w:val="21"/>
                      <w:szCs w:val="21"/>
                    </w:rPr>
                    <w:t>套</w:t>
                  </w: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46578A08">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979" w:type="dxa"/>
                  <w:vMerge w:val="restart"/>
                  <w:tcBorders>
                    <w:top w:val="single" w:color="auto" w:sz="4" w:space="0"/>
                    <w:left w:val="single" w:color="auto" w:sz="4" w:space="0"/>
                    <w:bottom w:val="single" w:color="auto" w:sz="4" w:space="0"/>
                    <w:right w:val="nil"/>
                  </w:tcBorders>
                  <w:vAlign w:val="center"/>
                </w:tcPr>
                <w:p w14:paraId="50A5D79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轴系线</w:t>
                  </w:r>
                </w:p>
              </w:tc>
            </w:tr>
            <w:tr w14:paraId="41C760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9" w:type="dxa"/>
                  <w:tcBorders>
                    <w:top w:val="single" w:color="auto" w:sz="4" w:space="0"/>
                    <w:left w:val="nil"/>
                    <w:bottom w:val="single" w:color="auto" w:sz="4" w:space="0"/>
                    <w:right w:val="single" w:color="auto" w:sz="4" w:space="0"/>
                  </w:tcBorders>
                  <w:noWrap/>
                  <w:vAlign w:val="center"/>
                </w:tcPr>
                <w:p w14:paraId="5EAD5D8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8</w:t>
                  </w:r>
                </w:p>
              </w:tc>
              <w:tc>
                <w:tcPr>
                  <w:tcW w:w="1074" w:type="dxa"/>
                  <w:tcBorders>
                    <w:top w:val="single" w:color="auto" w:sz="4" w:space="0"/>
                    <w:left w:val="single" w:color="auto" w:sz="4" w:space="0"/>
                    <w:bottom w:val="single" w:color="auto" w:sz="4" w:space="0"/>
                    <w:right w:val="single" w:color="auto" w:sz="4" w:space="0"/>
                  </w:tcBorders>
                  <w:vAlign w:val="center"/>
                </w:tcPr>
                <w:p w14:paraId="7195E09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轴承</w:t>
                  </w:r>
                </w:p>
              </w:tc>
              <w:tc>
                <w:tcPr>
                  <w:tcW w:w="1291" w:type="dxa"/>
                  <w:tcBorders>
                    <w:top w:val="single" w:color="auto" w:sz="4" w:space="0"/>
                    <w:left w:val="single" w:color="auto" w:sz="4" w:space="0"/>
                    <w:bottom w:val="single" w:color="auto" w:sz="4" w:space="0"/>
                    <w:right w:val="single" w:color="auto" w:sz="4" w:space="0"/>
                  </w:tcBorders>
                  <w:noWrap/>
                  <w:vAlign w:val="center"/>
                </w:tcPr>
                <w:p w14:paraId="4DE0476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w:t>
                  </w:r>
                  <w:r>
                    <w:rPr>
                      <w:rFonts w:hint="default" w:ascii="Times New Roman" w:hAnsi="Times New Roman" w:cs="Times New Roman"/>
                      <w:color w:val="auto"/>
                      <w:kern w:val="2"/>
                      <w:sz w:val="21"/>
                      <w:szCs w:val="21"/>
                    </w:rPr>
                    <w:t>万套</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14:paraId="5DA786C6">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eastAsiaTheme="minorEastAsia"/>
                      <w:color w:val="auto"/>
                      <w:kern w:val="2"/>
                      <w:sz w:val="21"/>
                      <w:szCs w:val="21"/>
                    </w:rPr>
                    <w:t>2</w:t>
                  </w:r>
                  <w:r>
                    <w:rPr>
                      <w:rFonts w:hint="eastAsia" w:ascii="Times New Roman" w:hAnsi="Times New Roman" w:cs="Times New Roman" w:eastAsiaTheme="minorEastAsia"/>
                      <w:color w:val="auto"/>
                      <w:kern w:val="2"/>
                      <w:sz w:val="21"/>
                      <w:szCs w:val="21"/>
                    </w:rPr>
                    <w:t>5</w:t>
                  </w:r>
                  <w:r>
                    <w:rPr>
                      <w:rFonts w:hint="default" w:ascii="Times New Roman" w:hAnsi="Times New Roman" w:cs="Times New Roman"/>
                      <w:color w:val="auto"/>
                      <w:kern w:val="2"/>
                      <w:sz w:val="21"/>
                      <w:szCs w:val="21"/>
                    </w:rPr>
                    <w:t>万套</w:t>
                  </w:r>
                </w:p>
              </w:tc>
              <w:tc>
                <w:tcPr>
                  <w:tcW w:w="854" w:type="dxa"/>
                  <w:tcBorders>
                    <w:top w:val="single" w:color="auto" w:sz="4" w:space="0"/>
                    <w:left w:val="single" w:color="auto" w:sz="4" w:space="0"/>
                    <w:bottom w:val="single" w:color="auto" w:sz="4" w:space="0"/>
                    <w:right w:val="single" w:color="auto" w:sz="4" w:space="0"/>
                  </w:tcBorders>
                  <w:noWrap/>
                  <w:vAlign w:val="center"/>
                </w:tcPr>
                <w:p w14:paraId="602EF48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200</w:t>
                  </w:r>
                  <w:r>
                    <w:rPr>
                      <w:rFonts w:hint="default" w:ascii="Times New Roman" w:hAnsi="Times New Roman" w:cs="Times New Roman"/>
                      <w:color w:val="auto"/>
                      <w:kern w:val="2"/>
                      <w:sz w:val="21"/>
                      <w:szCs w:val="21"/>
                    </w:rPr>
                    <w:t>件</w:t>
                  </w:r>
                  <w:r>
                    <w:rPr>
                      <w:rFonts w:hint="default" w:ascii="Times New Roman" w:hAnsi="Times New Roman" w:eastAsia="Times New Roman" w:cs="Times New Roman"/>
                      <w:color w:val="auto"/>
                      <w:kern w:val="2"/>
                      <w:sz w:val="21"/>
                      <w:szCs w:val="21"/>
                    </w:rPr>
                    <w:t>/</w:t>
                  </w:r>
                  <w:r>
                    <w:rPr>
                      <w:rFonts w:hint="default" w:ascii="Times New Roman" w:hAnsi="Times New Roman" w:cs="Times New Roman"/>
                      <w:color w:val="auto"/>
                      <w:kern w:val="2"/>
                      <w:sz w:val="21"/>
                      <w:szCs w:val="21"/>
                    </w:rPr>
                    <w:t>箱</w:t>
                  </w:r>
                </w:p>
              </w:tc>
              <w:tc>
                <w:tcPr>
                  <w:tcW w:w="854" w:type="dxa"/>
                  <w:tcBorders>
                    <w:top w:val="single" w:color="auto" w:sz="4" w:space="0"/>
                    <w:left w:val="single" w:color="auto" w:sz="4" w:space="0"/>
                    <w:bottom w:val="single" w:color="auto" w:sz="4" w:space="0"/>
                    <w:right w:val="single" w:color="auto" w:sz="4" w:space="0"/>
                  </w:tcBorders>
                  <w:noWrap/>
                  <w:vAlign w:val="center"/>
                </w:tcPr>
                <w:p w14:paraId="07AFFDE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纸箱</w:t>
                  </w:r>
                </w:p>
              </w:tc>
              <w:tc>
                <w:tcPr>
                  <w:tcW w:w="765" w:type="dxa"/>
                  <w:tcBorders>
                    <w:top w:val="single" w:color="auto" w:sz="4" w:space="0"/>
                    <w:left w:val="single" w:color="auto" w:sz="4" w:space="0"/>
                    <w:bottom w:val="single" w:color="auto" w:sz="4" w:space="0"/>
                    <w:right w:val="single" w:color="auto" w:sz="4" w:space="0"/>
                  </w:tcBorders>
                  <w:noWrap/>
                  <w:vAlign w:val="center"/>
                </w:tcPr>
                <w:p w14:paraId="1F71AA2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w:t>
                  </w:r>
                  <w:r>
                    <w:rPr>
                      <w:rFonts w:hint="eastAsia" w:ascii="Times New Roman" w:hAnsi="Times New Roman" w:cs="Times New Roman"/>
                      <w:color w:val="auto"/>
                      <w:kern w:val="2"/>
                      <w:sz w:val="21"/>
                      <w:szCs w:val="21"/>
                    </w:rPr>
                    <w:t>5</w:t>
                  </w:r>
                  <w:r>
                    <w:rPr>
                      <w:rFonts w:hint="default" w:ascii="Times New Roman" w:hAnsi="Times New Roman" w:eastAsia="Times New Roman" w:cs="Times New Roman"/>
                      <w:color w:val="auto"/>
                      <w:kern w:val="2"/>
                      <w:sz w:val="21"/>
                      <w:szCs w:val="21"/>
                    </w:rPr>
                    <w:t>00</w:t>
                  </w:r>
                  <w:r>
                    <w:rPr>
                      <w:rFonts w:hint="default" w:ascii="Times New Roman" w:hAnsi="Times New Roman" w:cs="Times New Roman"/>
                      <w:color w:val="auto"/>
                      <w:kern w:val="2"/>
                      <w:sz w:val="21"/>
                      <w:szCs w:val="21"/>
                    </w:rPr>
                    <w:t>套</w:t>
                  </w: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3213B65A">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979" w:type="dxa"/>
                  <w:vMerge w:val="continue"/>
                  <w:tcBorders>
                    <w:top w:val="single" w:color="auto" w:sz="4" w:space="0"/>
                    <w:left w:val="single" w:color="auto" w:sz="4" w:space="0"/>
                    <w:bottom w:val="single" w:color="auto" w:sz="4" w:space="0"/>
                    <w:right w:val="nil"/>
                  </w:tcBorders>
                  <w:vAlign w:val="center"/>
                </w:tcPr>
                <w:p w14:paraId="2B0CAD30">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r>
            <w:tr w14:paraId="4DB1D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9" w:type="dxa"/>
                  <w:tcBorders>
                    <w:top w:val="single" w:color="auto" w:sz="4" w:space="0"/>
                    <w:left w:val="nil"/>
                    <w:bottom w:val="single" w:color="auto" w:sz="4" w:space="0"/>
                    <w:right w:val="single" w:color="auto" w:sz="4" w:space="0"/>
                  </w:tcBorders>
                  <w:noWrap/>
                  <w:vAlign w:val="center"/>
                </w:tcPr>
                <w:p w14:paraId="38403FB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9</w:t>
                  </w:r>
                </w:p>
              </w:tc>
              <w:tc>
                <w:tcPr>
                  <w:tcW w:w="1074" w:type="dxa"/>
                  <w:tcBorders>
                    <w:top w:val="single" w:color="auto" w:sz="4" w:space="0"/>
                    <w:left w:val="single" w:color="auto" w:sz="4" w:space="0"/>
                    <w:bottom w:val="single" w:color="auto" w:sz="4" w:space="0"/>
                    <w:right w:val="single" w:color="auto" w:sz="4" w:space="0"/>
                  </w:tcBorders>
                  <w:vAlign w:val="center"/>
                </w:tcPr>
                <w:p w14:paraId="0FBDED7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差速器总成</w:t>
                  </w:r>
                </w:p>
              </w:tc>
              <w:tc>
                <w:tcPr>
                  <w:tcW w:w="1291" w:type="dxa"/>
                  <w:tcBorders>
                    <w:top w:val="single" w:color="auto" w:sz="4" w:space="0"/>
                    <w:left w:val="single" w:color="auto" w:sz="4" w:space="0"/>
                    <w:bottom w:val="single" w:color="auto" w:sz="4" w:space="0"/>
                    <w:right w:val="single" w:color="auto" w:sz="4" w:space="0"/>
                  </w:tcBorders>
                  <w:noWrap/>
                  <w:vAlign w:val="center"/>
                </w:tcPr>
                <w:p w14:paraId="1B6FC39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w:t>
                  </w:r>
                  <w:r>
                    <w:rPr>
                      <w:rFonts w:hint="default" w:ascii="Times New Roman" w:hAnsi="Times New Roman" w:cs="Times New Roman"/>
                      <w:color w:val="auto"/>
                      <w:kern w:val="2"/>
                      <w:sz w:val="21"/>
                      <w:szCs w:val="21"/>
                    </w:rPr>
                    <w:t>万套</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14:paraId="58C832AD">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eastAsiaTheme="minorEastAsia"/>
                      <w:color w:val="auto"/>
                      <w:kern w:val="2"/>
                      <w:sz w:val="21"/>
                      <w:szCs w:val="21"/>
                    </w:rPr>
                    <w:t>2</w:t>
                  </w:r>
                  <w:r>
                    <w:rPr>
                      <w:rFonts w:hint="eastAsia" w:ascii="Times New Roman" w:hAnsi="Times New Roman" w:cs="Times New Roman" w:eastAsiaTheme="minorEastAsia"/>
                      <w:color w:val="auto"/>
                      <w:kern w:val="2"/>
                      <w:sz w:val="21"/>
                      <w:szCs w:val="21"/>
                    </w:rPr>
                    <w:t>5</w:t>
                  </w:r>
                  <w:r>
                    <w:rPr>
                      <w:rFonts w:hint="default" w:ascii="Times New Roman" w:hAnsi="Times New Roman" w:cs="Times New Roman"/>
                      <w:color w:val="auto"/>
                      <w:kern w:val="2"/>
                      <w:sz w:val="21"/>
                      <w:szCs w:val="21"/>
                    </w:rPr>
                    <w:t>万套</w:t>
                  </w:r>
                </w:p>
              </w:tc>
              <w:tc>
                <w:tcPr>
                  <w:tcW w:w="854" w:type="dxa"/>
                  <w:tcBorders>
                    <w:top w:val="single" w:color="auto" w:sz="4" w:space="0"/>
                    <w:left w:val="single" w:color="auto" w:sz="4" w:space="0"/>
                    <w:bottom w:val="single" w:color="auto" w:sz="4" w:space="0"/>
                    <w:right w:val="single" w:color="auto" w:sz="4" w:space="0"/>
                  </w:tcBorders>
                  <w:noWrap/>
                  <w:vAlign w:val="center"/>
                </w:tcPr>
                <w:p w14:paraId="1502561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50</w:t>
                  </w:r>
                  <w:r>
                    <w:rPr>
                      <w:rFonts w:hint="default" w:ascii="Times New Roman" w:hAnsi="Times New Roman" w:cs="Times New Roman"/>
                      <w:color w:val="auto"/>
                      <w:kern w:val="2"/>
                      <w:sz w:val="21"/>
                      <w:szCs w:val="21"/>
                    </w:rPr>
                    <w:t>件</w:t>
                  </w:r>
                  <w:r>
                    <w:rPr>
                      <w:rFonts w:hint="default" w:ascii="Times New Roman" w:hAnsi="Times New Roman" w:eastAsia="Times New Roman" w:cs="Times New Roman"/>
                      <w:color w:val="auto"/>
                      <w:kern w:val="2"/>
                      <w:sz w:val="21"/>
                      <w:szCs w:val="21"/>
                    </w:rPr>
                    <w:t>/</w:t>
                  </w:r>
                  <w:r>
                    <w:rPr>
                      <w:rFonts w:hint="default" w:ascii="Times New Roman" w:hAnsi="Times New Roman" w:cs="Times New Roman"/>
                      <w:color w:val="auto"/>
                      <w:kern w:val="2"/>
                      <w:sz w:val="21"/>
                      <w:szCs w:val="21"/>
                    </w:rPr>
                    <w:t>箱</w:t>
                  </w:r>
                </w:p>
              </w:tc>
              <w:tc>
                <w:tcPr>
                  <w:tcW w:w="854" w:type="dxa"/>
                  <w:tcBorders>
                    <w:top w:val="single" w:color="auto" w:sz="4" w:space="0"/>
                    <w:left w:val="single" w:color="auto" w:sz="4" w:space="0"/>
                    <w:bottom w:val="single" w:color="auto" w:sz="4" w:space="0"/>
                    <w:right w:val="single" w:color="auto" w:sz="4" w:space="0"/>
                  </w:tcBorders>
                  <w:noWrap/>
                  <w:vAlign w:val="center"/>
                </w:tcPr>
                <w:p w14:paraId="36B65F8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纸箱</w:t>
                  </w:r>
                </w:p>
              </w:tc>
              <w:tc>
                <w:tcPr>
                  <w:tcW w:w="765" w:type="dxa"/>
                  <w:tcBorders>
                    <w:top w:val="single" w:color="auto" w:sz="4" w:space="0"/>
                    <w:left w:val="single" w:color="auto" w:sz="4" w:space="0"/>
                    <w:bottom w:val="single" w:color="auto" w:sz="4" w:space="0"/>
                    <w:right w:val="single" w:color="auto" w:sz="4" w:space="0"/>
                  </w:tcBorders>
                  <w:noWrap/>
                  <w:vAlign w:val="center"/>
                </w:tcPr>
                <w:p w14:paraId="69C5B41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w:t>
                  </w:r>
                  <w:r>
                    <w:rPr>
                      <w:rFonts w:hint="eastAsia" w:ascii="Times New Roman" w:hAnsi="Times New Roman" w:cs="Times New Roman"/>
                      <w:color w:val="auto"/>
                      <w:kern w:val="2"/>
                      <w:sz w:val="21"/>
                      <w:szCs w:val="21"/>
                    </w:rPr>
                    <w:t>5</w:t>
                  </w:r>
                  <w:r>
                    <w:rPr>
                      <w:rFonts w:hint="default" w:ascii="Times New Roman" w:hAnsi="Times New Roman" w:eastAsia="Times New Roman" w:cs="Times New Roman"/>
                      <w:color w:val="auto"/>
                      <w:kern w:val="2"/>
                      <w:sz w:val="21"/>
                      <w:szCs w:val="21"/>
                    </w:rPr>
                    <w:t>00</w:t>
                  </w:r>
                  <w:r>
                    <w:rPr>
                      <w:rFonts w:hint="default" w:ascii="Times New Roman" w:hAnsi="Times New Roman" w:cs="Times New Roman"/>
                      <w:color w:val="auto"/>
                      <w:kern w:val="2"/>
                      <w:sz w:val="21"/>
                      <w:szCs w:val="21"/>
                    </w:rPr>
                    <w:t>套</w:t>
                  </w: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50F47A53">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979" w:type="dxa"/>
                  <w:vMerge w:val="continue"/>
                  <w:tcBorders>
                    <w:top w:val="single" w:color="auto" w:sz="4" w:space="0"/>
                    <w:left w:val="single" w:color="auto" w:sz="4" w:space="0"/>
                    <w:bottom w:val="single" w:color="auto" w:sz="4" w:space="0"/>
                    <w:right w:val="nil"/>
                  </w:tcBorders>
                  <w:vAlign w:val="center"/>
                </w:tcPr>
                <w:p w14:paraId="2E69FB1A">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r>
            <w:tr w14:paraId="20782D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9" w:type="dxa"/>
                  <w:tcBorders>
                    <w:top w:val="single" w:color="auto" w:sz="4" w:space="0"/>
                    <w:left w:val="nil"/>
                    <w:bottom w:val="single" w:color="auto" w:sz="4" w:space="0"/>
                    <w:right w:val="single" w:color="auto" w:sz="4" w:space="0"/>
                  </w:tcBorders>
                  <w:noWrap/>
                  <w:vAlign w:val="center"/>
                </w:tcPr>
                <w:p w14:paraId="4322456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r>
                    <w:rPr>
                      <w:rFonts w:hint="default" w:ascii="Times New Roman" w:hAnsi="Times New Roman" w:cs="Times New Roman" w:eastAsiaTheme="minorEastAsia"/>
                      <w:color w:val="auto"/>
                      <w:kern w:val="2"/>
                      <w:sz w:val="21"/>
                      <w:szCs w:val="21"/>
                    </w:rPr>
                    <w:t>0</w:t>
                  </w:r>
                </w:p>
              </w:tc>
              <w:tc>
                <w:tcPr>
                  <w:tcW w:w="1074" w:type="dxa"/>
                  <w:tcBorders>
                    <w:top w:val="single" w:color="auto" w:sz="4" w:space="0"/>
                    <w:left w:val="single" w:color="auto" w:sz="4" w:space="0"/>
                    <w:bottom w:val="single" w:color="auto" w:sz="4" w:space="0"/>
                    <w:right w:val="single" w:color="auto" w:sz="4" w:space="0"/>
                  </w:tcBorders>
                  <w:vAlign w:val="center"/>
                </w:tcPr>
                <w:p w14:paraId="33724E7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存储器等</w:t>
                  </w:r>
                </w:p>
              </w:tc>
              <w:tc>
                <w:tcPr>
                  <w:tcW w:w="1291" w:type="dxa"/>
                  <w:tcBorders>
                    <w:top w:val="single" w:color="auto" w:sz="4" w:space="0"/>
                    <w:left w:val="single" w:color="auto" w:sz="4" w:space="0"/>
                    <w:bottom w:val="single" w:color="auto" w:sz="4" w:space="0"/>
                    <w:right w:val="single" w:color="auto" w:sz="4" w:space="0"/>
                  </w:tcBorders>
                  <w:noWrap/>
                  <w:vAlign w:val="center"/>
                </w:tcPr>
                <w:p w14:paraId="23F7EAC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w:t>
                  </w:r>
                  <w:r>
                    <w:rPr>
                      <w:rFonts w:hint="default" w:ascii="Times New Roman" w:hAnsi="Times New Roman" w:cs="Times New Roman"/>
                      <w:color w:val="auto"/>
                      <w:kern w:val="2"/>
                      <w:sz w:val="21"/>
                      <w:szCs w:val="21"/>
                    </w:rPr>
                    <w:t>万套</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14:paraId="3B408C39">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eastAsiaTheme="minorEastAsia"/>
                      <w:color w:val="auto"/>
                      <w:kern w:val="2"/>
                      <w:sz w:val="21"/>
                      <w:szCs w:val="21"/>
                    </w:rPr>
                    <w:t>2</w:t>
                  </w:r>
                  <w:r>
                    <w:rPr>
                      <w:rFonts w:hint="eastAsia" w:ascii="Times New Roman" w:hAnsi="Times New Roman" w:cs="Times New Roman" w:eastAsiaTheme="minorEastAsia"/>
                      <w:color w:val="auto"/>
                      <w:kern w:val="2"/>
                      <w:sz w:val="21"/>
                      <w:szCs w:val="21"/>
                    </w:rPr>
                    <w:t>5</w:t>
                  </w:r>
                  <w:r>
                    <w:rPr>
                      <w:rFonts w:hint="default" w:ascii="Times New Roman" w:hAnsi="Times New Roman" w:cs="Times New Roman"/>
                      <w:color w:val="auto"/>
                      <w:kern w:val="2"/>
                      <w:sz w:val="21"/>
                      <w:szCs w:val="21"/>
                    </w:rPr>
                    <w:t>万套</w:t>
                  </w:r>
                </w:p>
              </w:tc>
              <w:tc>
                <w:tcPr>
                  <w:tcW w:w="854" w:type="dxa"/>
                  <w:tcBorders>
                    <w:top w:val="single" w:color="auto" w:sz="4" w:space="0"/>
                    <w:left w:val="single" w:color="auto" w:sz="4" w:space="0"/>
                    <w:bottom w:val="single" w:color="auto" w:sz="4" w:space="0"/>
                    <w:right w:val="single" w:color="auto" w:sz="4" w:space="0"/>
                  </w:tcBorders>
                  <w:noWrap/>
                  <w:vAlign w:val="center"/>
                </w:tcPr>
                <w:p w14:paraId="46B6A21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200</w:t>
                  </w:r>
                  <w:r>
                    <w:rPr>
                      <w:rFonts w:hint="default" w:ascii="Times New Roman" w:hAnsi="Times New Roman" w:cs="Times New Roman"/>
                      <w:color w:val="auto"/>
                      <w:kern w:val="2"/>
                      <w:sz w:val="21"/>
                      <w:szCs w:val="21"/>
                    </w:rPr>
                    <w:t>件</w:t>
                  </w:r>
                  <w:r>
                    <w:rPr>
                      <w:rFonts w:hint="default" w:ascii="Times New Roman" w:hAnsi="Times New Roman" w:eastAsia="Times New Roman" w:cs="Times New Roman"/>
                      <w:color w:val="auto"/>
                      <w:kern w:val="2"/>
                      <w:sz w:val="21"/>
                      <w:szCs w:val="21"/>
                    </w:rPr>
                    <w:t>/</w:t>
                  </w:r>
                  <w:r>
                    <w:rPr>
                      <w:rFonts w:hint="default" w:ascii="Times New Roman" w:hAnsi="Times New Roman" w:cs="Times New Roman"/>
                      <w:color w:val="auto"/>
                      <w:kern w:val="2"/>
                      <w:sz w:val="21"/>
                      <w:szCs w:val="21"/>
                    </w:rPr>
                    <w:t>箱</w:t>
                  </w:r>
                </w:p>
              </w:tc>
              <w:tc>
                <w:tcPr>
                  <w:tcW w:w="854" w:type="dxa"/>
                  <w:tcBorders>
                    <w:top w:val="single" w:color="auto" w:sz="4" w:space="0"/>
                    <w:left w:val="single" w:color="auto" w:sz="4" w:space="0"/>
                    <w:bottom w:val="single" w:color="auto" w:sz="4" w:space="0"/>
                    <w:right w:val="single" w:color="auto" w:sz="4" w:space="0"/>
                  </w:tcBorders>
                  <w:noWrap/>
                  <w:vAlign w:val="center"/>
                </w:tcPr>
                <w:p w14:paraId="131E52E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纸箱</w:t>
                  </w:r>
                </w:p>
              </w:tc>
              <w:tc>
                <w:tcPr>
                  <w:tcW w:w="765" w:type="dxa"/>
                  <w:tcBorders>
                    <w:top w:val="single" w:color="auto" w:sz="4" w:space="0"/>
                    <w:left w:val="single" w:color="auto" w:sz="4" w:space="0"/>
                    <w:bottom w:val="single" w:color="auto" w:sz="4" w:space="0"/>
                    <w:right w:val="single" w:color="auto" w:sz="4" w:space="0"/>
                  </w:tcBorders>
                  <w:noWrap/>
                  <w:vAlign w:val="center"/>
                </w:tcPr>
                <w:p w14:paraId="4475E85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w:t>
                  </w:r>
                  <w:r>
                    <w:rPr>
                      <w:rFonts w:hint="eastAsia" w:ascii="Times New Roman" w:hAnsi="Times New Roman" w:cs="Times New Roman"/>
                      <w:color w:val="auto"/>
                      <w:kern w:val="2"/>
                      <w:sz w:val="21"/>
                      <w:szCs w:val="21"/>
                    </w:rPr>
                    <w:t>5</w:t>
                  </w:r>
                  <w:r>
                    <w:rPr>
                      <w:rFonts w:hint="default" w:ascii="Times New Roman" w:hAnsi="Times New Roman" w:eastAsia="Times New Roman" w:cs="Times New Roman"/>
                      <w:color w:val="auto"/>
                      <w:kern w:val="2"/>
                      <w:sz w:val="21"/>
                      <w:szCs w:val="21"/>
                    </w:rPr>
                    <w:t>00</w:t>
                  </w:r>
                  <w:r>
                    <w:rPr>
                      <w:rFonts w:hint="default" w:ascii="Times New Roman" w:hAnsi="Times New Roman" w:cs="Times New Roman"/>
                      <w:color w:val="auto"/>
                      <w:kern w:val="2"/>
                      <w:sz w:val="21"/>
                      <w:szCs w:val="21"/>
                    </w:rPr>
                    <w:t>套</w:t>
                  </w: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3B106E37">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979" w:type="dxa"/>
                  <w:vMerge w:val="continue"/>
                  <w:tcBorders>
                    <w:top w:val="single" w:color="auto" w:sz="4" w:space="0"/>
                    <w:left w:val="single" w:color="auto" w:sz="4" w:space="0"/>
                    <w:bottom w:val="single" w:color="auto" w:sz="4" w:space="0"/>
                    <w:right w:val="nil"/>
                  </w:tcBorders>
                  <w:vAlign w:val="center"/>
                </w:tcPr>
                <w:p w14:paraId="7ACBB96B">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r>
            <w:tr w14:paraId="5A103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9" w:type="dxa"/>
                  <w:tcBorders>
                    <w:top w:val="single" w:color="auto" w:sz="4" w:space="0"/>
                    <w:left w:val="nil"/>
                    <w:bottom w:val="single" w:color="auto" w:sz="4" w:space="0"/>
                    <w:right w:val="single" w:color="auto" w:sz="4" w:space="0"/>
                  </w:tcBorders>
                  <w:noWrap/>
                  <w:vAlign w:val="center"/>
                </w:tcPr>
                <w:p w14:paraId="63463A3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r>
                    <w:rPr>
                      <w:rFonts w:hint="default" w:ascii="Times New Roman" w:hAnsi="Times New Roman" w:cs="Times New Roman" w:eastAsiaTheme="minorEastAsia"/>
                      <w:color w:val="auto"/>
                      <w:kern w:val="2"/>
                      <w:sz w:val="21"/>
                      <w:szCs w:val="21"/>
                    </w:rPr>
                    <w:t>1</w:t>
                  </w:r>
                </w:p>
              </w:tc>
              <w:tc>
                <w:tcPr>
                  <w:tcW w:w="1074" w:type="dxa"/>
                  <w:tcBorders>
                    <w:top w:val="single" w:color="auto" w:sz="4" w:space="0"/>
                    <w:left w:val="single" w:color="auto" w:sz="4" w:space="0"/>
                    <w:bottom w:val="single" w:color="auto" w:sz="4" w:space="0"/>
                    <w:right w:val="single" w:color="auto" w:sz="4" w:space="0"/>
                  </w:tcBorders>
                  <w:vAlign w:val="center"/>
                </w:tcPr>
                <w:p w14:paraId="255F171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液压模块总成</w:t>
                  </w:r>
                </w:p>
              </w:tc>
              <w:tc>
                <w:tcPr>
                  <w:tcW w:w="1291" w:type="dxa"/>
                  <w:tcBorders>
                    <w:top w:val="single" w:color="auto" w:sz="4" w:space="0"/>
                    <w:left w:val="single" w:color="auto" w:sz="4" w:space="0"/>
                    <w:bottom w:val="single" w:color="auto" w:sz="4" w:space="0"/>
                    <w:right w:val="single" w:color="auto" w:sz="4" w:space="0"/>
                  </w:tcBorders>
                  <w:noWrap/>
                  <w:vAlign w:val="center"/>
                </w:tcPr>
                <w:p w14:paraId="5954747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w:t>
                  </w:r>
                  <w:r>
                    <w:rPr>
                      <w:rFonts w:hint="default" w:ascii="Times New Roman" w:hAnsi="Times New Roman" w:cs="Times New Roman"/>
                      <w:color w:val="auto"/>
                      <w:kern w:val="2"/>
                      <w:sz w:val="21"/>
                      <w:szCs w:val="21"/>
                    </w:rPr>
                    <w:t>万套</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14:paraId="430D680A">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eastAsiaTheme="minorEastAsia"/>
                      <w:color w:val="auto"/>
                      <w:kern w:val="2"/>
                      <w:sz w:val="21"/>
                      <w:szCs w:val="21"/>
                    </w:rPr>
                    <w:t>2</w:t>
                  </w:r>
                  <w:r>
                    <w:rPr>
                      <w:rFonts w:hint="eastAsia" w:ascii="Times New Roman" w:hAnsi="Times New Roman" w:cs="Times New Roman" w:eastAsiaTheme="minorEastAsia"/>
                      <w:color w:val="auto"/>
                      <w:kern w:val="2"/>
                      <w:sz w:val="21"/>
                      <w:szCs w:val="21"/>
                    </w:rPr>
                    <w:t>5</w:t>
                  </w:r>
                  <w:r>
                    <w:rPr>
                      <w:rFonts w:hint="default" w:ascii="Times New Roman" w:hAnsi="Times New Roman" w:cs="Times New Roman"/>
                      <w:color w:val="auto"/>
                      <w:kern w:val="2"/>
                      <w:sz w:val="21"/>
                      <w:szCs w:val="21"/>
                    </w:rPr>
                    <w:t>万套</w:t>
                  </w:r>
                </w:p>
              </w:tc>
              <w:tc>
                <w:tcPr>
                  <w:tcW w:w="854" w:type="dxa"/>
                  <w:tcBorders>
                    <w:top w:val="single" w:color="auto" w:sz="4" w:space="0"/>
                    <w:left w:val="single" w:color="auto" w:sz="4" w:space="0"/>
                    <w:bottom w:val="single" w:color="auto" w:sz="4" w:space="0"/>
                    <w:right w:val="single" w:color="auto" w:sz="4" w:space="0"/>
                  </w:tcBorders>
                  <w:noWrap/>
                  <w:vAlign w:val="center"/>
                </w:tcPr>
                <w:p w14:paraId="7E4EFF4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100</w:t>
                  </w:r>
                  <w:r>
                    <w:rPr>
                      <w:rFonts w:hint="default" w:ascii="Times New Roman" w:hAnsi="Times New Roman" w:cs="Times New Roman"/>
                      <w:color w:val="auto"/>
                      <w:kern w:val="2"/>
                      <w:sz w:val="21"/>
                      <w:szCs w:val="21"/>
                    </w:rPr>
                    <w:t>件</w:t>
                  </w:r>
                  <w:r>
                    <w:rPr>
                      <w:rFonts w:hint="default" w:ascii="Times New Roman" w:hAnsi="Times New Roman" w:eastAsia="Times New Roman" w:cs="Times New Roman"/>
                      <w:color w:val="auto"/>
                      <w:kern w:val="2"/>
                      <w:sz w:val="21"/>
                      <w:szCs w:val="21"/>
                    </w:rPr>
                    <w:t>/</w:t>
                  </w:r>
                  <w:r>
                    <w:rPr>
                      <w:rFonts w:hint="default" w:ascii="Times New Roman" w:hAnsi="Times New Roman" w:cs="Times New Roman"/>
                      <w:color w:val="auto"/>
                      <w:kern w:val="2"/>
                      <w:sz w:val="21"/>
                      <w:szCs w:val="21"/>
                    </w:rPr>
                    <w:t>箱</w:t>
                  </w:r>
                </w:p>
              </w:tc>
              <w:tc>
                <w:tcPr>
                  <w:tcW w:w="854" w:type="dxa"/>
                  <w:tcBorders>
                    <w:top w:val="single" w:color="auto" w:sz="4" w:space="0"/>
                    <w:left w:val="single" w:color="auto" w:sz="4" w:space="0"/>
                    <w:bottom w:val="single" w:color="auto" w:sz="4" w:space="0"/>
                    <w:right w:val="single" w:color="auto" w:sz="4" w:space="0"/>
                  </w:tcBorders>
                  <w:noWrap/>
                  <w:vAlign w:val="center"/>
                </w:tcPr>
                <w:p w14:paraId="58FC73E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纸箱</w:t>
                  </w:r>
                </w:p>
              </w:tc>
              <w:tc>
                <w:tcPr>
                  <w:tcW w:w="765" w:type="dxa"/>
                  <w:tcBorders>
                    <w:top w:val="single" w:color="auto" w:sz="4" w:space="0"/>
                    <w:left w:val="single" w:color="auto" w:sz="4" w:space="0"/>
                    <w:bottom w:val="single" w:color="auto" w:sz="4" w:space="0"/>
                    <w:right w:val="single" w:color="auto" w:sz="4" w:space="0"/>
                  </w:tcBorders>
                  <w:noWrap/>
                  <w:vAlign w:val="center"/>
                </w:tcPr>
                <w:p w14:paraId="79A99F0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w:t>
                  </w:r>
                  <w:r>
                    <w:rPr>
                      <w:rFonts w:hint="eastAsia" w:ascii="Times New Roman" w:hAnsi="Times New Roman" w:cs="Times New Roman"/>
                      <w:color w:val="auto"/>
                      <w:kern w:val="2"/>
                      <w:sz w:val="21"/>
                      <w:szCs w:val="21"/>
                    </w:rPr>
                    <w:t>5</w:t>
                  </w:r>
                  <w:r>
                    <w:rPr>
                      <w:rFonts w:hint="default" w:ascii="Times New Roman" w:hAnsi="Times New Roman" w:eastAsia="Times New Roman" w:cs="Times New Roman"/>
                      <w:color w:val="auto"/>
                      <w:kern w:val="2"/>
                      <w:sz w:val="21"/>
                      <w:szCs w:val="21"/>
                    </w:rPr>
                    <w:t>00</w:t>
                  </w:r>
                  <w:r>
                    <w:rPr>
                      <w:rFonts w:hint="default" w:ascii="Times New Roman" w:hAnsi="Times New Roman" w:cs="Times New Roman"/>
                      <w:color w:val="auto"/>
                      <w:kern w:val="2"/>
                      <w:sz w:val="21"/>
                      <w:szCs w:val="21"/>
                    </w:rPr>
                    <w:t>套</w:t>
                  </w: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578F602E">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979" w:type="dxa"/>
                  <w:vMerge w:val="continue"/>
                  <w:tcBorders>
                    <w:top w:val="single" w:color="auto" w:sz="4" w:space="0"/>
                    <w:left w:val="single" w:color="auto" w:sz="4" w:space="0"/>
                    <w:bottom w:val="single" w:color="auto" w:sz="4" w:space="0"/>
                    <w:right w:val="nil"/>
                  </w:tcBorders>
                  <w:vAlign w:val="center"/>
                </w:tcPr>
                <w:p w14:paraId="7365A29F">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r>
            <w:tr w14:paraId="0AD9A2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9" w:type="dxa"/>
                  <w:tcBorders>
                    <w:top w:val="single" w:color="auto" w:sz="4" w:space="0"/>
                    <w:left w:val="nil"/>
                    <w:bottom w:val="single" w:color="auto" w:sz="4" w:space="0"/>
                    <w:right w:val="single" w:color="auto" w:sz="4" w:space="0"/>
                  </w:tcBorders>
                  <w:noWrap/>
                  <w:vAlign w:val="center"/>
                </w:tcPr>
                <w:p w14:paraId="0ED3639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19</w:t>
                  </w:r>
                </w:p>
              </w:tc>
              <w:tc>
                <w:tcPr>
                  <w:tcW w:w="1074" w:type="dxa"/>
                  <w:tcBorders>
                    <w:top w:val="single" w:color="auto" w:sz="4" w:space="0"/>
                    <w:left w:val="single" w:color="auto" w:sz="4" w:space="0"/>
                    <w:bottom w:val="single" w:color="auto" w:sz="4" w:space="0"/>
                    <w:right w:val="single" w:color="auto" w:sz="4" w:space="0"/>
                  </w:tcBorders>
                  <w:vAlign w:val="center"/>
                </w:tcPr>
                <w:p w14:paraId="3A84173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密封件</w:t>
                  </w:r>
                </w:p>
              </w:tc>
              <w:tc>
                <w:tcPr>
                  <w:tcW w:w="1291" w:type="dxa"/>
                  <w:tcBorders>
                    <w:top w:val="single" w:color="auto" w:sz="4" w:space="0"/>
                    <w:left w:val="single" w:color="auto" w:sz="4" w:space="0"/>
                    <w:bottom w:val="single" w:color="auto" w:sz="4" w:space="0"/>
                    <w:right w:val="single" w:color="auto" w:sz="4" w:space="0"/>
                  </w:tcBorders>
                  <w:noWrap/>
                  <w:vAlign w:val="center"/>
                </w:tcPr>
                <w:p w14:paraId="085AB32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w:t>
                  </w:r>
                  <w:r>
                    <w:rPr>
                      <w:rFonts w:hint="default" w:ascii="Times New Roman" w:hAnsi="Times New Roman" w:cs="Times New Roman"/>
                      <w:color w:val="auto"/>
                      <w:kern w:val="2"/>
                      <w:sz w:val="21"/>
                      <w:szCs w:val="21"/>
                    </w:rPr>
                    <w:t>万套</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14:paraId="3BA5DAEC">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eastAsiaTheme="minorEastAsia"/>
                      <w:color w:val="auto"/>
                      <w:kern w:val="2"/>
                      <w:sz w:val="21"/>
                      <w:szCs w:val="21"/>
                    </w:rPr>
                    <w:t>2</w:t>
                  </w:r>
                  <w:r>
                    <w:rPr>
                      <w:rFonts w:hint="eastAsia" w:ascii="Times New Roman" w:hAnsi="Times New Roman" w:cs="Times New Roman" w:eastAsiaTheme="minorEastAsia"/>
                      <w:color w:val="auto"/>
                      <w:kern w:val="2"/>
                      <w:sz w:val="21"/>
                      <w:szCs w:val="21"/>
                    </w:rPr>
                    <w:t>5</w:t>
                  </w:r>
                  <w:r>
                    <w:rPr>
                      <w:rFonts w:hint="default" w:ascii="Times New Roman" w:hAnsi="Times New Roman" w:cs="Times New Roman"/>
                      <w:color w:val="auto"/>
                      <w:kern w:val="2"/>
                      <w:sz w:val="21"/>
                      <w:szCs w:val="21"/>
                    </w:rPr>
                    <w:t>万套</w:t>
                  </w:r>
                </w:p>
              </w:tc>
              <w:tc>
                <w:tcPr>
                  <w:tcW w:w="854" w:type="dxa"/>
                  <w:tcBorders>
                    <w:top w:val="single" w:color="auto" w:sz="4" w:space="0"/>
                    <w:left w:val="single" w:color="auto" w:sz="4" w:space="0"/>
                    <w:bottom w:val="single" w:color="auto" w:sz="4" w:space="0"/>
                    <w:right w:val="single" w:color="auto" w:sz="4" w:space="0"/>
                  </w:tcBorders>
                  <w:noWrap/>
                  <w:vAlign w:val="center"/>
                </w:tcPr>
                <w:p w14:paraId="147D635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200</w:t>
                  </w:r>
                  <w:r>
                    <w:rPr>
                      <w:rFonts w:hint="default" w:ascii="Times New Roman" w:hAnsi="Times New Roman" w:cs="Times New Roman"/>
                      <w:color w:val="auto"/>
                      <w:kern w:val="2"/>
                      <w:sz w:val="21"/>
                      <w:szCs w:val="21"/>
                    </w:rPr>
                    <w:t>件</w:t>
                  </w:r>
                  <w:r>
                    <w:rPr>
                      <w:rFonts w:hint="default" w:ascii="Times New Roman" w:hAnsi="Times New Roman" w:eastAsia="Times New Roman" w:cs="Times New Roman"/>
                      <w:color w:val="auto"/>
                      <w:kern w:val="2"/>
                      <w:sz w:val="21"/>
                      <w:szCs w:val="21"/>
                    </w:rPr>
                    <w:t>/</w:t>
                  </w:r>
                  <w:r>
                    <w:rPr>
                      <w:rFonts w:hint="default" w:ascii="Times New Roman" w:hAnsi="Times New Roman" w:cs="Times New Roman"/>
                      <w:color w:val="auto"/>
                      <w:kern w:val="2"/>
                      <w:sz w:val="21"/>
                      <w:szCs w:val="21"/>
                    </w:rPr>
                    <w:t>箱</w:t>
                  </w:r>
                </w:p>
              </w:tc>
              <w:tc>
                <w:tcPr>
                  <w:tcW w:w="854" w:type="dxa"/>
                  <w:tcBorders>
                    <w:top w:val="single" w:color="auto" w:sz="4" w:space="0"/>
                    <w:left w:val="single" w:color="auto" w:sz="4" w:space="0"/>
                    <w:bottom w:val="single" w:color="auto" w:sz="4" w:space="0"/>
                    <w:right w:val="single" w:color="auto" w:sz="4" w:space="0"/>
                  </w:tcBorders>
                  <w:noWrap/>
                  <w:vAlign w:val="center"/>
                </w:tcPr>
                <w:p w14:paraId="5CA54BE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纸箱</w:t>
                  </w:r>
                </w:p>
              </w:tc>
              <w:tc>
                <w:tcPr>
                  <w:tcW w:w="765" w:type="dxa"/>
                  <w:tcBorders>
                    <w:top w:val="single" w:color="auto" w:sz="4" w:space="0"/>
                    <w:left w:val="single" w:color="auto" w:sz="4" w:space="0"/>
                    <w:bottom w:val="single" w:color="auto" w:sz="4" w:space="0"/>
                    <w:right w:val="single" w:color="auto" w:sz="4" w:space="0"/>
                  </w:tcBorders>
                  <w:noWrap/>
                  <w:vAlign w:val="center"/>
                </w:tcPr>
                <w:p w14:paraId="09EEF61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w:t>
                  </w:r>
                  <w:r>
                    <w:rPr>
                      <w:rFonts w:hint="eastAsia" w:ascii="Times New Roman" w:hAnsi="Times New Roman" w:cs="Times New Roman"/>
                      <w:color w:val="auto"/>
                      <w:kern w:val="2"/>
                      <w:sz w:val="21"/>
                      <w:szCs w:val="21"/>
                    </w:rPr>
                    <w:t>5</w:t>
                  </w:r>
                  <w:r>
                    <w:rPr>
                      <w:rFonts w:hint="default" w:ascii="Times New Roman" w:hAnsi="Times New Roman" w:eastAsia="Times New Roman" w:cs="Times New Roman"/>
                      <w:color w:val="auto"/>
                      <w:kern w:val="2"/>
                      <w:sz w:val="21"/>
                      <w:szCs w:val="21"/>
                    </w:rPr>
                    <w:t>00</w:t>
                  </w:r>
                  <w:r>
                    <w:rPr>
                      <w:rFonts w:hint="default" w:ascii="Times New Roman" w:hAnsi="Times New Roman" w:cs="Times New Roman"/>
                      <w:color w:val="auto"/>
                      <w:kern w:val="2"/>
                      <w:sz w:val="21"/>
                      <w:szCs w:val="21"/>
                    </w:rPr>
                    <w:t>套</w:t>
                  </w: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18370CD5">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979" w:type="dxa"/>
                  <w:vMerge w:val="continue"/>
                  <w:tcBorders>
                    <w:top w:val="single" w:color="auto" w:sz="4" w:space="0"/>
                    <w:left w:val="single" w:color="auto" w:sz="4" w:space="0"/>
                    <w:bottom w:val="single" w:color="auto" w:sz="4" w:space="0"/>
                    <w:right w:val="nil"/>
                  </w:tcBorders>
                  <w:vAlign w:val="center"/>
                </w:tcPr>
                <w:p w14:paraId="0164AA38">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r>
            <w:tr w14:paraId="59321B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9" w:type="dxa"/>
                  <w:tcBorders>
                    <w:top w:val="single" w:color="auto" w:sz="4" w:space="0"/>
                    <w:left w:val="nil"/>
                    <w:bottom w:val="single" w:color="auto" w:sz="4" w:space="0"/>
                    <w:right w:val="single" w:color="auto" w:sz="4" w:space="0"/>
                  </w:tcBorders>
                  <w:noWrap/>
                  <w:vAlign w:val="center"/>
                </w:tcPr>
                <w:p w14:paraId="7BB21D1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w:t>
                  </w:r>
                </w:p>
              </w:tc>
              <w:tc>
                <w:tcPr>
                  <w:tcW w:w="1074" w:type="dxa"/>
                  <w:tcBorders>
                    <w:top w:val="single" w:color="auto" w:sz="4" w:space="0"/>
                    <w:left w:val="single" w:color="auto" w:sz="4" w:space="0"/>
                    <w:bottom w:val="single" w:color="auto" w:sz="4" w:space="0"/>
                    <w:right w:val="single" w:color="auto" w:sz="4" w:space="0"/>
                  </w:tcBorders>
                  <w:vAlign w:val="center"/>
                </w:tcPr>
                <w:p w14:paraId="1B2C8FE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螺栓</w:t>
                  </w:r>
                </w:p>
              </w:tc>
              <w:tc>
                <w:tcPr>
                  <w:tcW w:w="1291" w:type="dxa"/>
                  <w:tcBorders>
                    <w:top w:val="single" w:color="auto" w:sz="4" w:space="0"/>
                    <w:left w:val="single" w:color="auto" w:sz="4" w:space="0"/>
                    <w:bottom w:val="single" w:color="auto" w:sz="4" w:space="0"/>
                    <w:right w:val="single" w:color="auto" w:sz="4" w:space="0"/>
                  </w:tcBorders>
                  <w:noWrap/>
                  <w:vAlign w:val="center"/>
                </w:tcPr>
                <w:p w14:paraId="520CFD7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w:t>
                  </w:r>
                  <w:r>
                    <w:rPr>
                      <w:rFonts w:hint="default" w:ascii="Times New Roman" w:hAnsi="Times New Roman" w:cs="Times New Roman"/>
                      <w:color w:val="auto"/>
                      <w:kern w:val="2"/>
                      <w:sz w:val="21"/>
                      <w:szCs w:val="21"/>
                    </w:rPr>
                    <w:t>万套</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14:paraId="543F40D9">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eastAsiaTheme="minorEastAsia"/>
                      <w:color w:val="auto"/>
                      <w:kern w:val="2"/>
                      <w:sz w:val="21"/>
                      <w:szCs w:val="21"/>
                    </w:rPr>
                    <w:t>2</w:t>
                  </w:r>
                  <w:r>
                    <w:rPr>
                      <w:rFonts w:hint="eastAsia" w:ascii="Times New Roman" w:hAnsi="Times New Roman" w:cs="Times New Roman" w:eastAsiaTheme="minorEastAsia"/>
                      <w:color w:val="auto"/>
                      <w:kern w:val="2"/>
                      <w:sz w:val="21"/>
                      <w:szCs w:val="21"/>
                    </w:rPr>
                    <w:t>5</w:t>
                  </w:r>
                  <w:r>
                    <w:rPr>
                      <w:rFonts w:hint="default" w:ascii="Times New Roman" w:hAnsi="Times New Roman" w:cs="Times New Roman"/>
                      <w:color w:val="auto"/>
                      <w:kern w:val="2"/>
                      <w:sz w:val="21"/>
                      <w:szCs w:val="21"/>
                    </w:rPr>
                    <w:t>万套</w:t>
                  </w:r>
                </w:p>
              </w:tc>
              <w:tc>
                <w:tcPr>
                  <w:tcW w:w="854" w:type="dxa"/>
                  <w:tcBorders>
                    <w:top w:val="single" w:color="auto" w:sz="4" w:space="0"/>
                    <w:left w:val="single" w:color="auto" w:sz="4" w:space="0"/>
                    <w:bottom w:val="single" w:color="auto" w:sz="4" w:space="0"/>
                    <w:right w:val="single" w:color="auto" w:sz="4" w:space="0"/>
                  </w:tcBorders>
                  <w:noWrap/>
                  <w:vAlign w:val="center"/>
                </w:tcPr>
                <w:p w14:paraId="6F146D2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500</w:t>
                  </w:r>
                  <w:r>
                    <w:rPr>
                      <w:rFonts w:hint="default" w:ascii="Times New Roman" w:hAnsi="Times New Roman" w:cs="Times New Roman"/>
                      <w:color w:val="auto"/>
                      <w:kern w:val="2"/>
                      <w:sz w:val="21"/>
                      <w:szCs w:val="21"/>
                    </w:rPr>
                    <w:t>件</w:t>
                  </w:r>
                  <w:r>
                    <w:rPr>
                      <w:rFonts w:hint="default" w:ascii="Times New Roman" w:hAnsi="Times New Roman" w:eastAsia="Times New Roman" w:cs="Times New Roman"/>
                      <w:color w:val="auto"/>
                      <w:kern w:val="2"/>
                      <w:sz w:val="21"/>
                      <w:szCs w:val="21"/>
                    </w:rPr>
                    <w:t>/</w:t>
                  </w:r>
                  <w:r>
                    <w:rPr>
                      <w:rFonts w:hint="default" w:ascii="Times New Roman" w:hAnsi="Times New Roman" w:cs="Times New Roman"/>
                      <w:color w:val="auto"/>
                      <w:kern w:val="2"/>
                      <w:sz w:val="21"/>
                      <w:szCs w:val="21"/>
                    </w:rPr>
                    <w:t>箱</w:t>
                  </w:r>
                </w:p>
              </w:tc>
              <w:tc>
                <w:tcPr>
                  <w:tcW w:w="854" w:type="dxa"/>
                  <w:tcBorders>
                    <w:top w:val="single" w:color="auto" w:sz="4" w:space="0"/>
                    <w:left w:val="single" w:color="auto" w:sz="4" w:space="0"/>
                    <w:bottom w:val="single" w:color="auto" w:sz="4" w:space="0"/>
                    <w:right w:val="single" w:color="auto" w:sz="4" w:space="0"/>
                  </w:tcBorders>
                  <w:noWrap/>
                  <w:vAlign w:val="center"/>
                </w:tcPr>
                <w:p w14:paraId="24602DE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纸箱</w:t>
                  </w:r>
                </w:p>
              </w:tc>
              <w:tc>
                <w:tcPr>
                  <w:tcW w:w="765" w:type="dxa"/>
                  <w:tcBorders>
                    <w:top w:val="single" w:color="auto" w:sz="4" w:space="0"/>
                    <w:left w:val="single" w:color="auto" w:sz="4" w:space="0"/>
                    <w:bottom w:val="single" w:color="auto" w:sz="4" w:space="0"/>
                    <w:right w:val="single" w:color="auto" w:sz="4" w:space="0"/>
                  </w:tcBorders>
                  <w:noWrap/>
                  <w:vAlign w:val="center"/>
                </w:tcPr>
                <w:p w14:paraId="4ED4738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w:t>
                  </w:r>
                  <w:r>
                    <w:rPr>
                      <w:rFonts w:hint="eastAsia" w:ascii="Times New Roman" w:hAnsi="Times New Roman" w:cs="Times New Roman"/>
                      <w:color w:val="auto"/>
                      <w:kern w:val="2"/>
                      <w:sz w:val="21"/>
                      <w:szCs w:val="21"/>
                    </w:rPr>
                    <w:t>5</w:t>
                  </w:r>
                  <w:r>
                    <w:rPr>
                      <w:rFonts w:hint="default" w:ascii="Times New Roman" w:hAnsi="Times New Roman" w:eastAsia="Times New Roman" w:cs="Times New Roman"/>
                      <w:color w:val="auto"/>
                      <w:kern w:val="2"/>
                      <w:sz w:val="21"/>
                      <w:szCs w:val="21"/>
                    </w:rPr>
                    <w:t>00</w:t>
                  </w:r>
                  <w:r>
                    <w:rPr>
                      <w:rFonts w:hint="default" w:ascii="Times New Roman" w:hAnsi="Times New Roman" w:cs="Times New Roman"/>
                      <w:color w:val="auto"/>
                      <w:kern w:val="2"/>
                      <w:sz w:val="21"/>
                      <w:szCs w:val="21"/>
                    </w:rPr>
                    <w:t>套</w:t>
                  </w: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7AF1E750">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979" w:type="dxa"/>
                  <w:vMerge w:val="continue"/>
                  <w:tcBorders>
                    <w:top w:val="single" w:color="auto" w:sz="4" w:space="0"/>
                    <w:left w:val="single" w:color="auto" w:sz="4" w:space="0"/>
                    <w:bottom w:val="single" w:color="auto" w:sz="4" w:space="0"/>
                    <w:right w:val="nil"/>
                  </w:tcBorders>
                  <w:vAlign w:val="center"/>
                </w:tcPr>
                <w:p w14:paraId="488C954B">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r>
            <w:tr w14:paraId="1CC87B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629" w:type="dxa"/>
                  <w:tcBorders>
                    <w:top w:val="single" w:color="auto" w:sz="4" w:space="0"/>
                    <w:left w:val="nil"/>
                    <w:bottom w:val="single" w:color="auto" w:sz="4" w:space="0"/>
                    <w:right w:val="single" w:color="auto" w:sz="4" w:space="0"/>
                  </w:tcBorders>
                  <w:noWrap/>
                  <w:vAlign w:val="center"/>
                </w:tcPr>
                <w:p w14:paraId="0CC6777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21</w:t>
                  </w:r>
                </w:p>
              </w:tc>
              <w:tc>
                <w:tcPr>
                  <w:tcW w:w="1074" w:type="dxa"/>
                  <w:tcBorders>
                    <w:top w:val="single" w:color="auto" w:sz="4" w:space="0"/>
                    <w:left w:val="single" w:color="auto" w:sz="4" w:space="0"/>
                    <w:bottom w:val="single" w:color="auto" w:sz="4" w:space="0"/>
                    <w:right w:val="single" w:color="auto" w:sz="4" w:space="0"/>
                  </w:tcBorders>
                  <w:vAlign w:val="center"/>
                </w:tcPr>
                <w:p w14:paraId="650731B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其他零件（销轴、塑料件、垫片、堵头、支架、线束类）</w:t>
                  </w:r>
                </w:p>
              </w:tc>
              <w:tc>
                <w:tcPr>
                  <w:tcW w:w="1291" w:type="dxa"/>
                  <w:tcBorders>
                    <w:top w:val="single" w:color="auto" w:sz="4" w:space="0"/>
                    <w:left w:val="single" w:color="auto" w:sz="4" w:space="0"/>
                    <w:bottom w:val="single" w:color="auto" w:sz="4" w:space="0"/>
                    <w:right w:val="single" w:color="auto" w:sz="4" w:space="0"/>
                  </w:tcBorders>
                  <w:noWrap/>
                  <w:vAlign w:val="center"/>
                </w:tcPr>
                <w:p w14:paraId="0D859F5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w:t>
                  </w:r>
                  <w:r>
                    <w:rPr>
                      <w:rFonts w:hint="default" w:ascii="Times New Roman" w:hAnsi="Times New Roman" w:cs="Times New Roman"/>
                      <w:color w:val="auto"/>
                      <w:kern w:val="2"/>
                      <w:sz w:val="21"/>
                      <w:szCs w:val="21"/>
                    </w:rPr>
                    <w:t>万套</w:t>
                  </w:r>
                </w:p>
              </w:tc>
              <w:tc>
                <w:tcPr>
                  <w:tcW w:w="1158" w:type="dxa"/>
                  <w:tcBorders>
                    <w:top w:val="single" w:color="auto" w:sz="4" w:space="0"/>
                    <w:left w:val="single" w:color="auto" w:sz="4" w:space="0"/>
                    <w:bottom w:val="single" w:color="auto" w:sz="4" w:space="0"/>
                    <w:right w:val="single" w:color="auto" w:sz="4" w:space="0"/>
                  </w:tcBorders>
                  <w:shd w:val="clear" w:color="auto" w:fill="auto"/>
                  <w:vAlign w:val="center"/>
                </w:tcPr>
                <w:p w14:paraId="5010FB61">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default" w:ascii="Times New Roman" w:hAnsi="Times New Roman" w:cs="Times New Roman" w:eastAsiaTheme="minorEastAsia"/>
                      <w:color w:val="auto"/>
                      <w:kern w:val="2"/>
                      <w:sz w:val="21"/>
                      <w:szCs w:val="21"/>
                    </w:rPr>
                    <w:t>2</w:t>
                  </w:r>
                  <w:r>
                    <w:rPr>
                      <w:rFonts w:hint="eastAsia" w:ascii="Times New Roman" w:hAnsi="Times New Roman" w:cs="Times New Roman" w:eastAsiaTheme="minorEastAsia"/>
                      <w:color w:val="auto"/>
                      <w:kern w:val="2"/>
                      <w:sz w:val="21"/>
                      <w:szCs w:val="21"/>
                    </w:rPr>
                    <w:t>5</w:t>
                  </w:r>
                  <w:r>
                    <w:rPr>
                      <w:rFonts w:hint="default" w:ascii="Times New Roman" w:hAnsi="Times New Roman" w:cs="Times New Roman"/>
                      <w:color w:val="auto"/>
                      <w:kern w:val="2"/>
                      <w:sz w:val="21"/>
                      <w:szCs w:val="21"/>
                    </w:rPr>
                    <w:t>万套</w:t>
                  </w:r>
                </w:p>
              </w:tc>
              <w:tc>
                <w:tcPr>
                  <w:tcW w:w="854" w:type="dxa"/>
                  <w:tcBorders>
                    <w:top w:val="single" w:color="auto" w:sz="4" w:space="0"/>
                    <w:left w:val="single" w:color="auto" w:sz="4" w:space="0"/>
                    <w:bottom w:val="single" w:color="auto" w:sz="4" w:space="0"/>
                    <w:right w:val="single" w:color="auto" w:sz="4" w:space="0"/>
                  </w:tcBorders>
                  <w:noWrap/>
                  <w:vAlign w:val="center"/>
                </w:tcPr>
                <w:p w14:paraId="1A095F7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500</w:t>
                  </w:r>
                  <w:r>
                    <w:rPr>
                      <w:rFonts w:hint="default" w:ascii="Times New Roman" w:hAnsi="Times New Roman" w:cs="Times New Roman"/>
                      <w:color w:val="auto"/>
                      <w:kern w:val="2"/>
                      <w:sz w:val="21"/>
                      <w:szCs w:val="21"/>
                    </w:rPr>
                    <w:t>件</w:t>
                  </w:r>
                  <w:r>
                    <w:rPr>
                      <w:rFonts w:hint="default" w:ascii="Times New Roman" w:hAnsi="Times New Roman" w:eastAsia="Times New Roman" w:cs="Times New Roman"/>
                      <w:color w:val="auto"/>
                      <w:kern w:val="2"/>
                      <w:sz w:val="21"/>
                      <w:szCs w:val="21"/>
                    </w:rPr>
                    <w:t>/</w:t>
                  </w:r>
                  <w:r>
                    <w:rPr>
                      <w:rFonts w:hint="default" w:ascii="Times New Roman" w:hAnsi="Times New Roman" w:cs="Times New Roman"/>
                      <w:color w:val="auto"/>
                      <w:kern w:val="2"/>
                      <w:sz w:val="21"/>
                      <w:szCs w:val="21"/>
                    </w:rPr>
                    <w:t>箱</w:t>
                  </w:r>
                </w:p>
              </w:tc>
              <w:tc>
                <w:tcPr>
                  <w:tcW w:w="854" w:type="dxa"/>
                  <w:tcBorders>
                    <w:top w:val="single" w:color="auto" w:sz="4" w:space="0"/>
                    <w:left w:val="single" w:color="auto" w:sz="4" w:space="0"/>
                    <w:bottom w:val="single" w:color="auto" w:sz="4" w:space="0"/>
                    <w:right w:val="single" w:color="auto" w:sz="4" w:space="0"/>
                  </w:tcBorders>
                  <w:noWrap/>
                  <w:vAlign w:val="center"/>
                </w:tcPr>
                <w:p w14:paraId="1841BF8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纸箱</w:t>
                  </w:r>
                </w:p>
              </w:tc>
              <w:tc>
                <w:tcPr>
                  <w:tcW w:w="765" w:type="dxa"/>
                  <w:tcBorders>
                    <w:top w:val="single" w:color="auto" w:sz="4" w:space="0"/>
                    <w:left w:val="single" w:color="auto" w:sz="4" w:space="0"/>
                    <w:bottom w:val="single" w:color="auto" w:sz="4" w:space="0"/>
                    <w:right w:val="single" w:color="auto" w:sz="4" w:space="0"/>
                  </w:tcBorders>
                  <w:noWrap/>
                  <w:vAlign w:val="center"/>
                </w:tcPr>
                <w:p w14:paraId="59394DF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w:t>
                  </w:r>
                  <w:r>
                    <w:rPr>
                      <w:rFonts w:hint="eastAsia" w:ascii="Times New Roman" w:hAnsi="Times New Roman" w:cs="Times New Roman"/>
                      <w:color w:val="auto"/>
                      <w:kern w:val="2"/>
                      <w:sz w:val="21"/>
                      <w:szCs w:val="21"/>
                    </w:rPr>
                    <w:t>5</w:t>
                  </w:r>
                  <w:r>
                    <w:rPr>
                      <w:rFonts w:hint="default" w:ascii="Times New Roman" w:hAnsi="Times New Roman" w:eastAsia="Times New Roman" w:cs="Times New Roman"/>
                      <w:color w:val="auto"/>
                      <w:kern w:val="2"/>
                      <w:sz w:val="21"/>
                      <w:szCs w:val="21"/>
                    </w:rPr>
                    <w:t>00</w:t>
                  </w:r>
                  <w:r>
                    <w:rPr>
                      <w:rFonts w:hint="default" w:ascii="Times New Roman" w:hAnsi="Times New Roman" w:cs="Times New Roman"/>
                      <w:color w:val="auto"/>
                      <w:kern w:val="2"/>
                      <w:sz w:val="21"/>
                      <w:szCs w:val="21"/>
                    </w:rPr>
                    <w:t>套</w:t>
                  </w: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658A7C39">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979" w:type="dxa"/>
                  <w:tcBorders>
                    <w:top w:val="single" w:color="auto" w:sz="4" w:space="0"/>
                    <w:left w:val="single" w:color="auto" w:sz="4" w:space="0"/>
                    <w:bottom w:val="single" w:color="auto" w:sz="4" w:space="0"/>
                    <w:right w:val="nil"/>
                  </w:tcBorders>
                  <w:vAlign w:val="center"/>
                </w:tcPr>
                <w:p w14:paraId="3E65308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总装线</w:t>
                  </w:r>
                </w:p>
              </w:tc>
            </w:tr>
            <w:tr w14:paraId="7323B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6" w:type="dxa"/>
                  <w:gridSpan w:val="9"/>
                  <w:tcBorders>
                    <w:top w:val="single" w:color="auto" w:sz="4" w:space="0"/>
                    <w:left w:val="nil"/>
                    <w:bottom w:val="single" w:color="auto" w:sz="4" w:space="0"/>
                    <w:right w:val="nil"/>
                  </w:tcBorders>
                  <w:vAlign w:val="center"/>
                </w:tcPr>
                <w:p w14:paraId="246DA97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辅料</w:t>
                  </w:r>
                </w:p>
              </w:tc>
            </w:tr>
            <w:tr w14:paraId="4DFB01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9" w:type="dxa"/>
                  <w:tcBorders>
                    <w:top w:val="single" w:color="auto" w:sz="4" w:space="0"/>
                    <w:left w:val="nil"/>
                    <w:bottom w:val="single" w:color="auto" w:sz="4" w:space="0"/>
                    <w:right w:val="single" w:color="auto" w:sz="4" w:space="0"/>
                  </w:tcBorders>
                  <w:noWrap/>
                  <w:vAlign w:val="center"/>
                </w:tcPr>
                <w:p w14:paraId="3A08437E">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rPr>
                  </w:pPr>
                  <w:r>
                    <w:rPr>
                      <w:rFonts w:hint="eastAsia" w:ascii="Times New Roman" w:hAnsi="Times New Roman" w:cs="Times New Roman" w:eastAsiaTheme="minorEastAsia"/>
                      <w:color w:val="auto"/>
                      <w:kern w:val="2"/>
                      <w:sz w:val="21"/>
                      <w:szCs w:val="21"/>
                    </w:rPr>
                    <w:t>22</w:t>
                  </w:r>
                </w:p>
              </w:tc>
              <w:tc>
                <w:tcPr>
                  <w:tcW w:w="1074" w:type="dxa"/>
                  <w:tcBorders>
                    <w:top w:val="single" w:color="auto" w:sz="4" w:space="0"/>
                    <w:left w:val="single" w:color="auto" w:sz="4" w:space="0"/>
                    <w:bottom w:val="single" w:color="auto" w:sz="4" w:space="0"/>
                    <w:right w:val="single" w:color="auto" w:sz="4" w:space="0"/>
                  </w:tcBorders>
                  <w:noWrap/>
                  <w:vAlign w:val="center"/>
                </w:tcPr>
                <w:p w14:paraId="5A300E2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变速箱油</w:t>
                  </w:r>
                </w:p>
              </w:tc>
              <w:tc>
                <w:tcPr>
                  <w:tcW w:w="1291" w:type="dxa"/>
                  <w:tcBorders>
                    <w:top w:val="single" w:color="auto" w:sz="4" w:space="0"/>
                    <w:left w:val="single" w:color="auto" w:sz="4" w:space="0"/>
                    <w:bottom w:val="single" w:color="auto" w:sz="4" w:space="0"/>
                    <w:right w:val="single" w:color="auto" w:sz="4" w:space="0"/>
                  </w:tcBorders>
                  <w:noWrap/>
                  <w:vAlign w:val="center"/>
                </w:tcPr>
                <w:p w14:paraId="5995896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60t</w:t>
                  </w:r>
                </w:p>
              </w:tc>
              <w:tc>
                <w:tcPr>
                  <w:tcW w:w="1158" w:type="dxa"/>
                  <w:tcBorders>
                    <w:top w:val="single" w:color="auto" w:sz="4" w:space="0"/>
                    <w:left w:val="single" w:color="auto" w:sz="4" w:space="0"/>
                    <w:bottom w:val="single" w:color="auto" w:sz="4" w:space="0"/>
                    <w:right w:val="single" w:color="auto" w:sz="4" w:space="0"/>
                  </w:tcBorders>
                  <w:vAlign w:val="center"/>
                </w:tcPr>
                <w:p w14:paraId="6E6A195C">
                  <w:pPr>
                    <w:keepNext w:val="0"/>
                    <w:keepLines w:val="0"/>
                    <w:widowControl/>
                    <w:suppressLineNumbers w:val="0"/>
                    <w:spacing w:before="0" w:beforeAutospacing="0" w:after="0" w:afterAutospacing="0"/>
                    <w:ind w:left="0" w:right="0"/>
                    <w:jc w:val="center"/>
                    <w:rPr>
                      <w:rFonts w:hint="default" w:ascii="Times New Roman" w:hAnsi="Times New Roman" w:eastAsia="Times New Roman" w:cs="Times New Roman"/>
                      <w:color w:val="auto"/>
                      <w:kern w:val="2"/>
                      <w:sz w:val="21"/>
                      <w:szCs w:val="21"/>
                    </w:rPr>
                  </w:pPr>
                  <w:r>
                    <w:rPr>
                      <w:rFonts w:hint="eastAsia" w:ascii="Times New Roman" w:hAnsi="Times New Roman" w:cs="Times New Roman" w:eastAsiaTheme="minorEastAsia"/>
                      <w:color w:val="auto"/>
                      <w:kern w:val="2"/>
                      <w:sz w:val="21"/>
                      <w:szCs w:val="21"/>
                    </w:rPr>
                    <w:t>75</w:t>
                  </w:r>
                  <w:r>
                    <w:rPr>
                      <w:rFonts w:hint="default" w:ascii="Times New Roman" w:hAnsi="Times New Roman" w:cs="Times New Roman" w:eastAsiaTheme="minorEastAsia"/>
                      <w:color w:val="auto"/>
                      <w:kern w:val="2"/>
                      <w:sz w:val="21"/>
                      <w:szCs w:val="21"/>
                    </w:rPr>
                    <w:t>t</w:t>
                  </w:r>
                </w:p>
              </w:tc>
              <w:tc>
                <w:tcPr>
                  <w:tcW w:w="854" w:type="dxa"/>
                  <w:tcBorders>
                    <w:top w:val="single" w:color="auto" w:sz="4" w:space="0"/>
                    <w:left w:val="single" w:color="auto" w:sz="4" w:space="0"/>
                    <w:bottom w:val="single" w:color="auto" w:sz="4" w:space="0"/>
                    <w:right w:val="single" w:color="auto" w:sz="4" w:space="0"/>
                  </w:tcBorders>
                  <w:noWrap/>
                  <w:vAlign w:val="center"/>
                </w:tcPr>
                <w:p w14:paraId="3A01A8D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200L/</w:t>
                  </w:r>
                  <w:r>
                    <w:rPr>
                      <w:rFonts w:hint="default" w:ascii="Times New Roman" w:hAnsi="Times New Roman" w:cs="Times New Roman"/>
                      <w:color w:val="auto"/>
                      <w:kern w:val="2"/>
                      <w:sz w:val="21"/>
                      <w:szCs w:val="21"/>
                    </w:rPr>
                    <w:t>桶</w:t>
                  </w:r>
                </w:p>
              </w:tc>
              <w:tc>
                <w:tcPr>
                  <w:tcW w:w="854" w:type="dxa"/>
                  <w:tcBorders>
                    <w:top w:val="single" w:color="auto" w:sz="4" w:space="0"/>
                    <w:left w:val="single" w:color="auto" w:sz="4" w:space="0"/>
                    <w:bottom w:val="single" w:color="auto" w:sz="4" w:space="0"/>
                    <w:right w:val="single" w:color="auto" w:sz="4" w:space="0"/>
                  </w:tcBorders>
                  <w:noWrap/>
                  <w:vAlign w:val="center"/>
                </w:tcPr>
                <w:p w14:paraId="784AF54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铁桶</w:t>
                  </w:r>
                </w:p>
              </w:tc>
              <w:tc>
                <w:tcPr>
                  <w:tcW w:w="765" w:type="dxa"/>
                  <w:tcBorders>
                    <w:top w:val="single" w:color="auto" w:sz="4" w:space="0"/>
                    <w:left w:val="single" w:color="auto" w:sz="4" w:space="0"/>
                    <w:bottom w:val="single" w:color="auto" w:sz="4" w:space="0"/>
                    <w:right w:val="single" w:color="auto" w:sz="4" w:space="0"/>
                  </w:tcBorders>
                  <w:noWrap/>
                  <w:vAlign w:val="center"/>
                </w:tcPr>
                <w:p w14:paraId="0F048EC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1.6t</w:t>
                  </w:r>
                </w:p>
              </w:tc>
              <w:tc>
                <w:tcPr>
                  <w:tcW w:w="752" w:type="dxa"/>
                  <w:vMerge w:val="restart"/>
                  <w:tcBorders>
                    <w:top w:val="single" w:color="auto" w:sz="4" w:space="0"/>
                    <w:left w:val="single" w:color="auto" w:sz="4" w:space="0"/>
                    <w:bottom w:val="single" w:color="auto" w:sz="4" w:space="0"/>
                    <w:right w:val="single" w:color="auto" w:sz="4" w:space="0"/>
                  </w:tcBorders>
                  <w:noWrap/>
                  <w:vAlign w:val="center"/>
                </w:tcPr>
                <w:p w14:paraId="6EEB2B0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化学品仓库</w:t>
                  </w:r>
                </w:p>
              </w:tc>
              <w:tc>
                <w:tcPr>
                  <w:tcW w:w="979" w:type="dxa"/>
                  <w:tcBorders>
                    <w:top w:val="single" w:color="auto" w:sz="4" w:space="0"/>
                    <w:left w:val="single" w:color="auto" w:sz="4" w:space="0"/>
                    <w:bottom w:val="single" w:color="auto" w:sz="4" w:space="0"/>
                    <w:right w:val="nil"/>
                  </w:tcBorders>
                  <w:noWrap/>
                  <w:vAlign w:val="center"/>
                </w:tcPr>
                <w:p w14:paraId="2F644AA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变速箱注油</w:t>
                  </w:r>
                </w:p>
              </w:tc>
            </w:tr>
            <w:tr w14:paraId="3CFA2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9" w:type="dxa"/>
                  <w:tcBorders>
                    <w:top w:val="single" w:color="auto" w:sz="4" w:space="0"/>
                    <w:left w:val="nil"/>
                    <w:bottom w:val="single" w:color="auto" w:sz="4" w:space="0"/>
                    <w:right w:val="single" w:color="auto" w:sz="4" w:space="0"/>
                  </w:tcBorders>
                  <w:noWrap/>
                  <w:vAlign w:val="center"/>
                </w:tcPr>
                <w:p w14:paraId="6F9F306A">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rPr>
                  </w:pPr>
                  <w:r>
                    <w:rPr>
                      <w:rFonts w:hint="eastAsia" w:ascii="Times New Roman" w:hAnsi="Times New Roman" w:cs="Times New Roman" w:eastAsiaTheme="minorEastAsia"/>
                      <w:color w:val="auto"/>
                      <w:kern w:val="2"/>
                      <w:sz w:val="21"/>
                      <w:szCs w:val="21"/>
                    </w:rPr>
                    <w:t>23</w:t>
                  </w:r>
                </w:p>
              </w:tc>
              <w:tc>
                <w:tcPr>
                  <w:tcW w:w="1074" w:type="dxa"/>
                  <w:tcBorders>
                    <w:top w:val="single" w:color="auto" w:sz="4" w:space="0"/>
                    <w:left w:val="single" w:color="auto" w:sz="4" w:space="0"/>
                    <w:bottom w:val="single" w:color="auto" w:sz="4" w:space="0"/>
                    <w:right w:val="single" w:color="auto" w:sz="4" w:space="0"/>
                  </w:tcBorders>
                  <w:noWrap/>
                  <w:vAlign w:val="center"/>
                </w:tcPr>
                <w:p w14:paraId="667966E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密封胶</w:t>
                  </w:r>
                </w:p>
              </w:tc>
              <w:tc>
                <w:tcPr>
                  <w:tcW w:w="1291" w:type="dxa"/>
                  <w:tcBorders>
                    <w:top w:val="single" w:color="auto" w:sz="4" w:space="0"/>
                    <w:left w:val="single" w:color="auto" w:sz="4" w:space="0"/>
                    <w:bottom w:val="single" w:color="auto" w:sz="4" w:space="0"/>
                    <w:right w:val="single" w:color="auto" w:sz="4" w:space="0"/>
                  </w:tcBorders>
                  <w:noWrap/>
                  <w:vAlign w:val="center"/>
                </w:tcPr>
                <w:p w14:paraId="1AD24E6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2t</w:t>
                  </w:r>
                </w:p>
              </w:tc>
              <w:tc>
                <w:tcPr>
                  <w:tcW w:w="1158" w:type="dxa"/>
                  <w:tcBorders>
                    <w:top w:val="single" w:color="auto" w:sz="4" w:space="0"/>
                    <w:left w:val="single" w:color="auto" w:sz="4" w:space="0"/>
                    <w:bottom w:val="single" w:color="auto" w:sz="4" w:space="0"/>
                    <w:right w:val="single" w:color="auto" w:sz="4" w:space="0"/>
                  </w:tcBorders>
                  <w:vAlign w:val="center"/>
                </w:tcPr>
                <w:p w14:paraId="27339B1E">
                  <w:pPr>
                    <w:keepNext w:val="0"/>
                    <w:keepLines w:val="0"/>
                    <w:widowControl/>
                    <w:suppressLineNumbers w:val="0"/>
                    <w:spacing w:before="0" w:beforeAutospacing="0" w:after="0" w:afterAutospacing="0"/>
                    <w:ind w:left="0" w:right="0"/>
                    <w:jc w:val="center"/>
                    <w:rPr>
                      <w:rFonts w:hint="eastAsia" w:ascii="Times New Roman" w:hAnsi="Times New Roman" w:cs="Times New Roman" w:eastAsiaTheme="minorEastAsia"/>
                      <w:color w:val="auto"/>
                      <w:kern w:val="2"/>
                      <w:sz w:val="21"/>
                      <w:szCs w:val="21"/>
                      <w:lang w:eastAsia="zh-CN"/>
                    </w:rPr>
                  </w:pPr>
                  <w:r>
                    <w:rPr>
                      <w:rFonts w:hint="eastAsia" w:ascii="Times New Roman" w:hAnsi="Times New Roman" w:cs="Times New Roman" w:eastAsiaTheme="minorEastAsia"/>
                      <w:color w:val="auto"/>
                      <w:kern w:val="2"/>
                      <w:sz w:val="21"/>
                      <w:szCs w:val="21"/>
                    </w:rPr>
                    <w:t>2.5</w:t>
                  </w:r>
                  <w:r>
                    <w:rPr>
                      <w:rFonts w:hint="eastAsia" w:ascii="Times New Roman" w:hAnsi="Times New Roman" w:cs="Times New Roman" w:eastAsiaTheme="minorEastAsia"/>
                      <w:color w:val="auto"/>
                      <w:kern w:val="2"/>
                      <w:sz w:val="21"/>
                      <w:szCs w:val="21"/>
                      <w:lang w:val="en-US" w:eastAsia="zh-CN"/>
                    </w:rPr>
                    <w:t>t</w:t>
                  </w:r>
                </w:p>
              </w:tc>
              <w:tc>
                <w:tcPr>
                  <w:tcW w:w="854" w:type="dxa"/>
                  <w:tcBorders>
                    <w:top w:val="single" w:color="auto" w:sz="4" w:space="0"/>
                    <w:left w:val="single" w:color="auto" w:sz="4" w:space="0"/>
                    <w:bottom w:val="single" w:color="auto" w:sz="4" w:space="0"/>
                    <w:right w:val="single" w:color="auto" w:sz="4" w:space="0"/>
                  </w:tcBorders>
                  <w:noWrap/>
                  <w:vAlign w:val="center"/>
                </w:tcPr>
                <w:p w14:paraId="4879B8D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300ml/</w:t>
                  </w:r>
                  <w:r>
                    <w:rPr>
                      <w:rFonts w:hint="default" w:ascii="Times New Roman" w:hAnsi="Times New Roman" w:cs="Times New Roman"/>
                      <w:color w:val="auto"/>
                      <w:kern w:val="2"/>
                      <w:sz w:val="21"/>
                      <w:szCs w:val="21"/>
                    </w:rPr>
                    <w:t>支</w:t>
                  </w:r>
                </w:p>
              </w:tc>
              <w:tc>
                <w:tcPr>
                  <w:tcW w:w="854" w:type="dxa"/>
                  <w:tcBorders>
                    <w:top w:val="single" w:color="auto" w:sz="4" w:space="0"/>
                    <w:left w:val="single" w:color="auto" w:sz="4" w:space="0"/>
                    <w:bottom w:val="single" w:color="auto" w:sz="4" w:space="0"/>
                    <w:right w:val="single" w:color="auto" w:sz="4" w:space="0"/>
                  </w:tcBorders>
                  <w:noWrap/>
                  <w:vAlign w:val="center"/>
                </w:tcPr>
                <w:p w14:paraId="6708237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支</w:t>
                  </w:r>
                </w:p>
              </w:tc>
              <w:tc>
                <w:tcPr>
                  <w:tcW w:w="765" w:type="dxa"/>
                  <w:tcBorders>
                    <w:top w:val="single" w:color="auto" w:sz="4" w:space="0"/>
                    <w:left w:val="single" w:color="auto" w:sz="4" w:space="0"/>
                    <w:bottom w:val="single" w:color="auto" w:sz="4" w:space="0"/>
                    <w:right w:val="single" w:color="auto" w:sz="4" w:space="0"/>
                  </w:tcBorders>
                  <w:noWrap/>
                  <w:vAlign w:val="center"/>
                </w:tcPr>
                <w:p w14:paraId="143D651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0.2t</w:t>
                  </w: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729B0061">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979" w:type="dxa"/>
                  <w:tcBorders>
                    <w:top w:val="single" w:color="auto" w:sz="4" w:space="0"/>
                    <w:left w:val="single" w:color="auto" w:sz="4" w:space="0"/>
                    <w:bottom w:val="single" w:color="auto" w:sz="4" w:space="0"/>
                    <w:right w:val="nil"/>
                  </w:tcBorders>
                  <w:noWrap/>
                  <w:vAlign w:val="center"/>
                </w:tcPr>
                <w:p w14:paraId="350B1BE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零件密封</w:t>
                  </w:r>
                </w:p>
              </w:tc>
            </w:tr>
            <w:tr w14:paraId="0A02F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9" w:type="dxa"/>
                  <w:tcBorders>
                    <w:top w:val="single" w:color="auto" w:sz="4" w:space="0"/>
                    <w:left w:val="nil"/>
                    <w:bottom w:val="single" w:color="auto" w:sz="4" w:space="0"/>
                    <w:right w:val="single" w:color="auto" w:sz="4" w:space="0"/>
                  </w:tcBorders>
                  <w:noWrap/>
                  <w:vAlign w:val="center"/>
                </w:tcPr>
                <w:p w14:paraId="69DB0C30">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rPr>
                  </w:pPr>
                  <w:r>
                    <w:rPr>
                      <w:rFonts w:hint="eastAsia" w:ascii="Times New Roman" w:hAnsi="Times New Roman" w:cs="Times New Roman" w:eastAsiaTheme="minorEastAsia"/>
                      <w:color w:val="auto"/>
                      <w:kern w:val="2"/>
                      <w:sz w:val="21"/>
                      <w:szCs w:val="21"/>
                    </w:rPr>
                    <w:t>24</w:t>
                  </w:r>
                </w:p>
              </w:tc>
              <w:tc>
                <w:tcPr>
                  <w:tcW w:w="1074" w:type="dxa"/>
                  <w:tcBorders>
                    <w:top w:val="single" w:color="auto" w:sz="4" w:space="0"/>
                    <w:left w:val="single" w:color="auto" w:sz="4" w:space="0"/>
                    <w:bottom w:val="single" w:color="auto" w:sz="4" w:space="0"/>
                    <w:right w:val="single" w:color="auto" w:sz="4" w:space="0"/>
                  </w:tcBorders>
                  <w:noWrap/>
                  <w:vAlign w:val="center"/>
                </w:tcPr>
                <w:p w14:paraId="4CACFE6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液压油</w:t>
                  </w:r>
                </w:p>
              </w:tc>
              <w:tc>
                <w:tcPr>
                  <w:tcW w:w="1291" w:type="dxa"/>
                  <w:tcBorders>
                    <w:top w:val="single" w:color="auto" w:sz="4" w:space="0"/>
                    <w:left w:val="single" w:color="auto" w:sz="4" w:space="0"/>
                    <w:bottom w:val="single" w:color="auto" w:sz="4" w:space="0"/>
                    <w:right w:val="single" w:color="auto" w:sz="4" w:space="0"/>
                  </w:tcBorders>
                  <w:noWrap/>
                  <w:vAlign w:val="center"/>
                </w:tcPr>
                <w:p w14:paraId="4A6141D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0.09t</w:t>
                  </w:r>
                </w:p>
              </w:tc>
              <w:tc>
                <w:tcPr>
                  <w:tcW w:w="1158" w:type="dxa"/>
                  <w:tcBorders>
                    <w:top w:val="single" w:color="auto" w:sz="4" w:space="0"/>
                    <w:left w:val="single" w:color="auto" w:sz="4" w:space="0"/>
                    <w:bottom w:val="single" w:color="auto" w:sz="4" w:space="0"/>
                    <w:right w:val="single" w:color="auto" w:sz="4" w:space="0"/>
                  </w:tcBorders>
                  <w:vAlign w:val="center"/>
                </w:tcPr>
                <w:p w14:paraId="03127611">
                  <w:pPr>
                    <w:keepNext w:val="0"/>
                    <w:keepLines w:val="0"/>
                    <w:widowControl/>
                    <w:suppressLineNumbers w:val="0"/>
                    <w:spacing w:before="0" w:beforeAutospacing="0" w:after="0" w:afterAutospacing="0"/>
                    <w:ind w:left="0" w:right="0"/>
                    <w:jc w:val="center"/>
                    <w:rPr>
                      <w:rFonts w:hint="eastAsia" w:ascii="Times New Roman" w:hAnsi="Times New Roman" w:cs="Times New Roman" w:eastAsiaTheme="minorEastAsia"/>
                      <w:color w:val="auto"/>
                      <w:kern w:val="2"/>
                      <w:sz w:val="21"/>
                      <w:szCs w:val="21"/>
                      <w:lang w:eastAsia="zh-CN"/>
                    </w:rPr>
                  </w:pPr>
                  <w:r>
                    <w:rPr>
                      <w:rFonts w:hint="eastAsia" w:ascii="Times New Roman" w:hAnsi="Times New Roman" w:cs="Times New Roman" w:eastAsiaTheme="minorEastAsia"/>
                      <w:color w:val="auto"/>
                      <w:kern w:val="2"/>
                      <w:sz w:val="21"/>
                      <w:szCs w:val="21"/>
                    </w:rPr>
                    <w:t>0.12</w:t>
                  </w:r>
                  <w:r>
                    <w:rPr>
                      <w:rFonts w:hint="eastAsia" w:ascii="Times New Roman" w:hAnsi="Times New Roman" w:cs="Times New Roman" w:eastAsiaTheme="minorEastAsia"/>
                      <w:color w:val="auto"/>
                      <w:kern w:val="2"/>
                      <w:sz w:val="21"/>
                      <w:szCs w:val="21"/>
                      <w:lang w:val="en-US" w:eastAsia="zh-CN"/>
                    </w:rPr>
                    <w:t>t</w:t>
                  </w:r>
                </w:p>
              </w:tc>
              <w:tc>
                <w:tcPr>
                  <w:tcW w:w="854" w:type="dxa"/>
                  <w:tcBorders>
                    <w:top w:val="single" w:color="auto" w:sz="4" w:space="0"/>
                    <w:left w:val="single" w:color="auto" w:sz="4" w:space="0"/>
                    <w:bottom w:val="single" w:color="auto" w:sz="4" w:space="0"/>
                    <w:right w:val="single" w:color="auto" w:sz="4" w:space="0"/>
                  </w:tcBorders>
                  <w:noWrap/>
                  <w:vAlign w:val="center"/>
                </w:tcPr>
                <w:p w14:paraId="60BEB78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20L/</w:t>
                  </w:r>
                  <w:r>
                    <w:rPr>
                      <w:rFonts w:hint="default" w:ascii="Times New Roman" w:hAnsi="Times New Roman" w:cs="Times New Roman"/>
                      <w:color w:val="auto"/>
                      <w:kern w:val="2"/>
                      <w:sz w:val="21"/>
                      <w:szCs w:val="21"/>
                    </w:rPr>
                    <w:t>桶</w:t>
                  </w:r>
                </w:p>
              </w:tc>
              <w:tc>
                <w:tcPr>
                  <w:tcW w:w="854" w:type="dxa"/>
                  <w:tcBorders>
                    <w:top w:val="single" w:color="auto" w:sz="4" w:space="0"/>
                    <w:left w:val="single" w:color="auto" w:sz="4" w:space="0"/>
                    <w:bottom w:val="single" w:color="auto" w:sz="4" w:space="0"/>
                    <w:right w:val="single" w:color="auto" w:sz="4" w:space="0"/>
                  </w:tcBorders>
                  <w:noWrap/>
                  <w:vAlign w:val="center"/>
                </w:tcPr>
                <w:p w14:paraId="244E5F5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铁桶</w:t>
                  </w:r>
                </w:p>
              </w:tc>
              <w:tc>
                <w:tcPr>
                  <w:tcW w:w="765" w:type="dxa"/>
                  <w:tcBorders>
                    <w:top w:val="single" w:color="auto" w:sz="4" w:space="0"/>
                    <w:left w:val="single" w:color="auto" w:sz="4" w:space="0"/>
                    <w:bottom w:val="single" w:color="auto" w:sz="4" w:space="0"/>
                    <w:right w:val="single" w:color="auto" w:sz="4" w:space="0"/>
                  </w:tcBorders>
                  <w:noWrap/>
                  <w:vAlign w:val="center"/>
                </w:tcPr>
                <w:p w14:paraId="0AB4D94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0.0</w:t>
                  </w:r>
                  <w:r>
                    <w:rPr>
                      <w:rFonts w:hint="eastAsia" w:ascii="Times New Roman" w:hAnsi="Times New Roman" w:cs="Times New Roman"/>
                      <w:color w:val="auto"/>
                      <w:kern w:val="2"/>
                      <w:sz w:val="21"/>
                      <w:szCs w:val="21"/>
                    </w:rPr>
                    <w:t>4</w:t>
                  </w:r>
                  <w:r>
                    <w:rPr>
                      <w:rFonts w:hint="default" w:ascii="Times New Roman" w:hAnsi="Times New Roman" w:eastAsia="Times New Roman" w:cs="Times New Roman"/>
                      <w:color w:val="auto"/>
                      <w:kern w:val="2"/>
                      <w:sz w:val="21"/>
                      <w:szCs w:val="21"/>
                    </w:rPr>
                    <w:t>t</w:t>
                  </w: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5C602978">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979" w:type="dxa"/>
                  <w:vMerge w:val="restart"/>
                  <w:tcBorders>
                    <w:top w:val="single" w:color="auto" w:sz="4" w:space="0"/>
                    <w:left w:val="single" w:color="auto" w:sz="4" w:space="0"/>
                    <w:bottom w:val="single" w:color="auto" w:sz="4" w:space="0"/>
                    <w:right w:val="nil"/>
                  </w:tcBorders>
                  <w:noWrap/>
                  <w:vAlign w:val="center"/>
                </w:tcPr>
                <w:p w14:paraId="0DCB523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设备维护</w:t>
                  </w:r>
                </w:p>
              </w:tc>
            </w:tr>
            <w:tr w14:paraId="05F85F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9" w:type="dxa"/>
                  <w:tcBorders>
                    <w:top w:val="single" w:color="auto" w:sz="4" w:space="0"/>
                    <w:left w:val="nil"/>
                    <w:bottom w:val="single" w:color="auto" w:sz="4" w:space="0"/>
                    <w:right w:val="single" w:color="auto" w:sz="4" w:space="0"/>
                  </w:tcBorders>
                  <w:noWrap/>
                  <w:vAlign w:val="center"/>
                </w:tcPr>
                <w:p w14:paraId="2CA3724E">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rPr>
                  </w:pPr>
                  <w:r>
                    <w:rPr>
                      <w:rFonts w:hint="eastAsia" w:ascii="Times New Roman" w:hAnsi="Times New Roman" w:cs="Times New Roman" w:eastAsiaTheme="minorEastAsia"/>
                      <w:color w:val="auto"/>
                      <w:kern w:val="2"/>
                      <w:sz w:val="21"/>
                      <w:szCs w:val="21"/>
                    </w:rPr>
                    <w:t>25</w:t>
                  </w:r>
                </w:p>
              </w:tc>
              <w:tc>
                <w:tcPr>
                  <w:tcW w:w="1074" w:type="dxa"/>
                  <w:tcBorders>
                    <w:top w:val="single" w:color="auto" w:sz="4" w:space="0"/>
                    <w:left w:val="single" w:color="auto" w:sz="4" w:space="0"/>
                    <w:bottom w:val="single" w:color="auto" w:sz="4" w:space="0"/>
                    <w:right w:val="single" w:color="auto" w:sz="4" w:space="0"/>
                  </w:tcBorders>
                  <w:noWrap/>
                  <w:vAlign w:val="center"/>
                </w:tcPr>
                <w:p w14:paraId="4525C02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润滑油</w:t>
                  </w:r>
                </w:p>
              </w:tc>
              <w:tc>
                <w:tcPr>
                  <w:tcW w:w="1291" w:type="dxa"/>
                  <w:tcBorders>
                    <w:top w:val="single" w:color="auto" w:sz="4" w:space="0"/>
                    <w:left w:val="single" w:color="auto" w:sz="4" w:space="0"/>
                    <w:bottom w:val="single" w:color="auto" w:sz="4" w:space="0"/>
                    <w:right w:val="single" w:color="auto" w:sz="4" w:space="0"/>
                  </w:tcBorders>
                  <w:noWrap/>
                  <w:vAlign w:val="center"/>
                </w:tcPr>
                <w:p w14:paraId="43401DB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0.05t</w:t>
                  </w:r>
                </w:p>
              </w:tc>
              <w:tc>
                <w:tcPr>
                  <w:tcW w:w="1158" w:type="dxa"/>
                  <w:tcBorders>
                    <w:top w:val="single" w:color="auto" w:sz="4" w:space="0"/>
                    <w:left w:val="single" w:color="auto" w:sz="4" w:space="0"/>
                    <w:bottom w:val="single" w:color="auto" w:sz="4" w:space="0"/>
                    <w:right w:val="single" w:color="auto" w:sz="4" w:space="0"/>
                  </w:tcBorders>
                  <w:vAlign w:val="center"/>
                </w:tcPr>
                <w:p w14:paraId="4B9F8814">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rPr>
                  </w:pPr>
                  <w:r>
                    <w:rPr>
                      <w:rFonts w:hint="eastAsia" w:ascii="Times New Roman" w:hAnsi="Times New Roman" w:cs="Times New Roman" w:eastAsiaTheme="minorEastAsia"/>
                      <w:color w:val="auto"/>
                      <w:kern w:val="2"/>
                      <w:sz w:val="21"/>
                      <w:szCs w:val="21"/>
                    </w:rPr>
                    <w:t>0.07</w:t>
                  </w:r>
                  <w:r>
                    <w:rPr>
                      <w:rFonts w:hint="default" w:ascii="Times New Roman" w:hAnsi="Times New Roman" w:cs="Times New Roman" w:eastAsiaTheme="minorEastAsia"/>
                      <w:color w:val="auto"/>
                      <w:kern w:val="2"/>
                      <w:sz w:val="21"/>
                      <w:szCs w:val="21"/>
                    </w:rPr>
                    <w:t>t</w:t>
                  </w:r>
                </w:p>
              </w:tc>
              <w:tc>
                <w:tcPr>
                  <w:tcW w:w="854" w:type="dxa"/>
                  <w:tcBorders>
                    <w:top w:val="single" w:color="auto" w:sz="4" w:space="0"/>
                    <w:left w:val="single" w:color="auto" w:sz="4" w:space="0"/>
                    <w:bottom w:val="single" w:color="auto" w:sz="4" w:space="0"/>
                    <w:right w:val="single" w:color="auto" w:sz="4" w:space="0"/>
                  </w:tcBorders>
                  <w:noWrap/>
                  <w:vAlign w:val="center"/>
                </w:tcPr>
                <w:p w14:paraId="6036279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30kg/</w:t>
                  </w:r>
                  <w:r>
                    <w:rPr>
                      <w:rFonts w:hint="default" w:ascii="Times New Roman" w:hAnsi="Times New Roman" w:cs="Times New Roman"/>
                      <w:color w:val="auto"/>
                      <w:kern w:val="2"/>
                      <w:sz w:val="21"/>
                      <w:szCs w:val="21"/>
                    </w:rPr>
                    <w:t>桶</w:t>
                  </w:r>
                </w:p>
              </w:tc>
              <w:tc>
                <w:tcPr>
                  <w:tcW w:w="854" w:type="dxa"/>
                  <w:tcBorders>
                    <w:top w:val="single" w:color="auto" w:sz="4" w:space="0"/>
                    <w:left w:val="single" w:color="auto" w:sz="4" w:space="0"/>
                    <w:bottom w:val="single" w:color="auto" w:sz="4" w:space="0"/>
                    <w:right w:val="single" w:color="auto" w:sz="4" w:space="0"/>
                  </w:tcBorders>
                  <w:noWrap/>
                  <w:vAlign w:val="center"/>
                </w:tcPr>
                <w:p w14:paraId="1DAD5A2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塑料桶</w:t>
                  </w:r>
                </w:p>
              </w:tc>
              <w:tc>
                <w:tcPr>
                  <w:tcW w:w="765" w:type="dxa"/>
                  <w:tcBorders>
                    <w:top w:val="single" w:color="auto" w:sz="4" w:space="0"/>
                    <w:left w:val="single" w:color="auto" w:sz="4" w:space="0"/>
                    <w:bottom w:val="single" w:color="auto" w:sz="4" w:space="0"/>
                    <w:right w:val="single" w:color="auto" w:sz="4" w:space="0"/>
                  </w:tcBorders>
                  <w:noWrap/>
                  <w:vAlign w:val="center"/>
                </w:tcPr>
                <w:p w14:paraId="659AA58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0.03t</w:t>
                  </w: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6435C444">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979" w:type="dxa"/>
                  <w:vMerge w:val="continue"/>
                  <w:tcBorders>
                    <w:top w:val="single" w:color="auto" w:sz="4" w:space="0"/>
                    <w:left w:val="single" w:color="auto" w:sz="4" w:space="0"/>
                    <w:bottom w:val="single" w:color="auto" w:sz="4" w:space="0"/>
                    <w:right w:val="nil"/>
                  </w:tcBorders>
                  <w:vAlign w:val="center"/>
                </w:tcPr>
                <w:p w14:paraId="2223607F">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r>
            <w:tr w14:paraId="502D39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9" w:type="dxa"/>
                  <w:tcBorders>
                    <w:top w:val="single" w:color="auto" w:sz="4" w:space="0"/>
                    <w:left w:val="nil"/>
                    <w:bottom w:val="single" w:color="auto" w:sz="4" w:space="0"/>
                    <w:right w:val="single" w:color="auto" w:sz="4" w:space="0"/>
                  </w:tcBorders>
                  <w:noWrap/>
                  <w:vAlign w:val="center"/>
                </w:tcPr>
                <w:p w14:paraId="31E72645">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rPr>
                  </w:pPr>
                  <w:r>
                    <w:rPr>
                      <w:rFonts w:hint="eastAsia" w:ascii="Times New Roman" w:hAnsi="Times New Roman" w:cs="Times New Roman" w:eastAsiaTheme="minorEastAsia"/>
                      <w:color w:val="auto"/>
                      <w:kern w:val="2"/>
                      <w:sz w:val="21"/>
                      <w:szCs w:val="21"/>
                    </w:rPr>
                    <w:t>26</w:t>
                  </w:r>
                </w:p>
              </w:tc>
              <w:tc>
                <w:tcPr>
                  <w:tcW w:w="1074" w:type="dxa"/>
                  <w:tcBorders>
                    <w:top w:val="single" w:color="auto" w:sz="4" w:space="0"/>
                    <w:left w:val="single" w:color="auto" w:sz="4" w:space="0"/>
                    <w:bottom w:val="single" w:color="auto" w:sz="4" w:space="0"/>
                    <w:right w:val="single" w:color="auto" w:sz="4" w:space="0"/>
                  </w:tcBorders>
                  <w:noWrap/>
                  <w:vAlign w:val="center"/>
                </w:tcPr>
                <w:p w14:paraId="350E911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碳氢清洗剂</w:t>
                  </w:r>
                </w:p>
              </w:tc>
              <w:tc>
                <w:tcPr>
                  <w:tcW w:w="1291" w:type="dxa"/>
                  <w:tcBorders>
                    <w:top w:val="single" w:color="auto" w:sz="4" w:space="0"/>
                    <w:left w:val="single" w:color="auto" w:sz="4" w:space="0"/>
                    <w:bottom w:val="single" w:color="auto" w:sz="4" w:space="0"/>
                    <w:right w:val="single" w:color="auto" w:sz="4" w:space="0"/>
                  </w:tcBorders>
                  <w:noWrap/>
                  <w:vAlign w:val="center"/>
                </w:tcPr>
                <w:p w14:paraId="4922E39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5t</w:t>
                  </w:r>
                </w:p>
              </w:tc>
              <w:tc>
                <w:tcPr>
                  <w:tcW w:w="1158" w:type="dxa"/>
                  <w:tcBorders>
                    <w:top w:val="single" w:color="auto" w:sz="4" w:space="0"/>
                    <w:left w:val="single" w:color="auto" w:sz="4" w:space="0"/>
                    <w:bottom w:val="single" w:color="auto" w:sz="4" w:space="0"/>
                    <w:right w:val="single" w:color="auto" w:sz="4" w:space="0"/>
                  </w:tcBorders>
                  <w:vAlign w:val="center"/>
                </w:tcPr>
                <w:p w14:paraId="16578119">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rPr>
                  </w:pPr>
                  <w:r>
                    <w:rPr>
                      <w:rFonts w:hint="eastAsia" w:ascii="Times New Roman" w:hAnsi="Times New Roman" w:cs="Times New Roman" w:eastAsiaTheme="minorEastAsia"/>
                      <w:color w:val="auto"/>
                      <w:kern w:val="2"/>
                      <w:sz w:val="21"/>
                      <w:szCs w:val="21"/>
                    </w:rPr>
                    <w:t>6.25</w:t>
                  </w:r>
                  <w:r>
                    <w:rPr>
                      <w:rFonts w:hint="default" w:ascii="Times New Roman" w:hAnsi="Times New Roman" w:cs="Times New Roman" w:eastAsiaTheme="minorEastAsia"/>
                      <w:color w:val="auto"/>
                      <w:kern w:val="2"/>
                      <w:sz w:val="21"/>
                      <w:szCs w:val="21"/>
                    </w:rPr>
                    <w:t>t</w:t>
                  </w:r>
                </w:p>
              </w:tc>
              <w:tc>
                <w:tcPr>
                  <w:tcW w:w="854" w:type="dxa"/>
                  <w:tcBorders>
                    <w:top w:val="single" w:color="auto" w:sz="4" w:space="0"/>
                    <w:left w:val="single" w:color="auto" w:sz="4" w:space="0"/>
                    <w:bottom w:val="single" w:color="auto" w:sz="4" w:space="0"/>
                    <w:right w:val="single" w:color="auto" w:sz="4" w:space="0"/>
                  </w:tcBorders>
                  <w:noWrap/>
                  <w:vAlign w:val="center"/>
                </w:tcPr>
                <w:p w14:paraId="6514C6A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200L</w:t>
                  </w:r>
                  <w:r>
                    <w:rPr>
                      <w:rFonts w:hint="default" w:ascii="Times New Roman" w:hAnsi="Times New Roman" w:cs="Times New Roman"/>
                      <w:color w:val="auto"/>
                      <w:kern w:val="2"/>
                      <w:sz w:val="21"/>
                      <w:szCs w:val="21"/>
                    </w:rPr>
                    <w:t>桶</w:t>
                  </w:r>
                </w:p>
              </w:tc>
              <w:tc>
                <w:tcPr>
                  <w:tcW w:w="854" w:type="dxa"/>
                  <w:tcBorders>
                    <w:top w:val="single" w:color="auto" w:sz="4" w:space="0"/>
                    <w:left w:val="single" w:color="auto" w:sz="4" w:space="0"/>
                    <w:bottom w:val="single" w:color="auto" w:sz="4" w:space="0"/>
                    <w:right w:val="single" w:color="auto" w:sz="4" w:space="0"/>
                  </w:tcBorders>
                  <w:noWrap/>
                  <w:vAlign w:val="center"/>
                </w:tcPr>
                <w:p w14:paraId="2C3C614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铁桶</w:t>
                  </w:r>
                </w:p>
              </w:tc>
              <w:tc>
                <w:tcPr>
                  <w:tcW w:w="765" w:type="dxa"/>
                  <w:tcBorders>
                    <w:top w:val="single" w:color="auto" w:sz="4" w:space="0"/>
                    <w:left w:val="single" w:color="auto" w:sz="4" w:space="0"/>
                    <w:bottom w:val="single" w:color="auto" w:sz="4" w:space="0"/>
                    <w:right w:val="single" w:color="auto" w:sz="4" w:space="0"/>
                  </w:tcBorders>
                  <w:noWrap/>
                  <w:vAlign w:val="center"/>
                </w:tcPr>
                <w:p w14:paraId="658A3A0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0.5t</w:t>
                  </w:r>
                </w:p>
              </w:tc>
              <w:tc>
                <w:tcPr>
                  <w:tcW w:w="752" w:type="dxa"/>
                  <w:vMerge w:val="continue"/>
                  <w:tcBorders>
                    <w:top w:val="single" w:color="auto" w:sz="4" w:space="0"/>
                    <w:left w:val="single" w:color="auto" w:sz="4" w:space="0"/>
                    <w:bottom w:val="single" w:color="auto" w:sz="4" w:space="0"/>
                    <w:right w:val="single" w:color="auto" w:sz="4" w:space="0"/>
                  </w:tcBorders>
                  <w:vAlign w:val="center"/>
                </w:tcPr>
                <w:p w14:paraId="17176873">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 w:val="21"/>
                      <w:szCs w:val="21"/>
                    </w:rPr>
                  </w:pPr>
                </w:p>
              </w:tc>
              <w:tc>
                <w:tcPr>
                  <w:tcW w:w="979" w:type="dxa"/>
                  <w:tcBorders>
                    <w:top w:val="single" w:color="auto" w:sz="4" w:space="0"/>
                    <w:left w:val="single" w:color="auto" w:sz="4" w:space="0"/>
                    <w:bottom w:val="single" w:color="auto" w:sz="4" w:space="0"/>
                    <w:right w:val="nil"/>
                  </w:tcBorders>
                  <w:vAlign w:val="center"/>
                </w:tcPr>
                <w:p w14:paraId="1550BF3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来料清洗</w:t>
                  </w:r>
                </w:p>
              </w:tc>
            </w:tr>
            <w:tr w14:paraId="2FAE44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356" w:type="dxa"/>
                  <w:gridSpan w:val="9"/>
                  <w:tcBorders>
                    <w:top w:val="single" w:color="auto" w:sz="4" w:space="0"/>
                    <w:left w:val="nil"/>
                    <w:bottom w:val="single" w:color="auto" w:sz="4" w:space="0"/>
                    <w:right w:val="nil"/>
                  </w:tcBorders>
                  <w:vAlign w:val="center"/>
                </w:tcPr>
                <w:p w14:paraId="1A035B7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资源能源消耗</w:t>
                  </w:r>
                </w:p>
              </w:tc>
            </w:tr>
            <w:tr w14:paraId="1013B4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9" w:type="dxa"/>
                  <w:tcBorders>
                    <w:top w:val="single" w:color="auto" w:sz="4" w:space="0"/>
                    <w:left w:val="nil"/>
                    <w:bottom w:val="single" w:color="auto" w:sz="4" w:space="0"/>
                    <w:right w:val="single" w:color="auto" w:sz="4" w:space="0"/>
                  </w:tcBorders>
                  <w:noWrap/>
                  <w:vAlign w:val="center"/>
                </w:tcPr>
                <w:p w14:paraId="35FF223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1</w:t>
                  </w:r>
                </w:p>
              </w:tc>
              <w:tc>
                <w:tcPr>
                  <w:tcW w:w="1074" w:type="dxa"/>
                  <w:tcBorders>
                    <w:top w:val="single" w:color="auto" w:sz="4" w:space="0"/>
                    <w:left w:val="single" w:color="auto" w:sz="4" w:space="0"/>
                    <w:bottom w:val="single" w:color="auto" w:sz="4" w:space="0"/>
                    <w:right w:val="single" w:color="auto" w:sz="4" w:space="0"/>
                  </w:tcBorders>
                  <w:noWrap/>
                  <w:vAlign w:val="center"/>
                </w:tcPr>
                <w:p w14:paraId="65CE993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水</w:t>
                  </w:r>
                </w:p>
              </w:tc>
              <w:tc>
                <w:tcPr>
                  <w:tcW w:w="1291" w:type="dxa"/>
                  <w:tcBorders>
                    <w:top w:val="single" w:color="auto" w:sz="4" w:space="0"/>
                    <w:left w:val="single" w:color="auto" w:sz="4" w:space="0"/>
                    <w:bottom w:val="single" w:color="auto" w:sz="4" w:space="0"/>
                    <w:right w:val="single" w:color="auto" w:sz="4" w:space="0"/>
                  </w:tcBorders>
                  <w:noWrap/>
                  <w:vAlign w:val="center"/>
                </w:tcPr>
                <w:p w14:paraId="2A11BF5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bCs/>
                      <w:color w:val="auto"/>
                      <w:kern w:val="2"/>
                      <w:sz w:val="21"/>
                      <w:szCs w:val="21"/>
                    </w:rPr>
                    <w:t>5246.8</w:t>
                  </w:r>
                </w:p>
              </w:tc>
              <w:tc>
                <w:tcPr>
                  <w:tcW w:w="1158" w:type="dxa"/>
                  <w:tcBorders>
                    <w:top w:val="single" w:color="auto" w:sz="4" w:space="0"/>
                    <w:left w:val="single" w:color="auto" w:sz="4" w:space="0"/>
                    <w:bottom w:val="single" w:color="auto" w:sz="4" w:space="0"/>
                    <w:right w:val="single" w:color="auto" w:sz="4" w:space="0"/>
                  </w:tcBorders>
                  <w:vAlign w:val="center"/>
                </w:tcPr>
                <w:p w14:paraId="262478BF">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rPr>
                  </w:pPr>
                  <w:r>
                    <w:rPr>
                      <w:rFonts w:hint="default" w:ascii="Times New Roman" w:hAnsi="Times New Roman" w:cs="Times New Roman" w:eastAsiaTheme="minorEastAsia"/>
                      <w:color w:val="auto"/>
                      <w:kern w:val="2"/>
                      <w:sz w:val="21"/>
                      <w:szCs w:val="21"/>
                    </w:rPr>
                    <w:t>/</w:t>
                  </w:r>
                </w:p>
              </w:tc>
              <w:tc>
                <w:tcPr>
                  <w:tcW w:w="854" w:type="dxa"/>
                  <w:tcBorders>
                    <w:top w:val="single" w:color="auto" w:sz="4" w:space="0"/>
                    <w:left w:val="single" w:color="auto" w:sz="4" w:space="0"/>
                    <w:bottom w:val="single" w:color="auto" w:sz="4" w:space="0"/>
                    <w:right w:val="single" w:color="auto" w:sz="4" w:space="0"/>
                  </w:tcBorders>
                  <w:noWrap/>
                  <w:vAlign w:val="center"/>
                </w:tcPr>
                <w:p w14:paraId="6A15474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m³</w:t>
                  </w:r>
                </w:p>
              </w:tc>
              <w:tc>
                <w:tcPr>
                  <w:tcW w:w="854" w:type="dxa"/>
                  <w:tcBorders>
                    <w:top w:val="single" w:color="auto" w:sz="4" w:space="0"/>
                    <w:left w:val="single" w:color="auto" w:sz="4" w:space="0"/>
                    <w:bottom w:val="single" w:color="auto" w:sz="4" w:space="0"/>
                    <w:right w:val="single" w:color="auto" w:sz="4" w:space="0"/>
                  </w:tcBorders>
                  <w:noWrap/>
                  <w:vAlign w:val="center"/>
                </w:tcPr>
                <w:p w14:paraId="0FC2581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w:t>
                  </w:r>
                </w:p>
              </w:tc>
              <w:tc>
                <w:tcPr>
                  <w:tcW w:w="765" w:type="dxa"/>
                  <w:tcBorders>
                    <w:top w:val="single" w:color="auto" w:sz="4" w:space="0"/>
                    <w:left w:val="single" w:color="auto" w:sz="4" w:space="0"/>
                    <w:bottom w:val="single" w:color="auto" w:sz="4" w:space="0"/>
                    <w:right w:val="single" w:color="auto" w:sz="4" w:space="0"/>
                  </w:tcBorders>
                  <w:noWrap/>
                  <w:vAlign w:val="center"/>
                </w:tcPr>
                <w:p w14:paraId="04F6C49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w:t>
                  </w:r>
                </w:p>
              </w:tc>
              <w:tc>
                <w:tcPr>
                  <w:tcW w:w="752" w:type="dxa"/>
                  <w:tcBorders>
                    <w:top w:val="single" w:color="auto" w:sz="4" w:space="0"/>
                    <w:left w:val="single" w:color="auto" w:sz="4" w:space="0"/>
                    <w:bottom w:val="single" w:color="auto" w:sz="4" w:space="0"/>
                    <w:right w:val="single" w:color="auto" w:sz="4" w:space="0"/>
                  </w:tcBorders>
                  <w:noWrap/>
                  <w:vAlign w:val="center"/>
                </w:tcPr>
                <w:p w14:paraId="62F260F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w:t>
                  </w:r>
                </w:p>
              </w:tc>
              <w:tc>
                <w:tcPr>
                  <w:tcW w:w="979" w:type="dxa"/>
                  <w:tcBorders>
                    <w:top w:val="single" w:color="auto" w:sz="4" w:space="0"/>
                    <w:left w:val="single" w:color="auto" w:sz="4" w:space="0"/>
                    <w:bottom w:val="single" w:color="auto" w:sz="4" w:space="0"/>
                    <w:right w:val="nil"/>
                  </w:tcBorders>
                  <w:vAlign w:val="center"/>
                </w:tcPr>
                <w:p w14:paraId="77AF353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市政管网供水</w:t>
                  </w:r>
                </w:p>
              </w:tc>
            </w:tr>
            <w:tr w14:paraId="3177B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29" w:type="dxa"/>
                  <w:tcBorders>
                    <w:top w:val="single" w:color="auto" w:sz="4" w:space="0"/>
                    <w:left w:val="nil"/>
                    <w:bottom w:val="single" w:color="auto" w:sz="12" w:space="0"/>
                    <w:right w:val="single" w:color="auto" w:sz="4" w:space="0"/>
                  </w:tcBorders>
                  <w:noWrap/>
                  <w:vAlign w:val="center"/>
                </w:tcPr>
                <w:p w14:paraId="01B1880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2</w:t>
                  </w:r>
                </w:p>
              </w:tc>
              <w:tc>
                <w:tcPr>
                  <w:tcW w:w="1074" w:type="dxa"/>
                  <w:tcBorders>
                    <w:top w:val="single" w:color="auto" w:sz="4" w:space="0"/>
                    <w:left w:val="single" w:color="auto" w:sz="4" w:space="0"/>
                    <w:bottom w:val="single" w:color="auto" w:sz="12" w:space="0"/>
                    <w:right w:val="single" w:color="auto" w:sz="4" w:space="0"/>
                  </w:tcBorders>
                  <w:noWrap/>
                  <w:vAlign w:val="center"/>
                </w:tcPr>
                <w:p w14:paraId="7F4A286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电</w:t>
                  </w:r>
                </w:p>
              </w:tc>
              <w:tc>
                <w:tcPr>
                  <w:tcW w:w="1291" w:type="dxa"/>
                  <w:tcBorders>
                    <w:top w:val="single" w:color="auto" w:sz="4" w:space="0"/>
                    <w:left w:val="single" w:color="auto" w:sz="4" w:space="0"/>
                    <w:bottom w:val="single" w:color="auto" w:sz="12" w:space="0"/>
                    <w:right w:val="single" w:color="auto" w:sz="4" w:space="0"/>
                  </w:tcBorders>
                  <w:noWrap/>
                  <w:vAlign w:val="center"/>
                </w:tcPr>
                <w:p w14:paraId="288C662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350</w:t>
                  </w:r>
                  <w:r>
                    <w:rPr>
                      <w:rFonts w:hint="default" w:ascii="Times New Roman" w:hAnsi="Times New Roman" w:cs="Times New Roman"/>
                      <w:color w:val="auto"/>
                      <w:kern w:val="2"/>
                      <w:sz w:val="21"/>
                      <w:szCs w:val="21"/>
                    </w:rPr>
                    <w:t>万</w:t>
                  </w:r>
                </w:p>
              </w:tc>
              <w:tc>
                <w:tcPr>
                  <w:tcW w:w="1158" w:type="dxa"/>
                  <w:tcBorders>
                    <w:top w:val="single" w:color="auto" w:sz="4" w:space="0"/>
                    <w:left w:val="single" w:color="auto" w:sz="4" w:space="0"/>
                    <w:bottom w:val="single" w:color="auto" w:sz="12" w:space="0"/>
                    <w:right w:val="single" w:color="auto" w:sz="4" w:space="0"/>
                  </w:tcBorders>
                  <w:vAlign w:val="center"/>
                </w:tcPr>
                <w:p w14:paraId="3AAA4710">
                  <w:pPr>
                    <w:keepNext w:val="0"/>
                    <w:keepLines w:val="0"/>
                    <w:widowControl/>
                    <w:suppressLineNumbers w:val="0"/>
                    <w:spacing w:before="0" w:beforeAutospacing="0" w:after="0" w:afterAutospacing="0"/>
                    <w:ind w:left="0" w:right="0"/>
                    <w:jc w:val="center"/>
                    <w:rPr>
                      <w:rFonts w:hint="default" w:ascii="Times New Roman" w:hAnsi="Times New Roman" w:cs="Times New Roman" w:eastAsiaTheme="minorEastAsia"/>
                      <w:color w:val="auto"/>
                      <w:kern w:val="2"/>
                      <w:sz w:val="21"/>
                      <w:szCs w:val="21"/>
                    </w:rPr>
                  </w:pPr>
                  <w:r>
                    <w:rPr>
                      <w:rFonts w:hint="eastAsia" w:ascii="Times New Roman" w:hAnsi="Times New Roman" w:cs="Times New Roman" w:eastAsiaTheme="minorEastAsia"/>
                      <w:color w:val="auto"/>
                      <w:kern w:val="2"/>
                      <w:sz w:val="21"/>
                      <w:szCs w:val="21"/>
                    </w:rPr>
                    <w:t>450万</w:t>
                  </w:r>
                </w:p>
              </w:tc>
              <w:tc>
                <w:tcPr>
                  <w:tcW w:w="854" w:type="dxa"/>
                  <w:tcBorders>
                    <w:top w:val="single" w:color="auto" w:sz="4" w:space="0"/>
                    <w:left w:val="single" w:color="auto" w:sz="4" w:space="0"/>
                    <w:bottom w:val="single" w:color="auto" w:sz="12" w:space="0"/>
                    <w:right w:val="single" w:color="auto" w:sz="4" w:space="0"/>
                  </w:tcBorders>
                  <w:noWrap/>
                  <w:vAlign w:val="center"/>
                </w:tcPr>
                <w:p w14:paraId="12401E4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KWh/a</w:t>
                  </w:r>
                </w:p>
              </w:tc>
              <w:tc>
                <w:tcPr>
                  <w:tcW w:w="854" w:type="dxa"/>
                  <w:tcBorders>
                    <w:top w:val="single" w:color="auto" w:sz="4" w:space="0"/>
                    <w:left w:val="single" w:color="auto" w:sz="4" w:space="0"/>
                    <w:bottom w:val="single" w:color="auto" w:sz="12" w:space="0"/>
                    <w:right w:val="single" w:color="auto" w:sz="4" w:space="0"/>
                  </w:tcBorders>
                  <w:noWrap/>
                  <w:vAlign w:val="center"/>
                </w:tcPr>
                <w:p w14:paraId="4E14D3B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w:t>
                  </w:r>
                </w:p>
              </w:tc>
              <w:tc>
                <w:tcPr>
                  <w:tcW w:w="765" w:type="dxa"/>
                  <w:tcBorders>
                    <w:top w:val="single" w:color="auto" w:sz="4" w:space="0"/>
                    <w:left w:val="single" w:color="auto" w:sz="4" w:space="0"/>
                    <w:bottom w:val="single" w:color="auto" w:sz="12" w:space="0"/>
                    <w:right w:val="single" w:color="auto" w:sz="4" w:space="0"/>
                  </w:tcBorders>
                  <w:noWrap/>
                  <w:vAlign w:val="center"/>
                </w:tcPr>
                <w:p w14:paraId="59AD7DC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w:t>
                  </w:r>
                </w:p>
              </w:tc>
              <w:tc>
                <w:tcPr>
                  <w:tcW w:w="752" w:type="dxa"/>
                  <w:tcBorders>
                    <w:top w:val="single" w:color="auto" w:sz="4" w:space="0"/>
                    <w:left w:val="single" w:color="auto" w:sz="4" w:space="0"/>
                    <w:bottom w:val="single" w:color="auto" w:sz="12" w:space="0"/>
                    <w:right w:val="single" w:color="auto" w:sz="4" w:space="0"/>
                  </w:tcBorders>
                  <w:noWrap/>
                  <w:vAlign w:val="center"/>
                </w:tcPr>
                <w:p w14:paraId="5802D6C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w:t>
                  </w:r>
                </w:p>
              </w:tc>
              <w:tc>
                <w:tcPr>
                  <w:tcW w:w="979" w:type="dxa"/>
                  <w:tcBorders>
                    <w:top w:val="single" w:color="auto" w:sz="4" w:space="0"/>
                    <w:left w:val="single" w:color="auto" w:sz="4" w:space="0"/>
                    <w:bottom w:val="single" w:color="auto" w:sz="12" w:space="0"/>
                    <w:right w:val="nil"/>
                  </w:tcBorders>
                  <w:vAlign w:val="center"/>
                </w:tcPr>
                <w:p w14:paraId="26C9C96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国电供应</w:t>
                  </w:r>
                </w:p>
              </w:tc>
            </w:tr>
          </w:tbl>
          <w:p w14:paraId="2E311A84">
            <w:pPr>
              <w:keepNext w:val="0"/>
              <w:keepLines w:val="0"/>
              <w:widowControl/>
              <w:suppressLineNumbers w:val="0"/>
              <w:spacing w:before="0" w:beforeAutospacing="0" w:after="0" w:afterAutospacing="0" w:line="360" w:lineRule="auto"/>
              <w:ind w:left="0" w:right="0"/>
              <w:rPr>
                <w:rFonts w:hint="default" w:ascii="Times New Roman" w:hAnsi="Times New Roman" w:cs="Times New Roman"/>
                <w:color w:val="auto"/>
                <w:kern w:val="2"/>
              </w:rPr>
            </w:pPr>
            <w:r>
              <w:rPr>
                <w:rFonts w:hint="default" w:ascii="Times New Roman" w:hAnsi="Times New Roman" w:cs="Times New Roman"/>
                <w:color w:val="auto"/>
                <w:kern w:val="2"/>
              </w:rPr>
              <w:t>项目原辅材料理化性质见下表。</w:t>
            </w:r>
          </w:p>
          <w:p w14:paraId="7B093B0C">
            <w:pPr>
              <w:keepNext w:val="0"/>
              <w:keepLines w:val="0"/>
              <w:widowControl/>
              <w:suppressLineNumbers w:val="0"/>
              <w:spacing w:before="0" w:beforeAutospacing="0" w:after="0" w:afterAutospacing="0" w:line="440" w:lineRule="exact"/>
              <w:ind w:left="0" w:right="0"/>
              <w:jc w:val="center"/>
              <w:rPr>
                <w:rFonts w:hint="default" w:ascii="Times New Roman" w:hAnsi="Times New Roman" w:eastAsia="黑体" w:cs="Times New Roman"/>
                <w:color w:val="auto"/>
                <w:kern w:val="2"/>
              </w:rPr>
            </w:pPr>
            <w:r>
              <w:rPr>
                <w:rFonts w:hint="default" w:ascii="Times New Roman" w:hAnsi="黑体" w:eastAsia="黑体" w:cs="Times New Roman"/>
                <w:color w:val="auto"/>
                <w:kern w:val="2"/>
              </w:rPr>
              <w:t>表</w:t>
            </w:r>
            <w:r>
              <w:rPr>
                <w:rFonts w:hint="default" w:ascii="Times New Roman" w:hAnsi="Times New Roman" w:eastAsia="黑体" w:cs="Times New Roman"/>
                <w:color w:val="auto"/>
                <w:kern w:val="2"/>
              </w:rPr>
              <w:t>2-</w:t>
            </w:r>
            <w:r>
              <w:rPr>
                <w:rFonts w:hint="eastAsia" w:ascii="Times New Roman" w:hAnsi="Times New Roman" w:eastAsia="黑体" w:cs="Times New Roman"/>
                <w:color w:val="auto"/>
                <w:kern w:val="2"/>
              </w:rPr>
              <w:t xml:space="preserve">9  </w:t>
            </w:r>
            <w:r>
              <w:rPr>
                <w:rFonts w:hint="default" w:ascii="Times New Roman" w:hAnsi="黑体" w:eastAsia="黑体" w:cs="Times New Roman"/>
                <w:color w:val="auto"/>
                <w:kern w:val="2"/>
              </w:rPr>
              <w:t>主要原辅料理化性质一览表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772"/>
              <w:gridCol w:w="642"/>
              <w:gridCol w:w="2595"/>
              <w:gridCol w:w="853"/>
              <w:gridCol w:w="860"/>
              <w:gridCol w:w="716"/>
              <w:gridCol w:w="1919"/>
            </w:tblGrid>
            <w:tr w14:paraId="05E229D0">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1" w:hRule="atLeast"/>
                <w:jc w:val="center"/>
              </w:trPr>
              <w:tc>
                <w:tcPr>
                  <w:tcW w:w="970" w:type="dxa"/>
                  <w:vAlign w:val="center"/>
                </w:tcPr>
                <w:p w14:paraId="335BF879">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bidi="en-US"/>
                    </w:rPr>
                  </w:pPr>
                  <w:r>
                    <w:rPr>
                      <w:rFonts w:hint="default" w:ascii="Times New Roman" w:hAnsi="Times New Roman" w:eastAsia="宋体" w:cs="Times New Roman"/>
                      <w:b/>
                      <w:bCs/>
                      <w:color w:val="auto"/>
                      <w:kern w:val="2"/>
                      <w:sz w:val="21"/>
                      <w:szCs w:val="21"/>
                    </w:rPr>
                    <w:t>名称</w:t>
                  </w:r>
                </w:p>
              </w:tc>
              <w:tc>
                <w:tcPr>
                  <w:tcW w:w="763" w:type="dxa"/>
                  <w:vAlign w:val="center"/>
                </w:tcPr>
                <w:p w14:paraId="0F57D029">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bidi="en-US"/>
                    </w:rPr>
                  </w:pPr>
                  <w:r>
                    <w:rPr>
                      <w:rFonts w:hint="default" w:ascii="Times New Roman" w:hAnsi="Times New Roman" w:eastAsia="宋体" w:cs="Times New Roman"/>
                      <w:b/>
                      <w:bCs/>
                      <w:color w:val="auto"/>
                      <w:kern w:val="2"/>
                      <w:sz w:val="21"/>
                      <w:szCs w:val="21"/>
                    </w:rPr>
                    <w:t>危规号</w:t>
                  </w:r>
                </w:p>
              </w:tc>
              <w:tc>
                <w:tcPr>
                  <w:tcW w:w="3023" w:type="dxa"/>
                  <w:vAlign w:val="center"/>
                </w:tcPr>
                <w:p w14:paraId="67621BB6">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bidi="en-US"/>
                    </w:rPr>
                  </w:pPr>
                  <w:r>
                    <w:rPr>
                      <w:rFonts w:hint="default" w:ascii="Times New Roman" w:hAnsi="Times New Roman" w:eastAsia="宋体" w:cs="Times New Roman"/>
                      <w:b/>
                      <w:bCs/>
                      <w:color w:val="auto"/>
                      <w:kern w:val="2"/>
                      <w:sz w:val="21"/>
                      <w:szCs w:val="21"/>
                    </w:rPr>
                    <w:t>理化特性</w:t>
                  </w:r>
                </w:p>
              </w:tc>
              <w:tc>
                <w:tcPr>
                  <w:tcW w:w="972" w:type="dxa"/>
                  <w:vAlign w:val="center"/>
                </w:tcPr>
                <w:p w14:paraId="00216F15">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bidi="en-US"/>
                    </w:rPr>
                  </w:pPr>
                  <w:r>
                    <w:rPr>
                      <w:rFonts w:hint="default" w:ascii="Times New Roman" w:hAnsi="Times New Roman" w:eastAsia="宋体" w:cs="Times New Roman"/>
                      <w:b/>
                      <w:bCs/>
                      <w:color w:val="auto"/>
                      <w:kern w:val="2"/>
                      <w:sz w:val="21"/>
                      <w:szCs w:val="21"/>
                    </w:rPr>
                    <w:t>闪点℃</w:t>
                  </w:r>
                </w:p>
              </w:tc>
              <w:tc>
                <w:tcPr>
                  <w:tcW w:w="983" w:type="dxa"/>
                  <w:vAlign w:val="center"/>
                </w:tcPr>
                <w:p w14:paraId="10959CE3">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bidi="en-US"/>
                    </w:rPr>
                  </w:pPr>
                  <w:r>
                    <w:rPr>
                      <w:rFonts w:hint="default" w:ascii="Times New Roman" w:hAnsi="Times New Roman" w:eastAsia="宋体" w:cs="Times New Roman"/>
                      <w:b/>
                      <w:bCs/>
                      <w:color w:val="auto"/>
                      <w:kern w:val="2"/>
                      <w:sz w:val="21"/>
                      <w:szCs w:val="21"/>
                    </w:rPr>
                    <w:t>自燃点℃</w:t>
                  </w:r>
                </w:p>
              </w:tc>
              <w:tc>
                <w:tcPr>
                  <w:tcW w:w="756" w:type="dxa"/>
                  <w:vAlign w:val="center"/>
                </w:tcPr>
                <w:p w14:paraId="04F12A62">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bidi="en-US"/>
                    </w:rPr>
                  </w:pPr>
                  <w:r>
                    <w:rPr>
                      <w:rFonts w:hint="default" w:ascii="Times New Roman" w:hAnsi="Times New Roman" w:eastAsia="宋体" w:cs="Times New Roman"/>
                      <w:b/>
                      <w:bCs/>
                      <w:color w:val="auto"/>
                      <w:kern w:val="2"/>
                      <w:sz w:val="21"/>
                      <w:szCs w:val="21"/>
                    </w:rPr>
                    <w:t>爆炸极限%</w:t>
                  </w:r>
                </w:p>
              </w:tc>
              <w:tc>
                <w:tcPr>
                  <w:tcW w:w="2270" w:type="dxa"/>
                  <w:vAlign w:val="center"/>
                </w:tcPr>
                <w:p w14:paraId="294E6A4A">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lang w:bidi="en-US"/>
                    </w:rPr>
                  </w:pPr>
                  <w:r>
                    <w:rPr>
                      <w:rFonts w:hint="default" w:ascii="Times New Roman" w:hAnsi="Times New Roman" w:eastAsia="宋体" w:cs="Times New Roman"/>
                      <w:b/>
                      <w:bCs/>
                      <w:color w:val="auto"/>
                      <w:kern w:val="2"/>
                      <w:sz w:val="21"/>
                      <w:szCs w:val="21"/>
                    </w:rPr>
                    <w:t>毒性毒理</w:t>
                  </w:r>
                </w:p>
              </w:tc>
            </w:tr>
            <w:tr w14:paraId="0813C7B5">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1" w:hRule="atLeast"/>
                <w:jc w:val="center"/>
              </w:trPr>
              <w:tc>
                <w:tcPr>
                  <w:tcW w:w="970" w:type="dxa"/>
                  <w:vAlign w:val="center"/>
                </w:tcPr>
                <w:p w14:paraId="7DEF6B76">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变速箱油</w:t>
                  </w:r>
                </w:p>
              </w:tc>
              <w:tc>
                <w:tcPr>
                  <w:tcW w:w="763" w:type="dxa"/>
                  <w:vAlign w:val="center"/>
                </w:tcPr>
                <w:p w14:paraId="01F874C3">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w:t>
                  </w:r>
                </w:p>
              </w:tc>
              <w:tc>
                <w:tcPr>
                  <w:tcW w:w="3023" w:type="dxa"/>
                  <w:vAlign w:val="center"/>
                </w:tcPr>
                <w:p w14:paraId="672BE934">
                  <w:pPr>
                    <w:pStyle w:val="11"/>
                    <w:keepNext w:val="0"/>
                    <w:keepLines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color w:val="auto"/>
                      <w:kern w:val="2"/>
                      <w:sz w:val="21"/>
                      <w:szCs w:val="21"/>
                    </w:rPr>
                    <w:t>琥珀色液体，具有特殊的气味，密度（15℃）＜1g/cm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，闪点＞200℃，正常状况下物料稳定，在环境温度下不分解。</w:t>
                  </w:r>
                </w:p>
              </w:tc>
              <w:tc>
                <w:tcPr>
                  <w:tcW w:w="972" w:type="dxa"/>
                  <w:vAlign w:val="center"/>
                </w:tcPr>
                <w:p w14:paraId="7E08B32C">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color w:val="auto"/>
                      <w:kern w:val="2"/>
                      <w:sz w:val="21"/>
                      <w:szCs w:val="21"/>
                    </w:rPr>
                    <w:t>＞200</w:t>
                  </w:r>
                </w:p>
              </w:tc>
              <w:tc>
                <w:tcPr>
                  <w:tcW w:w="983" w:type="dxa"/>
                  <w:vAlign w:val="center"/>
                </w:tcPr>
                <w:p w14:paraId="5BD92FD9">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w:t>
                  </w:r>
                </w:p>
              </w:tc>
              <w:tc>
                <w:tcPr>
                  <w:tcW w:w="756" w:type="dxa"/>
                  <w:vAlign w:val="center"/>
                </w:tcPr>
                <w:p w14:paraId="15042B1B">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w:t>
                  </w:r>
                </w:p>
              </w:tc>
              <w:tc>
                <w:tcPr>
                  <w:tcW w:w="2270" w:type="dxa"/>
                  <w:vAlign w:val="center"/>
                </w:tcPr>
                <w:p w14:paraId="048ACFCD">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color w:val="auto"/>
                      <w:kern w:val="2"/>
                      <w:sz w:val="21"/>
                      <w:szCs w:val="21"/>
                    </w:rPr>
                    <w:t>吸入、食入极低毒性，在一般温度下刺激性可忽略</w:t>
                  </w:r>
                </w:p>
              </w:tc>
            </w:tr>
            <w:tr w14:paraId="716B40BA">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1" w:hRule="atLeast"/>
                <w:jc w:val="center"/>
              </w:trPr>
              <w:tc>
                <w:tcPr>
                  <w:tcW w:w="970" w:type="dxa"/>
                  <w:vAlign w:val="center"/>
                </w:tcPr>
                <w:p w14:paraId="45C42C00">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密封胶</w:t>
                  </w:r>
                </w:p>
              </w:tc>
              <w:tc>
                <w:tcPr>
                  <w:tcW w:w="763" w:type="dxa"/>
                  <w:vAlign w:val="center"/>
                </w:tcPr>
                <w:p w14:paraId="5FA7F6DB">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w:t>
                  </w:r>
                </w:p>
              </w:tc>
              <w:tc>
                <w:tcPr>
                  <w:tcW w:w="3023" w:type="dxa"/>
                  <w:vAlign w:val="center"/>
                </w:tcPr>
                <w:p w14:paraId="57B869EF">
                  <w:pPr>
                    <w:pStyle w:val="11"/>
                    <w:keepNext w:val="0"/>
                    <w:keepLines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液体，相对密度1.1g/cm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（水=1），沸点＞149℃，微溶于水，粘度400-600mPa</w:t>
                  </w:r>
                </w:p>
              </w:tc>
              <w:tc>
                <w:tcPr>
                  <w:tcW w:w="972" w:type="dxa"/>
                  <w:vAlign w:val="center"/>
                </w:tcPr>
                <w:p w14:paraId="53DC8A9F">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93.3</w:t>
                  </w:r>
                </w:p>
              </w:tc>
              <w:tc>
                <w:tcPr>
                  <w:tcW w:w="983" w:type="dxa"/>
                  <w:vAlign w:val="center"/>
                </w:tcPr>
                <w:p w14:paraId="6E216DE1">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w:t>
                  </w:r>
                </w:p>
              </w:tc>
              <w:tc>
                <w:tcPr>
                  <w:tcW w:w="756" w:type="dxa"/>
                  <w:vAlign w:val="center"/>
                </w:tcPr>
                <w:p w14:paraId="62DD735C">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w:t>
                  </w:r>
                </w:p>
              </w:tc>
              <w:tc>
                <w:tcPr>
                  <w:tcW w:w="2270" w:type="dxa"/>
                  <w:vAlign w:val="center"/>
                </w:tcPr>
                <w:p w14:paraId="0C0401F7">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主要成分的LD</w:t>
                  </w:r>
                  <w:r>
                    <w:rPr>
                      <w:rFonts w:hint="default" w:ascii="Times New Roman" w:hAnsi="Times New Roman" w:eastAsia="宋体" w:cs="Times New Roman"/>
                      <w:color w:val="auto"/>
                      <w:kern w:val="2"/>
                      <w:sz w:val="21"/>
                      <w:szCs w:val="21"/>
                      <w:vertAlign w:val="subscript"/>
                    </w:rPr>
                    <w:t>50</w:t>
                  </w:r>
                  <w:r>
                    <w:rPr>
                      <w:rFonts w:hint="default" w:ascii="Times New Roman" w:hAnsi="Times New Roman" w:eastAsia="宋体" w:cs="Times New Roman"/>
                      <w:color w:val="auto"/>
                      <w:kern w:val="2"/>
                      <w:sz w:val="21"/>
                      <w:szCs w:val="21"/>
                    </w:rPr>
                    <w:t>经口550mg/kg，LC</w:t>
                  </w:r>
                  <w:r>
                    <w:rPr>
                      <w:rFonts w:hint="default" w:ascii="Times New Roman" w:hAnsi="Times New Roman" w:eastAsia="宋体" w:cs="Times New Roman"/>
                      <w:color w:val="auto"/>
                      <w:kern w:val="2"/>
                      <w:sz w:val="21"/>
                      <w:szCs w:val="21"/>
                      <w:vertAlign w:val="subscript"/>
                    </w:rPr>
                    <w:t>50</w:t>
                  </w:r>
                  <w:r>
                    <w:rPr>
                      <w:rFonts w:hint="default" w:ascii="Times New Roman" w:hAnsi="Times New Roman" w:eastAsia="宋体" w:cs="Times New Roman"/>
                      <w:color w:val="auto"/>
                      <w:kern w:val="2"/>
                      <w:sz w:val="21"/>
                      <w:szCs w:val="21"/>
                    </w:rPr>
                    <w:t>吸入220ppm，LD</w:t>
                  </w:r>
                  <w:r>
                    <w:rPr>
                      <w:rFonts w:hint="default" w:ascii="Times New Roman" w:hAnsi="Times New Roman" w:eastAsia="宋体" w:cs="Times New Roman"/>
                      <w:color w:val="auto"/>
                      <w:kern w:val="2"/>
                      <w:sz w:val="21"/>
                      <w:szCs w:val="21"/>
                      <w:vertAlign w:val="subscript"/>
                    </w:rPr>
                    <w:t>50</w:t>
                  </w:r>
                  <w:r>
                    <w:rPr>
                      <w:rFonts w:hint="default" w:ascii="Times New Roman" w:hAnsi="Times New Roman" w:eastAsia="宋体" w:cs="Times New Roman"/>
                      <w:color w:val="auto"/>
                      <w:kern w:val="2"/>
                      <w:sz w:val="21"/>
                      <w:szCs w:val="21"/>
                    </w:rPr>
                    <w:t>经皮500mg/kg</w:t>
                  </w:r>
                </w:p>
              </w:tc>
            </w:tr>
            <w:tr w14:paraId="70B1AAF8">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1" w:hRule="atLeast"/>
                <w:jc w:val="center"/>
              </w:trPr>
              <w:tc>
                <w:tcPr>
                  <w:tcW w:w="970" w:type="dxa"/>
                  <w:vAlign w:val="center"/>
                </w:tcPr>
                <w:p w14:paraId="4D6DB5BB">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液压油</w:t>
                  </w:r>
                </w:p>
              </w:tc>
              <w:tc>
                <w:tcPr>
                  <w:tcW w:w="763" w:type="dxa"/>
                  <w:vAlign w:val="center"/>
                </w:tcPr>
                <w:p w14:paraId="3E52ECA8">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color w:val="auto"/>
                      <w:kern w:val="2"/>
                      <w:sz w:val="21"/>
                      <w:szCs w:val="21"/>
                    </w:rPr>
                    <w:t>/</w:t>
                  </w:r>
                </w:p>
              </w:tc>
              <w:tc>
                <w:tcPr>
                  <w:tcW w:w="3023" w:type="dxa"/>
                  <w:vAlign w:val="center"/>
                </w:tcPr>
                <w:p w14:paraId="2B4E4118">
                  <w:pPr>
                    <w:pStyle w:val="11"/>
                    <w:keepNext w:val="0"/>
                    <w:keepLines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琥珀色液体，密度=0.872kg/L（15℃），具有特殊的气味，正常状况下物料稳定，在环境温度下不分解。</w:t>
                  </w:r>
                </w:p>
              </w:tc>
              <w:tc>
                <w:tcPr>
                  <w:tcW w:w="972" w:type="dxa"/>
                  <w:vAlign w:val="center"/>
                </w:tcPr>
                <w:p w14:paraId="3D4B2FBF">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＞212</w:t>
                  </w:r>
                </w:p>
              </w:tc>
              <w:tc>
                <w:tcPr>
                  <w:tcW w:w="983" w:type="dxa"/>
                  <w:vAlign w:val="center"/>
                </w:tcPr>
                <w:p w14:paraId="7E8DF2F3">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color w:val="auto"/>
                      <w:kern w:val="2"/>
                      <w:sz w:val="21"/>
                      <w:szCs w:val="21"/>
                    </w:rPr>
                    <w:t>/</w:t>
                  </w:r>
                </w:p>
              </w:tc>
              <w:tc>
                <w:tcPr>
                  <w:tcW w:w="756" w:type="dxa"/>
                  <w:vAlign w:val="center"/>
                </w:tcPr>
                <w:p w14:paraId="6E8C57C4">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color w:val="auto"/>
                      <w:kern w:val="2"/>
                      <w:sz w:val="21"/>
                      <w:szCs w:val="21"/>
                    </w:rPr>
                    <w:t>/</w:t>
                  </w:r>
                </w:p>
              </w:tc>
              <w:tc>
                <w:tcPr>
                  <w:tcW w:w="2270" w:type="dxa"/>
                  <w:vAlign w:val="center"/>
                </w:tcPr>
                <w:p w14:paraId="26A10485">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吸入、食入极低毒性，在一般温度下刺激性可忽略</w:t>
                  </w:r>
                </w:p>
              </w:tc>
            </w:tr>
            <w:tr w14:paraId="696AC7C7">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01" w:hRule="atLeast"/>
                <w:jc w:val="center"/>
              </w:trPr>
              <w:tc>
                <w:tcPr>
                  <w:tcW w:w="970" w:type="dxa"/>
                  <w:vAlign w:val="center"/>
                </w:tcPr>
                <w:p w14:paraId="7FF67160">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润滑油</w:t>
                  </w:r>
                </w:p>
              </w:tc>
              <w:tc>
                <w:tcPr>
                  <w:tcW w:w="763" w:type="dxa"/>
                  <w:vAlign w:val="center"/>
                </w:tcPr>
                <w:p w14:paraId="07ECF099">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color w:val="auto"/>
                      <w:kern w:val="2"/>
                      <w:sz w:val="21"/>
                      <w:szCs w:val="21"/>
                    </w:rPr>
                    <w:t>/</w:t>
                  </w:r>
                </w:p>
              </w:tc>
              <w:tc>
                <w:tcPr>
                  <w:tcW w:w="3023" w:type="dxa"/>
                  <w:vAlign w:val="center"/>
                </w:tcPr>
                <w:p w14:paraId="2FCB6AF7">
                  <w:pPr>
                    <w:pStyle w:val="11"/>
                    <w:keepNext w:val="0"/>
                    <w:keepLines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油状液体，麦秆色，略带异味，相对密度=0.87g/cm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，可燃，无爆炸性</w:t>
                  </w:r>
                </w:p>
              </w:tc>
              <w:tc>
                <w:tcPr>
                  <w:tcW w:w="972" w:type="dxa"/>
                  <w:vAlign w:val="center"/>
                </w:tcPr>
                <w:p w14:paraId="3E8C8599">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＞200</w:t>
                  </w:r>
                </w:p>
              </w:tc>
              <w:tc>
                <w:tcPr>
                  <w:tcW w:w="983" w:type="dxa"/>
                  <w:vAlign w:val="center"/>
                </w:tcPr>
                <w:p w14:paraId="0916100F">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color w:val="auto"/>
                      <w:kern w:val="2"/>
                      <w:sz w:val="21"/>
                      <w:szCs w:val="21"/>
                    </w:rPr>
                    <w:t>/</w:t>
                  </w:r>
                </w:p>
              </w:tc>
              <w:tc>
                <w:tcPr>
                  <w:tcW w:w="756" w:type="dxa"/>
                  <w:vAlign w:val="center"/>
                </w:tcPr>
                <w:p w14:paraId="65B9FAE0">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color w:val="auto"/>
                      <w:kern w:val="2"/>
                      <w:sz w:val="21"/>
                      <w:szCs w:val="21"/>
                    </w:rPr>
                    <w:t>/</w:t>
                  </w:r>
                </w:p>
              </w:tc>
              <w:tc>
                <w:tcPr>
                  <w:tcW w:w="2270" w:type="dxa"/>
                  <w:vAlign w:val="center"/>
                </w:tcPr>
                <w:p w14:paraId="4FB337D6">
                  <w:pPr>
                    <w:pStyle w:val="11"/>
                    <w:keepNext w:val="0"/>
                    <w:keepLines w:val="0"/>
                    <w:suppressLineNumbers w:val="0"/>
                    <w:adjustRightInd w:val="0"/>
                    <w:snapToGrid w:val="0"/>
                    <w:spacing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皮肤接触、食入、眼睛接触</w:t>
                  </w:r>
                </w:p>
              </w:tc>
            </w:tr>
            <w:tr w14:paraId="75082E87">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71" w:hRule="atLeast"/>
                <w:jc w:val="center"/>
              </w:trPr>
              <w:tc>
                <w:tcPr>
                  <w:tcW w:w="970" w:type="dxa"/>
                  <w:vAlign w:val="center"/>
                </w:tcPr>
                <w:p w14:paraId="2E34C4DB">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val="en-US" w:bidi="ar-SA"/>
                    </w:rPr>
                    <w:t>碳氢清洗剂</w:t>
                  </w:r>
                </w:p>
              </w:tc>
              <w:tc>
                <w:tcPr>
                  <w:tcW w:w="763" w:type="dxa"/>
                  <w:vAlign w:val="center"/>
                </w:tcPr>
                <w:p w14:paraId="601C3AAA">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3023" w:type="dxa"/>
                  <w:vAlign w:val="center"/>
                </w:tcPr>
                <w:p w14:paraId="22348AE2">
                  <w:pPr>
                    <w:pStyle w:val="11"/>
                    <w:keepNext w:val="0"/>
                    <w:keepLines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无色透明液体</w:t>
                  </w:r>
                </w:p>
                <w:p w14:paraId="450E65B2">
                  <w:pPr>
                    <w:pStyle w:val="11"/>
                    <w:keepNext w:val="0"/>
                    <w:keepLines w:val="0"/>
                    <w:suppressLineNumbers w:val="0"/>
                    <w:adjustRightInd w:val="0"/>
                    <w:snapToGrid w:val="0"/>
                    <w:spacing w:before="0"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密度=0.65g/cm</w:t>
                  </w:r>
                  <w:r>
                    <w:rPr>
                      <w:rFonts w:hint="default" w:ascii="Times New Roman" w:hAnsi="Times New Roman" w:eastAsia="宋体" w:cs="Times New Roman"/>
                      <w:color w:val="auto"/>
                      <w:kern w:val="2"/>
                      <w:sz w:val="21"/>
                      <w:szCs w:val="21"/>
                      <w:vertAlign w:val="superscript"/>
                    </w:rPr>
                    <w:t>3</w:t>
                  </w:r>
                  <w:r>
                    <w:rPr>
                      <w:rFonts w:hint="default" w:ascii="Times New Roman" w:hAnsi="Times New Roman" w:eastAsia="宋体" w:cs="Times New Roman"/>
                      <w:color w:val="auto"/>
                      <w:kern w:val="2"/>
                      <w:sz w:val="21"/>
                      <w:szCs w:val="21"/>
                    </w:rPr>
                    <w:t>粘度：1.04mm</w:t>
                  </w:r>
                  <w:r>
                    <w:rPr>
                      <w:rFonts w:hint="default" w:ascii="Times New Roman" w:hAnsi="Times New Roman" w:eastAsia="宋体" w:cs="Times New Roman"/>
                      <w:color w:val="auto"/>
                      <w:kern w:val="2"/>
                      <w:sz w:val="21"/>
                      <w:szCs w:val="21"/>
                      <w:vertAlign w:val="superscript"/>
                    </w:rPr>
                    <w:t>2/</w:t>
                  </w:r>
                  <w:r>
                    <w:rPr>
                      <w:rFonts w:hint="default" w:ascii="Times New Roman" w:hAnsi="Times New Roman" w:eastAsia="宋体" w:cs="Times New Roman"/>
                      <w:color w:val="auto"/>
                      <w:kern w:val="2"/>
                      <w:sz w:val="21"/>
                      <w:szCs w:val="21"/>
                    </w:rPr>
                    <w:t>s@25c，具有轻石油气味，沸点&gt;95~110℃，不溶于水</w:t>
                  </w:r>
                </w:p>
              </w:tc>
              <w:tc>
                <w:tcPr>
                  <w:tcW w:w="972" w:type="dxa"/>
                  <w:vAlign w:val="center"/>
                </w:tcPr>
                <w:p w14:paraId="78C016A4">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35</w:t>
                  </w:r>
                </w:p>
              </w:tc>
              <w:tc>
                <w:tcPr>
                  <w:tcW w:w="983" w:type="dxa"/>
                  <w:vAlign w:val="center"/>
                </w:tcPr>
                <w:p w14:paraId="70196512">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756" w:type="dxa"/>
                  <w:vAlign w:val="center"/>
                </w:tcPr>
                <w:p w14:paraId="78B12876">
                  <w:pPr>
                    <w:pStyle w:val="11"/>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w:t>
                  </w:r>
                </w:p>
              </w:tc>
              <w:tc>
                <w:tcPr>
                  <w:tcW w:w="2270" w:type="dxa"/>
                  <w:vAlign w:val="center"/>
                </w:tcPr>
                <w:p w14:paraId="1C81863B">
                  <w:pPr>
                    <w:pStyle w:val="11"/>
                    <w:keepNext w:val="0"/>
                    <w:keepLines w:val="0"/>
                    <w:suppressLineNumbers w:val="0"/>
                    <w:adjustRightInd w:val="0"/>
                    <w:snapToGrid w:val="0"/>
                    <w:spacing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吸入：会使人感到不舒服,可能会造成呼吸道严重刺激不适。</w:t>
                  </w:r>
                </w:p>
                <w:p w14:paraId="5A33A8CC">
                  <w:pPr>
                    <w:pStyle w:val="11"/>
                    <w:keepNext w:val="0"/>
                    <w:keepLines w:val="0"/>
                    <w:suppressLineNumbers w:val="0"/>
                    <w:adjustRightInd w:val="0"/>
                    <w:snapToGrid w:val="0"/>
                    <w:spacing w:beforeAutospacing="0" w:after="0" w:afterAutospacing="0" w:line="240" w:lineRule="auto"/>
                    <w:ind w:left="0" w:right="0" w:firstLine="0" w:firstLineChars="0"/>
                    <w:jc w:val="both"/>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眼睛：喷入眼睛会刺激周围粘膜、流泪。红肿可能发炎。</w:t>
                  </w:r>
                </w:p>
              </w:tc>
            </w:tr>
          </w:tbl>
          <w:p w14:paraId="4CF8C0A3">
            <w:pPr>
              <w:pStyle w:val="85"/>
              <w:keepNext w:val="0"/>
              <w:keepLines w:val="0"/>
              <w:widowControl/>
              <w:suppressLineNumbers w:val="0"/>
              <w:spacing w:before="0" w:beforeAutospacing="0" w:after="0" w:afterAutospacing="0"/>
              <w:ind w:left="0" w:right="0" w:firstLine="0" w:firstLineChars="0"/>
              <w:rPr>
                <w:rFonts w:hint="default" w:ascii="Times New Roman" w:hAnsi="Times New Roman"/>
                <w:color w:val="auto"/>
                <w:kern w:val="2"/>
              </w:rPr>
            </w:pPr>
          </w:p>
        </w:tc>
      </w:tr>
      <w:tr w14:paraId="50BD9D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09" w:hRule="atLeast"/>
          <w:jc w:val="center"/>
        </w:trPr>
        <w:tc>
          <w:tcPr>
            <w:tcW w:w="268" w:type="pct"/>
            <w:gridSpan w:val="2"/>
            <w:vAlign w:val="center"/>
          </w:tcPr>
          <w:p w14:paraId="679C4EB8">
            <w:pPr>
              <w:keepNext w:val="0"/>
              <w:keepLines w:val="0"/>
              <w:widowControl/>
              <w:suppressLineNumbers w:val="0"/>
              <w:spacing w:before="0" w:beforeAutospacing="0" w:after="0" w:afterAutospacing="0"/>
              <w:ind w:left="0" w:right="0"/>
              <w:jc w:val="center"/>
              <w:rPr>
                <w:rFonts w:hint="default" w:ascii="Times New Roman" w:hAnsi="Times New Roman"/>
                <w:color w:val="auto"/>
                <w:kern w:val="2"/>
              </w:rPr>
            </w:pPr>
            <w:r>
              <w:rPr>
                <w:rFonts w:hint="eastAsia"/>
                <w:color w:val="auto"/>
                <w:kern w:val="2"/>
              </w:rPr>
              <w:t>建设内容</w:t>
            </w:r>
          </w:p>
        </w:tc>
        <w:tc>
          <w:tcPr>
            <w:tcW w:w="4730" w:type="pct"/>
          </w:tcPr>
          <w:p w14:paraId="1851E148">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kern w:val="2"/>
              </w:rPr>
            </w:pPr>
            <w:r>
              <w:rPr>
                <w:rFonts w:hint="eastAsia" w:ascii="Times New Roman" w:hAnsi="Times New Roman" w:cs="Times New Roman"/>
                <w:bCs/>
                <w:color w:val="auto"/>
                <w:kern w:val="2"/>
              </w:rPr>
              <w:t>7</w:t>
            </w:r>
            <w:r>
              <w:rPr>
                <w:rFonts w:hint="default" w:ascii="Times New Roman" w:hAnsi="Times New Roman" w:cs="Times New Roman"/>
                <w:bCs/>
                <w:color w:val="auto"/>
                <w:kern w:val="2"/>
              </w:rPr>
              <w:t>、</w:t>
            </w:r>
            <w:r>
              <w:rPr>
                <w:rFonts w:hint="eastAsia" w:ascii="Times New Roman" w:hAnsi="Times New Roman" w:cs="Times New Roman"/>
                <w:bCs/>
                <w:color w:val="auto"/>
                <w:kern w:val="2"/>
              </w:rPr>
              <w:t>公用</w:t>
            </w:r>
            <w:r>
              <w:rPr>
                <w:rFonts w:hint="default" w:ascii="Times New Roman" w:hAnsi="Times New Roman" w:cs="Times New Roman"/>
                <w:bCs/>
                <w:color w:val="auto"/>
                <w:kern w:val="2"/>
              </w:rPr>
              <w:t>工程</w:t>
            </w:r>
          </w:p>
          <w:p w14:paraId="5D9CAC57">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kern w:val="2"/>
              </w:rPr>
            </w:pPr>
            <w:r>
              <w:rPr>
                <w:rFonts w:hint="eastAsia" w:ascii="Times New Roman" w:hAnsi="Times New Roman" w:cs="Times New Roman"/>
                <w:bCs/>
                <w:color w:val="auto"/>
                <w:kern w:val="2"/>
              </w:rPr>
              <w:t>（1）</w:t>
            </w:r>
            <w:r>
              <w:rPr>
                <w:rFonts w:hint="default" w:ascii="Times New Roman" w:hAnsi="Times New Roman" w:cs="Times New Roman"/>
                <w:bCs/>
                <w:color w:val="auto"/>
                <w:kern w:val="2"/>
              </w:rPr>
              <w:t>给水</w:t>
            </w:r>
          </w:p>
          <w:p w14:paraId="518AB546">
            <w:pPr>
              <w:keepNext w:val="0"/>
              <w:keepLines w:val="0"/>
              <w:widowControl/>
              <w:suppressLineNumbers w:val="0"/>
              <w:spacing w:before="0" w:beforeAutospacing="0" w:after="0" w:afterAutospacing="0" w:line="360" w:lineRule="auto"/>
              <w:ind w:left="0" w:right="0" w:firstLine="480" w:firstLineChars="200"/>
              <w:rPr>
                <w:rFonts w:hint="default"/>
                <w:color w:val="auto"/>
                <w:kern w:val="2"/>
              </w:rPr>
            </w:pPr>
            <w:r>
              <w:rPr>
                <w:rFonts w:hint="default" w:ascii="Times New Roman" w:hAnsi="Times New Roman" w:cs="Times New Roman"/>
                <w:color w:val="auto"/>
                <w:kern w:val="2"/>
              </w:rPr>
              <w:t>现有项目用水主要为生活</w:t>
            </w:r>
            <w:r>
              <w:rPr>
                <w:rFonts w:hint="eastAsia" w:ascii="Times New Roman" w:hAnsi="Times New Roman" w:cs="Times New Roman"/>
                <w:color w:val="auto"/>
                <w:kern w:val="2"/>
              </w:rPr>
              <w:t>用水、冷却塔用水。</w:t>
            </w:r>
          </w:p>
          <w:p w14:paraId="37066BC0">
            <w:pPr>
              <w:keepNext w:val="0"/>
              <w:keepLines w:val="0"/>
              <w:widowControl/>
              <w:suppressLineNumbers w:val="0"/>
              <w:tabs>
                <w:tab w:val="left" w:pos="1260"/>
              </w:tabs>
              <w:adjustRightInd w:val="0"/>
              <w:spacing w:before="0" w:beforeAutospacing="0" w:after="0" w:afterAutospacing="0" w:line="360" w:lineRule="auto"/>
              <w:ind w:left="0" w:right="0" w:firstLine="477" w:firstLineChars="199"/>
              <w:textAlignment w:val="baseline"/>
              <w:rPr>
                <w:rFonts w:hint="default" w:ascii="Times New Roman" w:hAnsi="Times New Roman" w:cs="Times New Roman"/>
                <w:color w:val="auto"/>
                <w:kern w:val="2"/>
              </w:rPr>
            </w:pPr>
            <w:r>
              <w:rPr>
                <w:rFonts w:hint="default" w:ascii="Times New Roman" w:hAnsi="Times New Roman" w:cs="Times New Roman"/>
                <w:color w:val="auto"/>
                <w:kern w:val="2"/>
              </w:rPr>
              <w:t>冷却</w:t>
            </w:r>
            <w:r>
              <w:rPr>
                <w:rFonts w:hint="eastAsia" w:ascii="Times New Roman" w:hAnsi="Times New Roman" w:cs="Times New Roman"/>
                <w:color w:val="auto"/>
                <w:kern w:val="2"/>
                <w:lang w:val="en-US" w:eastAsia="zh-CN"/>
              </w:rPr>
              <w:t>塔</w:t>
            </w:r>
            <w:r>
              <w:rPr>
                <w:rFonts w:hint="default" w:ascii="Times New Roman" w:hAnsi="Times New Roman" w:cs="Times New Roman"/>
                <w:color w:val="auto"/>
                <w:kern w:val="2"/>
              </w:rPr>
              <w:t>用水</w:t>
            </w:r>
          </w:p>
          <w:p w14:paraId="7A16A4D4">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kern w:val="2"/>
                <w:lang w:val="en-US" w:eastAsia="zh-CN"/>
              </w:rPr>
            </w:pPr>
            <w:r>
              <w:rPr>
                <w:rFonts w:hint="default"/>
                <w:color w:val="auto"/>
                <w:kern w:val="2"/>
              </w:rPr>
              <w:t>本项</w:t>
            </w:r>
            <w:r>
              <w:rPr>
                <w:rFonts w:hint="default" w:ascii="Times New Roman" w:hAnsi="Times New Roman" w:cs="Times New Roman"/>
                <w:color w:val="auto"/>
                <w:kern w:val="2"/>
              </w:rPr>
              <w:t>目冷却塔用水定期补水，循环使用不外排。根据厂家提供信息冷却循环水量为50m</w:t>
            </w:r>
            <w:r>
              <w:rPr>
                <w:rFonts w:hint="default" w:ascii="Times New Roman" w:hAnsi="Times New Roman" w:cs="Times New Roman"/>
                <w:color w:val="auto"/>
                <w:kern w:val="2"/>
                <w:vertAlign w:val="superscript"/>
              </w:rPr>
              <w:t>3</w:t>
            </w:r>
            <w:r>
              <w:rPr>
                <w:rFonts w:hint="default" w:ascii="Times New Roman" w:hAnsi="Times New Roman" w:cs="Times New Roman"/>
                <w:color w:val="auto"/>
                <w:kern w:val="2"/>
              </w:rPr>
              <w:t>/h，一年使用按90天计，平均每天工作约8h，循环水因蒸发损失、飞溅损失以及定期排水，需要补充新鲜水。蒸发、飞溅、外排合计损失为循环量的1.2%，冷却塔工作日补水量为4.8m</w:t>
            </w:r>
            <w:r>
              <w:rPr>
                <w:rFonts w:hint="default" w:ascii="Times New Roman" w:hAnsi="Times New Roman" w:cs="Times New Roman"/>
                <w:color w:val="auto"/>
                <w:kern w:val="2"/>
                <w:vertAlign w:val="superscript"/>
              </w:rPr>
              <w:t>3</w:t>
            </w:r>
            <w:r>
              <w:rPr>
                <w:rFonts w:hint="default" w:ascii="Times New Roman" w:hAnsi="Times New Roman" w:cs="Times New Roman"/>
                <w:color w:val="auto"/>
                <w:kern w:val="2"/>
              </w:rPr>
              <w:t>，冷却塔累计用水量为432m</w:t>
            </w:r>
            <w:r>
              <w:rPr>
                <w:rFonts w:hint="default" w:ascii="Times New Roman" w:hAnsi="Times New Roman" w:cs="Times New Roman"/>
                <w:color w:val="auto"/>
                <w:kern w:val="2"/>
                <w:vertAlign w:val="superscript"/>
              </w:rPr>
              <w:t>3</w:t>
            </w:r>
            <w:r>
              <w:rPr>
                <w:rFonts w:hint="default" w:ascii="Times New Roman" w:hAnsi="Times New Roman" w:cs="Times New Roman"/>
                <w:color w:val="auto"/>
                <w:kern w:val="2"/>
              </w:rPr>
              <w:t>/a，日均需水量1.66m</w:t>
            </w:r>
            <w:r>
              <w:rPr>
                <w:rFonts w:hint="default" w:ascii="Times New Roman" w:hAnsi="Times New Roman" w:cs="Times New Roman"/>
                <w:color w:val="auto"/>
                <w:kern w:val="2"/>
                <w:vertAlign w:val="superscript"/>
              </w:rPr>
              <w:t>3</w:t>
            </w:r>
            <w:r>
              <w:rPr>
                <w:rFonts w:hint="default" w:ascii="Times New Roman" w:hAnsi="Times New Roman" w:cs="Times New Roman"/>
                <w:color w:val="auto"/>
                <w:kern w:val="2"/>
              </w:rPr>
              <w:t>/d</w:t>
            </w:r>
            <w:r>
              <w:rPr>
                <w:rFonts w:hint="default" w:ascii="Times New Roman" w:hAnsi="Times New Roman" w:cs="Times New Roman"/>
                <w:color w:val="auto"/>
                <w:kern w:val="2"/>
                <w:lang w:eastAsia="zh-CN"/>
              </w:rPr>
              <w:t>，</w:t>
            </w:r>
            <w:r>
              <w:rPr>
                <w:rFonts w:hint="eastAsia"/>
                <w:color w:val="auto"/>
                <w:kern w:val="2"/>
                <w:lang w:val="en-US" w:eastAsia="zh-CN"/>
              </w:rPr>
              <w:t>目前现有工程用水设施已满负荷运行，满足本项目生产用水需求，因此本项目不新增新鲜用水量。</w:t>
            </w:r>
          </w:p>
          <w:p w14:paraId="1AC16F68">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eastAsia" w:ascii="Times New Roman" w:hAnsi="Times New Roman" w:cs="Times New Roman"/>
                <w:bCs/>
                <w:color w:val="auto"/>
                <w:kern w:val="2"/>
              </w:rPr>
              <w:t>改扩建后，本项目</w:t>
            </w:r>
            <w:r>
              <w:rPr>
                <w:rFonts w:hint="eastAsia" w:ascii="Times New Roman" w:hAnsi="Times New Roman" w:cs="Times New Roman"/>
                <w:bCs/>
                <w:color w:val="auto"/>
                <w:kern w:val="2"/>
                <w:lang w:val="en-US" w:eastAsia="zh-CN"/>
              </w:rPr>
              <w:t>无新增劳动定员，</w:t>
            </w:r>
            <w:r>
              <w:rPr>
                <w:rFonts w:hint="eastAsia" w:ascii="Times New Roman" w:hAnsi="Times New Roman" w:cs="Times New Roman"/>
                <w:bCs/>
                <w:color w:val="auto"/>
                <w:kern w:val="2"/>
              </w:rPr>
              <w:t>无新增用水</w:t>
            </w:r>
            <w:r>
              <w:rPr>
                <w:rFonts w:hint="default" w:ascii="Times New Roman" w:hAnsi="Times New Roman" w:cs="Times New Roman"/>
                <w:color w:val="auto"/>
                <w:kern w:val="2"/>
              </w:rPr>
              <w:t>。本项目建设完成后</w:t>
            </w:r>
            <w:r>
              <w:rPr>
                <w:rFonts w:hint="eastAsia" w:ascii="Times New Roman" w:hAnsi="Times New Roman" w:cs="Times New Roman"/>
                <w:color w:val="auto"/>
                <w:kern w:val="2"/>
              </w:rPr>
              <w:t>，</w:t>
            </w:r>
            <w:r>
              <w:rPr>
                <w:rFonts w:hint="default" w:ascii="Times New Roman" w:hAnsi="Times New Roman" w:cs="Times New Roman"/>
                <w:color w:val="auto"/>
                <w:kern w:val="2"/>
              </w:rPr>
              <w:t>全厂总用水量为</w:t>
            </w:r>
            <w:r>
              <w:rPr>
                <w:rFonts w:hint="eastAsia" w:ascii="Times New Roman" w:hAnsi="Times New Roman" w:cs="Times New Roman"/>
                <w:bCs/>
                <w:color w:val="auto"/>
                <w:kern w:val="2"/>
              </w:rPr>
              <w:t>19.66</w:t>
            </w:r>
            <w:r>
              <w:rPr>
                <w:rFonts w:hint="default" w:ascii="Times New Roman" w:hAnsi="Times New Roman" w:cs="Times New Roman"/>
                <w:color w:val="auto"/>
                <w:kern w:val="2"/>
              </w:rPr>
              <w:t>m</w:t>
            </w:r>
            <w:r>
              <w:rPr>
                <w:rFonts w:hint="default" w:ascii="Times New Roman" w:hAnsi="Times New Roman" w:cs="Times New Roman"/>
                <w:color w:val="auto"/>
                <w:kern w:val="2"/>
                <w:vertAlign w:val="superscript"/>
              </w:rPr>
              <w:t>3</w:t>
            </w:r>
            <w:r>
              <w:rPr>
                <w:rFonts w:hint="default" w:ascii="Times New Roman" w:hAnsi="Times New Roman" w:cs="Times New Roman"/>
                <w:color w:val="auto"/>
                <w:kern w:val="2"/>
              </w:rPr>
              <w:t>/d（</w:t>
            </w:r>
            <w:r>
              <w:rPr>
                <w:rFonts w:hint="eastAsia" w:ascii="Times New Roman" w:hAnsi="Times New Roman" w:cs="Times New Roman"/>
                <w:color w:val="auto"/>
                <w:kern w:val="2"/>
              </w:rPr>
              <w:t>5111.6</w:t>
            </w:r>
            <w:r>
              <w:rPr>
                <w:rFonts w:hint="default" w:ascii="Times New Roman" w:hAnsi="Times New Roman" w:cs="Times New Roman"/>
                <w:color w:val="auto"/>
                <w:kern w:val="2"/>
              </w:rPr>
              <w:t>m</w:t>
            </w:r>
            <w:r>
              <w:rPr>
                <w:rFonts w:hint="default" w:ascii="Times New Roman" w:hAnsi="Times New Roman" w:cs="Times New Roman"/>
                <w:color w:val="auto"/>
                <w:kern w:val="2"/>
                <w:vertAlign w:val="superscript"/>
              </w:rPr>
              <w:t>3</w:t>
            </w:r>
            <w:r>
              <w:rPr>
                <w:rFonts w:hint="default" w:ascii="Times New Roman" w:hAnsi="Times New Roman" w:cs="Times New Roman"/>
                <w:color w:val="auto"/>
                <w:kern w:val="2"/>
              </w:rPr>
              <w:t>/a）</w:t>
            </w:r>
            <w:r>
              <w:rPr>
                <w:rFonts w:hint="eastAsia" w:ascii="Times New Roman" w:hAnsi="Times New Roman" w:cs="Times New Roman"/>
                <w:color w:val="auto"/>
                <w:kern w:val="2"/>
              </w:rPr>
              <w:t>，</w:t>
            </w:r>
            <w:r>
              <w:rPr>
                <w:rFonts w:hint="default" w:ascii="Times New Roman" w:hAnsi="Times New Roman" w:cs="Times New Roman"/>
                <w:color w:val="auto"/>
                <w:kern w:val="2"/>
              </w:rPr>
              <w:t>项目用水由</w:t>
            </w:r>
            <w:r>
              <w:rPr>
                <w:rFonts w:hint="eastAsia" w:ascii="Times New Roman" w:hAnsi="Times New Roman" w:cs="Times New Roman"/>
                <w:color w:val="auto"/>
                <w:kern w:val="2"/>
              </w:rPr>
              <w:t>市政供水</w:t>
            </w:r>
            <w:r>
              <w:rPr>
                <w:rFonts w:hint="default" w:ascii="Times New Roman" w:hAnsi="Times New Roman" w:cs="Times New Roman"/>
                <w:color w:val="auto"/>
                <w:kern w:val="2"/>
              </w:rPr>
              <w:t>供给。</w:t>
            </w:r>
          </w:p>
          <w:p w14:paraId="101326A4">
            <w:pPr>
              <w:keepNext w:val="0"/>
              <w:keepLines w:val="0"/>
              <w:widowControl/>
              <w:suppressLineNumbers w:val="0"/>
              <w:spacing w:before="0" w:beforeAutospacing="0" w:after="0" w:afterAutospacing="0" w:line="360" w:lineRule="auto"/>
              <w:ind w:left="0" w:right="0" w:firstLine="480" w:firstLineChars="200"/>
              <w:rPr>
                <w:rFonts w:hint="default"/>
                <w:bCs/>
                <w:color w:val="auto"/>
                <w:kern w:val="2"/>
              </w:rPr>
            </w:pPr>
            <w:r>
              <w:rPr>
                <w:rFonts w:hint="eastAsia"/>
                <w:bCs/>
                <w:color w:val="auto"/>
                <w:kern w:val="2"/>
              </w:rPr>
              <w:t>项目水平衡图详见下图。</w:t>
            </w:r>
          </w:p>
          <w:p w14:paraId="71D329B1">
            <w:pPr>
              <w:keepNext w:val="0"/>
              <w:keepLines w:val="0"/>
              <w:widowControl/>
              <w:suppressLineNumbers w:val="0"/>
              <w:spacing w:before="0" w:beforeAutospacing="0" w:after="0" w:afterAutospacing="0" w:line="360" w:lineRule="auto"/>
              <w:ind w:left="0" w:right="0"/>
              <w:rPr>
                <w:rFonts w:hint="default"/>
                <w:bCs/>
                <w:color w:val="auto"/>
                <w:kern w:val="2"/>
              </w:rPr>
            </w:pPr>
            <w:r>
              <w:rPr>
                <w:rFonts w:hint="default" w:ascii="Times New Roman" w:hAnsi="Times New Roman"/>
                <w:color w:val="auto"/>
                <w:kern w:val="2"/>
              </w:rPr>
              <mc:AlternateContent>
                <mc:Choice Requires="wpc">
                  <w:drawing>
                    <wp:inline distT="0" distB="0" distL="114300" distR="114300">
                      <wp:extent cx="5219700" cy="2226945"/>
                      <wp:effectExtent l="0" t="0" r="0" b="0"/>
                      <wp:docPr id="4" name="画布 10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5" name="Text Box 27"/>
                              <wps:cNvSpPr txBox="1"/>
                              <wps:spPr>
                                <a:xfrm>
                                  <a:off x="2448107" y="273241"/>
                                  <a:ext cx="451764" cy="265668"/>
                                </a:xfrm>
                                <a:prstGeom prst="rect">
                                  <a:avLst/>
                                </a:prstGeom>
                                <a:noFill/>
                                <a:ln>
                                  <a:noFill/>
                                </a:ln>
                                <a:effectLst/>
                              </wps:spPr>
                              <wps:txbx>
                                <w:txbxContent>
                                  <w:p w14:paraId="1FD3901A">
                                    <w:pPr>
                                      <w:rPr>
                                        <w:rFonts w:ascii="Times New Roman" w:hAnsi="Times New Roman" w:eastAsia="黑体"/>
                                        <w:sz w:val="18"/>
                                        <w:szCs w:val="18"/>
                                      </w:rPr>
                                    </w:pPr>
                                    <w:r>
                                      <w:rPr>
                                        <w:rFonts w:hint="eastAsia" w:ascii="Times New Roman" w:hAnsi="Times New Roman" w:eastAsia="黑体"/>
                                        <w:sz w:val="18"/>
                                        <w:szCs w:val="18"/>
                                      </w:rPr>
                                      <w:t>14.4</w:t>
                                    </w:r>
                                  </w:p>
                                </w:txbxContent>
                              </wps:txbx>
                              <wps:bodyPr upright="1"/>
                            </wps:wsp>
                            <wps:wsp>
                              <wps:cNvPr id="36" name="Text Box 28"/>
                              <wps:cNvSpPr txBox="1"/>
                              <wps:spPr>
                                <a:xfrm>
                                  <a:off x="4202163" y="249261"/>
                                  <a:ext cx="452395" cy="266299"/>
                                </a:xfrm>
                                <a:prstGeom prst="rect">
                                  <a:avLst/>
                                </a:prstGeom>
                                <a:noFill/>
                                <a:ln>
                                  <a:noFill/>
                                </a:ln>
                                <a:effectLst/>
                              </wps:spPr>
                              <wps:txbx>
                                <w:txbxContent>
                                  <w:p w14:paraId="6ACB487F">
                                    <w:pPr>
                                      <w:rPr>
                                        <w:rFonts w:ascii="Times New Roman" w:hAnsi="Times New Roman" w:eastAsia="黑体"/>
                                        <w:sz w:val="18"/>
                                        <w:szCs w:val="18"/>
                                      </w:rPr>
                                    </w:pPr>
                                    <w:r>
                                      <w:rPr>
                                        <w:rFonts w:hint="eastAsia" w:ascii="Times New Roman" w:hAnsi="Times New Roman" w:eastAsia="黑体"/>
                                        <w:sz w:val="18"/>
                                        <w:szCs w:val="18"/>
                                      </w:rPr>
                                      <w:t>14.4</w:t>
                                    </w:r>
                                  </w:p>
                                </w:txbxContent>
                              </wps:txbx>
                              <wps:bodyPr upright="1"/>
                            </wps:wsp>
                            <wps:wsp>
                              <wps:cNvPr id="38" name="AutoShape 18"/>
                              <wps:cNvCnPr/>
                              <wps:spPr>
                                <a:xfrm flipV="1">
                                  <a:off x="1564769" y="465077"/>
                                  <a:ext cx="364062" cy="631"/>
                                </a:xfrm>
                                <a:prstGeom prst="straightConnector1">
                                  <a:avLst/>
                                </a:prstGeom>
                                <a:ln w="9525" cap="flat" cmpd="sng">
                                  <a:solidFill>
                                    <a:srgbClr val="000000"/>
                                  </a:solidFill>
                                  <a:prstDash val="solid"/>
                                  <a:headEnd type="none" w="med" len="med"/>
                                  <a:tailEnd type="triangle" w="sm" len="med"/>
                                </a:ln>
                                <a:effectLst/>
                              </wps:spPr>
                              <wps:bodyPr/>
                            </wps:wsp>
                            <wps:wsp>
                              <wps:cNvPr id="39" name="Text Box 10"/>
                              <wps:cNvSpPr txBox="1"/>
                              <wps:spPr>
                                <a:xfrm>
                                  <a:off x="1917700" y="314325"/>
                                  <a:ext cx="568325" cy="296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4333099">
                                    <w:pPr>
                                      <w:jc w:val="center"/>
                                      <w:rPr>
                                        <w:rFonts w:ascii="Times New Roman" w:hAnsi="Times New Roman" w:eastAsia="黑体"/>
                                        <w:sz w:val="18"/>
                                        <w:szCs w:val="18"/>
                                      </w:rPr>
                                    </w:pPr>
                                    <w:r>
                                      <w:rPr>
                                        <w:rFonts w:ascii="Times New Roman" w:hAnsi="黑体" w:eastAsia="黑体"/>
                                        <w:sz w:val="18"/>
                                        <w:szCs w:val="18"/>
                                      </w:rPr>
                                      <w:t>化粪池</w:t>
                                    </w:r>
                                  </w:p>
                                </w:txbxContent>
                              </wps:txbx>
                              <wps:bodyPr upright="1"/>
                            </wps:wsp>
                            <wps:wsp>
                              <wps:cNvPr id="41" name="Text Box 12"/>
                              <wps:cNvSpPr txBox="1"/>
                              <wps:spPr>
                                <a:xfrm>
                                  <a:off x="2864538" y="314258"/>
                                  <a:ext cx="1369804" cy="29595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D6E827D">
                                    <w:pPr>
                                      <w:jc w:val="center"/>
                                      <w:rPr>
                                        <w:rFonts w:ascii="Times New Roman" w:hAnsi="Times New Roman" w:eastAsia="黑体"/>
                                        <w:sz w:val="18"/>
                                        <w:szCs w:val="18"/>
                                      </w:rPr>
                                    </w:pPr>
                                    <w:r>
                                      <w:rPr>
                                        <w:rFonts w:hint="eastAsia" w:ascii="Times New Roman" w:hAnsi="黑体" w:eastAsia="黑体"/>
                                        <w:sz w:val="18"/>
                                        <w:szCs w:val="18"/>
                                      </w:rPr>
                                      <w:t>凤凰湖园区污水处理厂</w:t>
                                    </w:r>
                                  </w:p>
                                </w:txbxContent>
                              </wps:txbx>
                              <wps:bodyPr upright="1"/>
                            </wps:wsp>
                            <wps:wsp>
                              <wps:cNvPr id="42" name="Text Box 26"/>
                              <wps:cNvSpPr txBox="1"/>
                              <wps:spPr>
                                <a:xfrm>
                                  <a:off x="1511300" y="255905"/>
                                  <a:ext cx="453390" cy="266065"/>
                                </a:xfrm>
                                <a:prstGeom prst="rect">
                                  <a:avLst/>
                                </a:prstGeom>
                                <a:noFill/>
                                <a:ln>
                                  <a:noFill/>
                                </a:ln>
                                <a:effectLst/>
                              </wps:spPr>
                              <wps:txbx>
                                <w:txbxContent>
                                  <w:p w14:paraId="0382CFA7">
                                    <w:pPr>
                                      <w:rPr>
                                        <w:rFonts w:ascii="Times New Roman" w:hAnsi="Times New Roman" w:eastAsia="黑体"/>
                                        <w:sz w:val="18"/>
                                        <w:szCs w:val="18"/>
                                      </w:rPr>
                                    </w:pPr>
                                    <w:r>
                                      <w:rPr>
                                        <w:rFonts w:hint="eastAsia" w:ascii="Times New Roman" w:hAnsi="Times New Roman" w:eastAsia="黑体"/>
                                        <w:sz w:val="18"/>
                                        <w:szCs w:val="18"/>
                                      </w:rPr>
                                      <w:t>14.4</w:t>
                                    </w:r>
                                  </w:p>
                                </w:txbxContent>
                              </wps:txbx>
                              <wps:bodyPr upright="1"/>
                            </wps:wsp>
                            <wps:wsp>
                              <wps:cNvPr id="43" name="AutoShape 21"/>
                              <wps:cNvCnPr/>
                              <wps:spPr>
                                <a:xfrm flipV="1">
                                  <a:off x="4265259" y="464446"/>
                                  <a:ext cx="367847" cy="631"/>
                                </a:xfrm>
                                <a:prstGeom prst="straightConnector1">
                                  <a:avLst/>
                                </a:prstGeom>
                                <a:ln w="9525" cap="flat" cmpd="sng">
                                  <a:solidFill>
                                    <a:srgbClr val="000000"/>
                                  </a:solidFill>
                                  <a:prstDash val="solid"/>
                                  <a:headEnd type="none" w="med" len="med"/>
                                  <a:tailEnd type="triangle" w="sm" len="med"/>
                                </a:ln>
                                <a:effectLst/>
                              </wps:spPr>
                              <wps:bodyPr/>
                            </wps:wsp>
                            <wps:wsp>
                              <wps:cNvPr id="44" name="Text Box 7"/>
                              <wps:cNvSpPr txBox="1"/>
                              <wps:spPr>
                                <a:xfrm>
                                  <a:off x="818515" y="313690"/>
                                  <a:ext cx="737235" cy="29654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FA995B2">
                                    <w:pPr>
                                      <w:jc w:val="center"/>
                                      <w:rPr>
                                        <w:rFonts w:ascii="黑体" w:hAnsi="黑体" w:eastAsia="黑体"/>
                                        <w:sz w:val="18"/>
                                        <w:szCs w:val="18"/>
                                      </w:rPr>
                                    </w:pPr>
                                    <w:r>
                                      <w:rPr>
                                        <w:rFonts w:hint="eastAsia" w:ascii="Times New Roman" w:hAnsi="黑体" w:eastAsia="黑体"/>
                                        <w:sz w:val="18"/>
                                        <w:szCs w:val="18"/>
                                      </w:rPr>
                                      <w:t>生活污水</w:t>
                                    </w:r>
                                    <w:r>
                                      <w:rPr>
                                        <w:rFonts w:ascii="黑体" w:hAnsi="黑体" w:eastAsia="黑体"/>
                                        <w:sz w:val="18"/>
                                        <w:szCs w:val="18"/>
                                      </w:rPr>
                                      <w:t>生活污水</w:t>
                                    </w:r>
                                  </w:p>
                                </w:txbxContent>
                              </wps:txbx>
                              <wps:bodyPr upright="1"/>
                            </wps:wsp>
                            <wps:wsp>
                              <wps:cNvPr id="1" name="Freeform 13"/>
                              <wps:cNvSpPr>
                                <a:spLocks noChangeAspect="1"/>
                              </wps:cNvSpPr>
                              <wps:spPr>
                                <a:xfrm rot="-1396062">
                                  <a:off x="1287149" y="191836"/>
                                  <a:ext cx="280144" cy="74463"/>
                                </a:xfrm>
                                <a:custGeom>
                                  <a:avLst/>
                                  <a:gdLst>
                                    <a:gd name="A1" fmla="val 0"/>
                                    <a:gd name="A2" fmla="val 0"/>
                                    <a:gd name="A3" fmla="val 0"/>
                                  </a:gdLst>
                                  <a:ahLst/>
                                  <a:cxnLst>
                                    <a:cxn ang="0">
                                      <a:pos x="0" y="2147483646"/>
                                    </a:cxn>
                                    <a:cxn ang="0">
                                      <a:pos x="2147483646" y="0"/>
                                    </a:cxn>
                                    <a:cxn ang="0">
                                      <a:pos x="2147483646" y="2147483646"/>
                                    </a:cxn>
                                    <a:cxn ang="0">
                                      <a:pos x="2147483646" y="0"/>
                                    </a:cxn>
                                  </a:cxnLst>
                                  <a:pathLst>
                                    <a:path w="360" h="156">
                                      <a:moveTo>
                                        <a:pt x="0" y="156"/>
                                      </a:moveTo>
                                      <a:cubicBezTo>
                                        <a:pt x="75" y="78"/>
                                        <a:pt x="150" y="0"/>
                                        <a:pt x="180" y="0"/>
                                      </a:cubicBezTo>
                                      <a:cubicBezTo>
                                        <a:pt x="210" y="0"/>
                                        <a:pt x="150" y="156"/>
                                        <a:pt x="180" y="156"/>
                                      </a:cubicBezTo>
                                      <a:cubicBezTo>
                                        <a:pt x="210" y="156"/>
                                        <a:pt x="285" y="78"/>
                                        <a:pt x="360" y="0"/>
                                      </a:cubicBezTo>
                                    </a:path>
                                  </a:pathLst>
                                </a:custGeom>
                                <a:noFill/>
                                <a:ln w="9525" cap="flat" cmpd="sng">
                                  <a:solidFill>
                                    <a:srgbClr val="000000"/>
                                  </a:solidFill>
                                  <a:prstDash val="solid"/>
                                  <a:round/>
                                  <a:headEnd type="none" w="med" len="med"/>
                                  <a:tailEnd type="stealth" w="sm" len="med"/>
                                </a:ln>
                              </wps:spPr>
                              <wps:bodyPr vert="horz" anchor="t" anchorCtr="0" upright="1"/>
                            </wps:wsp>
                            <wps:wsp>
                              <wps:cNvPr id="46" name="AutoShape 14"/>
                              <wps:cNvCnPr/>
                              <wps:spPr>
                                <a:xfrm>
                                  <a:off x="567055" y="459740"/>
                                  <a:ext cx="252095" cy="1270"/>
                                </a:xfrm>
                                <a:prstGeom prst="straightConnector1">
                                  <a:avLst/>
                                </a:prstGeom>
                                <a:ln w="9525" cap="flat" cmpd="sng">
                                  <a:solidFill>
                                    <a:srgbClr val="000000"/>
                                  </a:solidFill>
                                  <a:prstDash val="solid"/>
                                  <a:headEnd type="none" w="med" len="med"/>
                                  <a:tailEnd type="triangle" w="sm" len="med"/>
                                </a:ln>
                                <a:effectLst/>
                              </wps:spPr>
                              <wps:bodyPr/>
                            </wps:wsp>
                            <wps:wsp>
                              <wps:cNvPr id="49" name="AutoShape 18"/>
                              <wps:cNvCnPr/>
                              <wps:spPr>
                                <a:xfrm flipV="1">
                                  <a:off x="2498583" y="472018"/>
                                  <a:ext cx="367216" cy="631"/>
                                </a:xfrm>
                                <a:prstGeom prst="straightConnector1">
                                  <a:avLst/>
                                </a:prstGeom>
                                <a:ln w="9525" cap="flat" cmpd="sng">
                                  <a:solidFill>
                                    <a:srgbClr val="000000"/>
                                  </a:solidFill>
                                  <a:prstDash val="solid"/>
                                  <a:headEnd type="none" w="med" len="med"/>
                                  <a:tailEnd type="triangle" w="sm" len="med"/>
                                </a:ln>
                                <a:effectLst/>
                              </wps:spPr>
                              <wps:bodyPr/>
                            </wps:wsp>
                            <wps:wsp>
                              <wps:cNvPr id="50" name="AutoShape 14"/>
                              <wps:cNvCnPr/>
                              <wps:spPr>
                                <a:xfrm>
                                  <a:off x="567690" y="1459230"/>
                                  <a:ext cx="288290" cy="1270"/>
                                </a:xfrm>
                                <a:prstGeom prst="straightConnector1">
                                  <a:avLst/>
                                </a:prstGeom>
                                <a:ln w="9525" cap="flat" cmpd="sng">
                                  <a:solidFill>
                                    <a:srgbClr val="000000"/>
                                  </a:solidFill>
                                  <a:prstDash val="solid"/>
                                  <a:headEnd type="none" w="med" len="med"/>
                                  <a:tailEnd type="triangle" w="sm" len="med"/>
                                </a:ln>
                                <a:effectLst/>
                              </wps:spPr>
                              <wps:bodyPr/>
                            </wps:wsp>
                            <wps:wsp>
                              <wps:cNvPr id="51" name="Text Box 7"/>
                              <wps:cNvSpPr txBox="1"/>
                              <wps:spPr>
                                <a:xfrm>
                                  <a:off x="852170" y="1315720"/>
                                  <a:ext cx="833120" cy="2901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4A671CB">
                                    <w:pPr>
                                      <w:jc w:val="center"/>
                                      <w:rPr>
                                        <w:rFonts w:ascii="Times New Roman" w:hAnsi="Times New Roman" w:eastAsia="黑体"/>
                                        <w:sz w:val="18"/>
                                        <w:szCs w:val="18"/>
                                      </w:rPr>
                                    </w:pPr>
                                    <w:r>
                                      <w:rPr>
                                        <w:rFonts w:hint="eastAsia" w:ascii="Times New Roman" w:hAnsi="黑体" w:eastAsia="黑体"/>
                                        <w:sz w:val="18"/>
                                        <w:szCs w:val="18"/>
                                      </w:rPr>
                                      <w:t>冷却循环</w:t>
                                    </w:r>
                                  </w:p>
                                </w:txbxContent>
                              </wps:txbx>
                              <wps:bodyPr upright="1"/>
                            </wps:wsp>
                            <wps:wsp>
                              <wps:cNvPr id="3" name="Freeform 13"/>
                              <wps:cNvSpPr>
                                <a:spLocks noChangeAspect="1"/>
                              </wps:cNvSpPr>
                              <wps:spPr>
                                <a:xfrm rot="-1396062">
                                  <a:off x="1299768" y="1186987"/>
                                  <a:ext cx="280775" cy="73832"/>
                                </a:xfrm>
                                <a:custGeom>
                                  <a:avLst/>
                                  <a:gdLst>
                                    <a:gd name="A1" fmla="val 0"/>
                                    <a:gd name="A2" fmla="val 0"/>
                                    <a:gd name="A3" fmla="val 0"/>
                                  </a:gdLst>
                                  <a:ahLst/>
                                  <a:cxnLst>
                                    <a:cxn ang="0">
                                      <a:pos x="0" y="2147483646"/>
                                    </a:cxn>
                                    <a:cxn ang="0">
                                      <a:pos x="2147483646" y="0"/>
                                    </a:cxn>
                                    <a:cxn ang="0">
                                      <a:pos x="2147483646" y="2147483646"/>
                                    </a:cxn>
                                    <a:cxn ang="0">
                                      <a:pos x="2147483646" y="0"/>
                                    </a:cxn>
                                  </a:cxnLst>
                                  <a:pathLst>
                                    <a:path w="360" h="156">
                                      <a:moveTo>
                                        <a:pt x="0" y="156"/>
                                      </a:moveTo>
                                      <a:cubicBezTo>
                                        <a:pt x="75" y="78"/>
                                        <a:pt x="150" y="0"/>
                                        <a:pt x="180" y="0"/>
                                      </a:cubicBezTo>
                                      <a:cubicBezTo>
                                        <a:pt x="210" y="0"/>
                                        <a:pt x="150" y="156"/>
                                        <a:pt x="180" y="156"/>
                                      </a:cubicBezTo>
                                      <a:cubicBezTo>
                                        <a:pt x="210" y="156"/>
                                        <a:pt x="285" y="78"/>
                                        <a:pt x="360" y="0"/>
                                      </a:cubicBezTo>
                                    </a:path>
                                  </a:pathLst>
                                </a:custGeom>
                                <a:noFill/>
                                <a:ln w="9525" cap="flat" cmpd="sng">
                                  <a:solidFill>
                                    <a:srgbClr val="000000"/>
                                  </a:solidFill>
                                  <a:prstDash val="solid"/>
                                  <a:round/>
                                  <a:headEnd type="none" w="med" len="med"/>
                                  <a:tailEnd type="stealth" w="sm" len="med"/>
                                </a:ln>
                              </wps:spPr>
                              <wps:bodyPr vert="horz" anchor="t" anchorCtr="0" upright="1"/>
                            </wps:wsp>
                            <wps:wsp>
                              <wps:cNvPr id="53" name="文本框 6789"/>
                              <wps:cNvSpPr txBox="1"/>
                              <wps:spPr>
                                <a:xfrm>
                                  <a:off x="1463817" y="969909"/>
                                  <a:ext cx="450502" cy="266299"/>
                                </a:xfrm>
                                <a:prstGeom prst="rect">
                                  <a:avLst/>
                                </a:prstGeom>
                                <a:noFill/>
                                <a:ln>
                                  <a:noFill/>
                                </a:ln>
                                <a:effectLst/>
                              </wps:spPr>
                              <wps:txbx>
                                <w:txbxContent>
                                  <w:p w14:paraId="40A977ED">
                                    <w:pPr>
                                      <w:rPr>
                                        <w:rFonts w:ascii="Times New Roman" w:hAnsi="Times New Roman" w:eastAsia="黑体"/>
                                        <w:sz w:val="18"/>
                                        <w:szCs w:val="18"/>
                                      </w:rPr>
                                    </w:pPr>
                                    <w:r>
                                      <w:rPr>
                                        <w:rFonts w:hint="eastAsia" w:ascii="Times New Roman" w:hAnsi="Times New Roman" w:eastAsia="黑体"/>
                                        <w:sz w:val="18"/>
                                        <w:szCs w:val="18"/>
                                      </w:rPr>
                                      <w:t>1.66</w:t>
                                    </w:r>
                                  </w:p>
                                </w:txbxContent>
                              </wps:txbx>
                              <wps:bodyPr upright="1"/>
                            </wps:wsp>
                            <wps:wsp>
                              <wps:cNvPr id="54" name="AutoShape 14"/>
                              <wps:cNvCnPr/>
                              <wps:spPr>
                                <a:xfrm>
                                  <a:off x="120650" y="901700"/>
                                  <a:ext cx="437515" cy="1270"/>
                                </a:xfrm>
                                <a:prstGeom prst="straightConnector1">
                                  <a:avLst/>
                                </a:prstGeom>
                                <a:ln w="9525" cap="flat" cmpd="sng">
                                  <a:solidFill>
                                    <a:srgbClr val="000000"/>
                                  </a:solidFill>
                                  <a:prstDash val="solid"/>
                                  <a:headEnd type="none" w="med" len="med"/>
                                  <a:tailEnd type="triangle" w="sm" len="med"/>
                                </a:ln>
                                <a:effectLst/>
                              </wps:spPr>
                              <wps:bodyPr/>
                            </wps:wsp>
                            <wps:wsp>
                              <wps:cNvPr id="56" name="Text Box 26"/>
                              <wps:cNvSpPr txBox="1"/>
                              <wps:spPr>
                                <a:xfrm>
                                  <a:off x="432435" y="107950"/>
                                  <a:ext cx="452755" cy="266700"/>
                                </a:xfrm>
                                <a:prstGeom prst="rect">
                                  <a:avLst/>
                                </a:prstGeom>
                                <a:noFill/>
                                <a:ln>
                                  <a:noFill/>
                                </a:ln>
                                <a:effectLst/>
                              </wps:spPr>
                              <wps:txbx>
                                <w:txbxContent>
                                  <w:p w14:paraId="78DC3690">
                                    <w:pPr>
                                      <w:rPr>
                                        <w:rFonts w:ascii="Times New Roman" w:hAnsi="Times New Roman" w:eastAsia="黑体"/>
                                        <w:sz w:val="18"/>
                                        <w:szCs w:val="18"/>
                                      </w:rPr>
                                    </w:pPr>
                                    <w:r>
                                      <w:rPr>
                                        <w:rFonts w:hint="eastAsia" w:ascii="Times New Roman" w:hAnsi="Times New Roman" w:eastAsia="黑体"/>
                                        <w:sz w:val="18"/>
                                        <w:szCs w:val="18"/>
                                      </w:rPr>
                                      <w:t>18</w:t>
                                    </w:r>
                                  </w:p>
                                </w:txbxContent>
                              </wps:txbx>
                              <wps:bodyPr upright="1"/>
                            </wps:wsp>
                            <wps:wsp>
                              <wps:cNvPr id="57" name="Text Box 26"/>
                              <wps:cNvSpPr txBox="1"/>
                              <wps:spPr>
                                <a:xfrm>
                                  <a:off x="495300" y="1241425"/>
                                  <a:ext cx="454025" cy="266065"/>
                                </a:xfrm>
                                <a:prstGeom prst="rect">
                                  <a:avLst/>
                                </a:prstGeom>
                                <a:noFill/>
                                <a:ln>
                                  <a:noFill/>
                                </a:ln>
                                <a:effectLst/>
                              </wps:spPr>
                              <wps:txbx>
                                <w:txbxContent>
                                  <w:p w14:paraId="4A39FC9D">
                                    <w:pPr>
                                      <w:rPr>
                                        <w:rFonts w:ascii="Times New Roman" w:hAnsi="Times New Roman" w:eastAsia="黑体"/>
                                        <w:sz w:val="18"/>
                                        <w:szCs w:val="18"/>
                                      </w:rPr>
                                    </w:pPr>
                                    <w:r>
                                      <w:rPr>
                                        <w:rFonts w:hint="eastAsia" w:ascii="Times New Roman" w:hAnsi="Times New Roman" w:eastAsia="黑体"/>
                                        <w:sz w:val="18"/>
                                        <w:szCs w:val="18"/>
                                      </w:rPr>
                                      <w:t>1.66</w:t>
                                    </w:r>
                                  </w:p>
                                </w:txbxContent>
                              </wps:txbx>
                              <wps:bodyPr upright="1"/>
                            </wps:wsp>
                            <wps:wsp>
                              <wps:cNvPr id="58" name="直接连接符 99"/>
                              <wps:cNvCnPr/>
                              <wps:spPr>
                                <a:xfrm flipH="1">
                                  <a:off x="554990" y="453390"/>
                                  <a:ext cx="3175" cy="1007745"/>
                                </a:xfrm>
                                <a:prstGeom prst="line">
                                  <a:avLst/>
                                </a:prstGeom>
                                <a:noFill/>
                                <a:ln w="9525" cap="flat" cmpd="sng" algn="ctr">
                                  <a:solidFill>
                                    <a:srgbClr val="000000"/>
                                  </a:solidFill>
                                  <a:prstDash val="solid"/>
                                </a:ln>
                                <a:effectLst/>
                              </wps:spPr>
                              <wps:bodyPr/>
                            </wps:wsp>
                            <wps:wsp>
                              <wps:cNvPr id="59" name="Text Box 23"/>
                              <wps:cNvSpPr txBox="1"/>
                              <wps:spPr>
                                <a:xfrm>
                                  <a:off x="0" y="656590"/>
                                  <a:ext cx="695325" cy="434975"/>
                                </a:xfrm>
                                <a:prstGeom prst="rect">
                                  <a:avLst/>
                                </a:prstGeom>
                                <a:noFill/>
                                <a:ln>
                                  <a:noFill/>
                                </a:ln>
                                <a:effectLst/>
                              </wps:spPr>
                              <wps:txbx>
                                <w:txbxContent>
                                  <w:p w14:paraId="073131CB">
                                    <w:pPr>
                                      <w:rPr>
                                        <w:rFonts w:ascii="Times New Roman" w:hAnsi="黑体" w:eastAsia="黑体"/>
                                        <w:sz w:val="18"/>
                                        <w:szCs w:val="18"/>
                                      </w:rPr>
                                    </w:pPr>
                                    <w:r>
                                      <w:rPr>
                                        <w:rFonts w:hint="eastAsia" w:ascii="Times New Roman" w:hAnsi="黑体" w:eastAsia="黑体"/>
                                        <w:sz w:val="18"/>
                                        <w:szCs w:val="18"/>
                                      </w:rPr>
                                      <w:t>市政</w:t>
                                    </w:r>
                                    <w:r>
                                      <w:rPr>
                                        <w:rFonts w:ascii="Times New Roman" w:hAnsi="黑体" w:eastAsia="黑体"/>
                                        <w:sz w:val="18"/>
                                        <w:szCs w:val="18"/>
                                      </w:rPr>
                                      <w:t>供水</w:t>
                                    </w:r>
                                  </w:p>
                                  <w:p w14:paraId="4819B9F5">
                                    <w:pPr>
                                      <w:ind w:firstLine="180" w:firstLineChars="100"/>
                                      <w:rPr>
                                        <w:rFonts w:ascii="Times New Roman" w:hAnsi="Times New Roman" w:eastAsia="黑体"/>
                                        <w:sz w:val="18"/>
                                        <w:szCs w:val="18"/>
                                      </w:rPr>
                                    </w:pPr>
                                    <w:r>
                                      <w:rPr>
                                        <w:rFonts w:hint="eastAsia" w:ascii="Times New Roman" w:hAnsi="Times New Roman" w:eastAsia="黑体"/>
                                        <w:sz w:val="18"/>
                                        <w:szCs w:val="18"/>
                                      </w:rPr>
                                      <w:t>19.66</w:t>
                                    </w:r>
                                  </w:p>
                                </w:txbxContent>
                              </wps:txbx>
                              <wps:bodyPr upright="1"/>
                            </wps:wsp>
                            <wps:wsp>
                              <wps:cNvPr id="60" name="直接连接符 514"/>
                              <wps:cNvCnPr/>
                              <wps:spPr>
                                <a:xfrm>
                                  <a:off x="1677670" y="1608455"/>
                                  <a:ext cx="0" cy="251460"/>
                                </a:xfrm>
                                <a:prstGeom prst="line">
                                  <a:avLst/>
                                </a:prstGeom>
                                <a:noFill/>
                                <a:ln w="12700" cap="flat" cmpd="sng" algn="ctr">
                                  <a:solidFill>
                                    <a:srgbClr val="000000"/>
                                  </a:solidFill>
                                  <a:prstDash val="solid"/>
                                </a:ln>
                                <a:effectLst/>
                              </wps:spPr>
                              <wps:bodyPr/>
                            </wps:wsp>
                            <wps:wsp>
                              <wps:cNvPr id="61" name="直接连接符 515"/>
                              <wps:cNvCnPr/>
                              <wps:spPr>
                                <a:xfrm>
                                  <a:off x="990600" y="1609090"/>
                                  <a:ext cx="0" cy="251460"/>
                                </a:xfrm>
                                <a:prstGeom prst="line">
                                  <a:avLst/>
                                </a:prstGeom>
                                <a:noFill/>
                                <a:ln w="12700" cap="flat" cmpd="sng" algn="ctr">
                                  <a:solidFill>
                                    <a:srgbClr val="000000"/>
                                  </a:solidFill>
                                  <a:prstDash val="solid"/>
                                  <a:headEnd type="triangle" w="sm" len="med"/>
                                  <a:tailEnd type="none"/>
                                </a:ln>
                                <a:effectLst/>
                              </wps:spPr>
                              <wps:bodyPr/>
                            </wps:wsp>
                            <wps:wsp>
                              <wps:cNvPr id="62" name="直接箭头连接符 516"/>
                              <wps:cNvCnPr/>
                              <wps:spPr>
                                <a:xfrm>
                                  <a:off x="990600" y="1856740"/>
                                  <a:ext cx="692785" cy="1270"/>
                                </a:xfrm>
                                <a:prstGeom prst="straightConnector1">
                                  <a:avLst/>
                                </a:prstGeom>
                                <a:ln w="12700" cap="flat" cmpd="sng">
                                  <a:solidFill>
                                    <a:srgbClr val="000000"/>
                                  </a:solidFill>
                                  <a:prstDash val="solid"/>
                                  <a:headEnd type="none" w="med" len="med"/>
                                  <a:tailEnd type="none" w="sm" len="med"/>
                                </a:ln>
                                <a:effectLst/>
                              </wps:spPr>
                              <wps:bodyPr/>
                            </wps:wsp>
                            <wps:wsp>
                              <wps:cNvPr id="63" name="Text Box 26"/>
                              <wps:cNvSpPr txBox="1"/>
                              <wps:spPr>
                                <a:xfrm>
                                  <a:off x="1110482" y="1643860"/>
                                  <a:ext cx="368477" cy="266299"/>
                                </a:xfrm>
                                <a:prstGeom prst="rect">
                                  <a:avLst/>
                                </a:prstGeom>
                                <a:noFill/>
                                <a:ln>
                                  <a:noFill/>
                                </a:ln>
                                <a:effectLst/>
                              </wps:spPr>
                              <wps:txbx>
                                <w:txbxContent>
                                  <w:p w14:paraId="6777B52D">
                                    <w:pPr>
                                      <w:rPr>
                                        <w:rFonts w:ascii="Times New Roman" w:hAnsi="Times New Roman" w:eastAsia="黑体"/>
                                        <w:sz w:val="18"/>
                                        <w:szCs w:val="18"/>
                                      </w:rPr>
                                    </w:pPr>
                                    <w:r>
                                      <w:rPr>
                                        <w:rFonts w:hint="eastAsia" w:ascii="Times New Roman" w:hAnsi="Times New Roman" w:eastAsia="黑体"/>
                                        <w:sz w:val="18"/>
                                        <w:szCs w:val="18"/>
                                      </w:rPr>
                                      <w:t>500</w:t>
                                    </w:r>
                                  </w:p>
                                </w:txbxContent>
                              </wps:txbx>
                              <wps:bodyPr upright="1"/>
                            </wps:wsp>
                            <wps:wsp>
                              <wps:cNvPr id="64" name="Text Box 26"/>
                              <wps:cNvSpPr txBox="1"/>
                              <wps:spPr>
                                <a:xfrm>
                                  <a:off x="1451197" y="0"/>
                                  <a:ext cx="450503" cy="266299"/>
                                </a:xfrm>
                                <a:prstGeom prst="rect">
                                  <a:avLst/>
                                </a:prstGeom>
                                <a:noFill/>
                                <a:ln>
                                  <a:noFill/>
                                </a:ln>
                                <a:effectLst/>
                              </wps:spPr>
                              <wps:txbx>
                                <w:txbxContent>
                                  <w:p w14:paraId="0BA482F0">
                                    <w:pPr>
                                      <w:rPr>
                                        <w:rFonts w:ascii="Times New Roman" w:hAnsi="Times New Roman" w:eastAsia="黑体"/>
                                        <w:sz w:val="18"/>
                                        <w:szCs w:val="18"/>
                                      </w:rPr>
                                    </w:pPr>
                                    <w:r>
                                      <w:rPr>
                                        <w:rFonts w:hint="eastAsia" w:ascii="Times New Roman" w:hAnsi="Times New Roman" w:eastAsia="黑体"/>
                                        <w:sz w:val="18"/>
                                        <w:szCs w:val="18"/>
                                      </w:rPr>
                                      <w:t>3.6</w:t>
                                    </w:r>
                                  </w:p>
                                </w:txbxContent>
                              </wps:txbx>
                              <wps:bodyPr upright="1"/>
                            </wps:wsp>
                            <wps:wsp>
                              <wps:cNvPr id="65" name="Text Box 22"/>
                              <wps:cNvSpPr txBox="1"/>
                              <wps:spPr>
                                <a:xfrm>
                                  <a:off x="4479783" y="302899"/>
                                  <a:ext cx="542622" cy="284600"/>
                                </a:xfrm>
                                <a:prstGeom prst="rect">
                                  <a:avLst/>
                                </a:prstGeom>
                                <a:noFill/>
                                <a:ln>
                                  <a:noFill/>
                                </a:ln>
                                <a:effectLst/>
                              </wps:spPr>
                              <wps:txbx>
                                <w:txbxContent>
                                  <w:p w14:paraId="7E8AFCBE">
                                    <w:pPr>
                                      <w:jc w:val="center"/>
                                      <w:rPr>
                                        <w:rFonts w:ascii="Times New Roman" w:hAnsi="Times New Roman" w:eastAsia="黑体"/>
                                        <w:sz w:val="18"/>
                                        <w:szCs w:val="18"/>
                                      </w:rPr>
                                    </w:pPr>
                                    <w:r>
                                      <w:rPr>
                                        <w:rFonts w:hint="eastAsia" w:ascii="Times New Roman" w:hAnsi="黑体" w:eastAsia="黑体"/>
                                        <w:sz w:val="18"/>
                                        <w:szCs w:val="18"/>
                                      </w:rPr>
                                      <w:t>架河</w:t>
                                    </w:r>
                                  </w:p>
                                </w:txbxContent>
                              </wps:txbx>
                              <wps:bodyPr upright="1"/>
                            </wps:wsp>
                          </wpc:wpc>
                        </a:graphicData>
                      </a:graphic>
                    </wp:inline>
                  </w:drawing>
                </mc:Choice>
                <mc:Fallback>
                  <w:pict>
                    <v:group id="画布 1070" o:spid="_x0000_s1026" o:spt="203" style="height:175.35pt;width:411pt;" coordsize="5219700,2226945" editas="canvas" o:gfxdata="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">
                      <o:lock v:ext="edit" aspectratio="f"/>
                      <v:shape id="画布 1070" o:spid="_x0000_s1026" style="position:absolute;left:0;top:0;height:2226945;width:5219700;" filled="f" stroked="f" coordsize="21600,21600" o:gfxdata="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">
                        <v:fill on="f" focussize="0,0"/>
                        <v:stroke on="f"/>
                        <v:imagedata o:title=""/>
                        <o:lock v:ext="edit" aspectratio="t"/>
                      </v:shape>
                      <v:shape id="Text Box 27" o:spid="_x0000_s1026" o:spt="202" type="#_x0000_t202" style="position:absolute;left:2448107;top:273241;height:265668;width:451764;" filled="f" stroked="f" coordsize="21600,21600" o:gfxdata="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Plj7s0wAAAAUB&#10;AAAPAAAAAAAAAAEAIAAAACIAAABkcnMvZG93bnJldi54bWxQSwECFAAUAAAACACHTuJAt9aCMq4B&#10;AABnAwAADgAAAAAAAAABACAAAAAiAQAAZHJzL2Uyb0RvYy54bWxQSwUGAAAAAAYABgBZAQAAQgUA&#10;AAAA&#10;">
                        <v:fill on="f" focussize="0,0"/>
                        <v:stroke on="f"/>
                        <v:imagedata o:title=""/>
                        <o:lock v:ext="edit" aspectratio="f"/>
                        <v:textbox>
                          <w:txbxContent>
                            <w:p w14:paraId="1FD3901A">
                              <w:pPr>
                                <w:rPr>
                                  <w:rFonts w:ascii="Times New Roman" w:hAnsi="Times New Roman" w:eastAsia="黑体"/>
                                  <w:sz w:val="18"/>
                                  <w:szCs w:val="18"/>
                                </w:rPr>
                              </w:pPr>
                              <w:r>
                                <w:rPr>
                                  <w:rFonts w:hint="eastAsia" w:ascii="Times New Roman" w:hAnsi="Times New Roman" w:eastAsia="黑体"/>
                                  <w:sz w:val="18"/>
                                  <w:szCs w:val="18"/>
                                </w:rPr>
                                <w:t>14.4</w:t>
                              </w:r>
                            </w:p>
                          </w:txbxContent>
                        </v:textbox>
                      </v:shape>
                      <v:shape id="Text Box 28" o:spid="_x0000_s1026" o:spt="202" type="#_x0000_t202" style="position:absolute;left:4202163;top:249261;height:266299;width:452395;" filled="f" stroked="f" coordsize="21600,21600" o:gfxdata="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WPuzTAAAABQEA&#10;AA8AAAAAAAAAAQAgAAAAIgAAAGRycy9kb3ducmV2LnhtbFBLAQIUABQAAAAIAIdO4kCcfBaxrQEA&#10;AGcDAAAOAAAAAAAAAAEAIAAAACIBAABkcnMvZTJvRG9jLnhtbFBLBQYAAAAABgAGAFkBAABBBQAA&#10;AAA=&#10;">
                        <v:fill on="f" focussize="0,0"/>
                        <v:stroke on="f"/>
                        <v:imagedata o:title=""/>
                        <o:lock v:ext="edit" aspectratio="f"/>
                        <v:textbox>
                          <w:txbxContent>
                            <w:p w14:paraId="6ACB487F">
                              <w:pPr>
                                <w:rPr>
                                  <w:rFonts w:ascii="Times New Roman" w:hAnsi="Times New Roman" w:eastAsia="黑体"/>
                                  <w:sz w:val="18"/>
                                  <w:szCs w:val="18"/>
                                </w:rPr>
                              </w:pPr>
                              <w:r>
                                <w:rPr>
                                  <w:rFonts w:hint="eastAsia" w:ascii="Times New Roman" w:hAnsi="Times New Roman" w:eastAsia="黑体"/>
                                  <w:sz w:val="18"/>
                                  <w:szCs w:val="18"/>
                                </w:rPr>
                                <w:t>14.4</w:t>
                              </w:r>
                            </w:p>
                          </w:txbxContent>
                        </v:textbox>
                      </v:shape>
                      <v:shape id="AutoShape 18" o:spid="_x0000_s1026" o:spt="32" type="#_x0000_t32" style="position:absolute;left:1564769;top:465077;flip:y;height:631;width:364062;" filled="f" stroked="t" coordsize="21600,21600" o:gfxdata="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s/D+dYAAAAFAQAADwAAAAAAAAABACAAAAAiAAAAZHJzL2Rv&#10;d25yZXYueG1sUEsBAhQAFAAAAAgAh07iQOFh3iADAgAACQQAAA4AAAAAAAAAAQAgAAAAJQEAAGRy&#10;cy9lMm9Eb2MueG1sUEsFBgAAAAAGAAYAWQEAAJoFAAAAAA==&#10;">
                        <v:fill on="f" focussize="0,0"/>
                        <v:stroke color="#000000" joinstyle="round" endarrow="block" endarrowwidth="narrow"/>
                        <v:imagedata o:title=""/>
                        <o:lock v:ext="edit" aspectratio="f"/>
                      </v:shape>
                      <v:shape id="Text Box 10" o:spid="_x0000_s1026" o:spt="202" type="#_x0000_t202" style="position:absolute;left:1917700;top:314325;height:296545;width:568325;" fillcolor="#FFFFFF" filled="t" stroked="t" coordsize="21600,21600" o:gfxdata="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ylYlHVAAAABQEAAA8AAAAAAAAAAQAgAAAAIgAA&#10;AGRycy9kb3ducmV2LnhtbFBLAQIUABQAAAAIAIdO4kBfVfLeCwIAAE8EAAAOAAAAAAAAAAEAIAAA&#10;ACQBAABkcnMvZTJvRG9jLnhtbFBLBQYAAAAABgAGAFkBAAChBQAAAAA=&#10;">
                        <v:fill on="t" focussize="0,0"/>
                        <v:stroke color="#000000" joinstyle="miter"/>
                        <v:imagedata o:title=""/>
                        <o:lock v:ext="edit" aspectratio="f"/>
                        <v:textbox>
                          <w:txbxContent>
                            <w:p w14:paraId="54333099">
                              <w:pPr>
                                <w:jc w:val="center"/>
                                <w:rPr>
                                  <w:rFonts w:ascii="Times New Roman" w:hAnsi="Times New Roman" w:eastAsia="黑体"/>
                                  <w:sz w:val="18"/>
                                  <w:szCs w:val="18"/>
                                </w:rPr>
                              </w:pPr>
                              <w:r>
                                <w:rPr>
                                  <w:rFonts w:ascii="Times New Roman" w:hAnsi="黑体" w:eastAsia="黑体"/>
                                  <w:sz w:val="18"/>
                                  <w:szCs w:val="18"/>
                                </w:rPr>
                                <w:t>化粪池</w:t>
                              </w:r>
                            </w:p>
                          </w:txbxContent>
                        </v:textbox>
                      </v:shape>
                      <v:shape id="Text Box 12" o:spid="_x0000_s1026" o:spt="202" type="#_x0000_t202" style="position:absolute;left:2864538;top:314258;height:295958;width:1369804;" fillcolor="#FFFFFF" filled="t" stroked="t" coordsize="21600,21600" o:gfxdata="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KViUdUAAAAFAQAADwAAAAAAAAABACAA&#10;AAAiAAAAZHJzL2Rvd25yZXYueG1sUEsBAhQAFAAAAAgAh07iQENinsUQAgAAUAQAAA4AAAAAAAAA&#10;AQAgAAAAJAEAAGRycy9lMm9Eb2MueG1sUEsFBgAAAAAGAAYAWQEAAKYFAAAAAA==&#10;">
                        <v:fill on="t" focussize="0,0"/>
                        <v:stroke color="#000000" joinstyle="miter"/>
                        <v:imagedata o:title=""/>
                        <o:lock v:ext="edit" aspectratio="f"/>
                        <v:textbox>
                          <w:txbxContent>
                            <w:p w14:paraId="2D6E827D">
                              <w:pPr>
                                <w:jc w:val="center"/>
                                <w:rPr>
                                  <w:rFonts w:ascii="Times New Roman" w:hAnsi="Times New Roman" w:eastAsia="黑体"/>
                                  <w:sz w:val="18"/>
                                  <w:szCs w:val="18"/>
                                </w:rPr>
                              </w:pPr>
                              <w:r>
                                <w:rPr>
                                  <w:rFonts w:hint="eastAsia" w:ascii="Times New Roman" w:hAnsi="黑体" w:eastAsia="黑体"/>
                                  <w:sz w:val="18"/>
                                  <w:szCs w:val="18"/>
                                </w:rPr>
                                <w:t>凤凰湖园区污水处理厂</w:t>
                              </w:r>
                            </w:p>
                          </w:txbxContent>
                        </v:textbox>
                      </v:shape>
                      <v:shape id="Text Box 26" o:spid="_x0000_s1026" o:spt="202" type="#_x0000_t202" style="position:absolute;left:1511300;top:255905;height:266065;width:453390;" filled="f" stroked="f" coordsize="21600,21600" o:gfxdata="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WPuzTAAAABQEA&#10;AA8AAAAAAAAAAQAgAAAAIgAAAGRycy9kb3ducmV2LnhtbFBLAQIUABQAAAAIAIdO4kBdeaT8rQEA&#10;AGcDAAAOAAAAAAAAAAEAIAAAACIBAABkcnMvZTJvRG9jLnhtbFBLBQYAAAAABgAGAFkBAABBBQAA&#10;AAA=&#10;">
                        <v:fill on="f" focussize="0,0"/>
                        <v:stroke on="f"/>
                        <v:imagedata o:title=""/>
                        <o:lock v:ext="edit" aspectratio="f"/>
                        <v:textbox>
                          <w:txbxContent>
                            <w:p w14:paraId="0382CFA7">
                              <w:pPr>
                                <w:rPr>
                                  <w:rFonts w:ascii="Times New Roman" w:hAnsi="Times New Roman" w:eastAsia="黑体"/>
                                  <w:sz w:val="18"/>
                                  <w:szCs w:val="18"/>
                                </w:rPr>
                              </w:pPr>
                              <w:r>
                                <w:rPr>
                                  <w:rFonts w:hint="eastAsia" w:ascii="Times New Roman" w:hAnsi="Times New Roman" w:eastAsia="黑体"/>
                                  <w:sz w:val="18"/>
                                  <w:szCs w:val="18"/>
                                </w:rPr>
                                <w:t>14.4</w:t>
                              </w:r>
                            </w:p>
                          </w:txbxContent>
                        </v:textbox>
                      </v:shape>
                      <v:shape id="AutoShape 21" o:spid="_x0000_s1026" o:spt="32" type="#_x0000_t32" style="position:absolute;left:4265259;top:464446;flip:y;height:631;width:367847;" filled="f" stroked="t" coordsize="21600,21600" o:gfxdata="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7Pw/nWAAAABQEAAA8AAAAAAAAAAQAgAAAAIgAAAGRycy9k&#10;b3ducmV2LnhtbFBLAQIUABQAAAAIAIdO4kDsvlsLBAIAAAkEAAAOAAAAAAAAAAEAIAAAACUBAABk&#10;cnMvZTJvRG9jLnhtbFBLBQYAAAAABgAGAFkBAACbBQAAAAA=&#10;">
                        <v:fill on="f" focussize="0,0"/>
                        <v:stroke color="#000000" joinstyle="round" endarrow="block" endarrowwidth="narrow"/>
                        <v:imagedata o:title=""/>
                        <o:lock v:ext="edit" aspectratio="f"/>
                      </v:shape>
                      <v:shape id="Text Box 7" o:spid="_x0000_s1026" o:spt="202" type="#_x0000_t202" style="position:absolute;left:818515;top:313690;height:296545;width:737235;" fillcolor="#FFFFFF" filled="t" stroked="t" coordsize="21600,21600" o:gfxdata="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ylYlHVAAAABQEAAA8AAAAAAAAAAQAgAAAAIgAA&#10;AGRycy9kb3ducmV2LnhtbFBLAQIUABQAAAAIAIdO4kDhrLmcCwIAAE0EAAAOAAAAAAAAAAEAIAAA&#10;ACQBAABkcnMvZTJvRG9jLnhtbFBLBQYAAAAABgAGAFkBAAChBQAAAAA=&#10;">
                        <v:fill on="t" focussize="0,0"/>
                        <v:stroke color="#000000" joinstyle="miter"/>
                        <v:imagedata o:title=""/>
                        <o:lock v:ext="edit" aspectratio="f"/>
                        <v:textbox>
                          <w:txbxContent>
                            <w:p w14:paraId="5FA995B2">
                              <w:pPr>
                                <w:jc w:val="center"/>
                                <w:rPr>
                                  <w:rFonts w:ascii="黑体" w:hAnsi="黑体" w:eastAsia="黑体"/>
                                  <w:sz w:val="18"/>
                                  <w:szCs w:val="18"/>
                                </w:rPr>
                              </w:pPr>
                              <w:r>
                                <w:rPr>
                                  <w:rFonts w:hint="eastAsia" w:ascii="Times New Roman" w:hAnsi="黑体" w:eastAsia="黑体"/>
                                  <w:sz w:val="18"/>
                                  <w:szCs w:val="18"/>
                                </w:rPr>
                                <w:t>生活污水</w:t>
                              </w:r>
                              <w:r>
                                <w:rPr>
                                  <w:rFonts w:ascii="黑体" w:hAnsi="黑体" w:eastAsia="黑体"/>
                                  <w:sz w:val="18"/>
                                  <w:szCs w:val="18"/>
                                </w:rPr>
                                <w:t>生活污水</w:t>
                              </w:r>
                            </w:p>
                          </w:txbxContent>
                        </v:textbox>
                      </v:shape>
                      <v:shape id="Freeform 13" o:spid="_x0000_s1026" o:spt="100" style="position:absolute;left:1287149;top:191836;height:74463;width:280144;rotation:-1524872f;" filled="f" stroked="t" coordsize="360,156" o:gfxdata="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NxMLf7UAAAABQEAAA8AAAAA&#10;AAAAAQAgAAAAIgAAAGRycy9kb3ducmV2LnhtbFBLAQIUABQAAAAIAIdO4kD/gZVh/AIAADkHAAAO&#10;AAAAAAAAAAEAIAAAACMBAABkcnMvZTJvRG9jLnhtbFBLBQYAAAAABgAGAFkBAACRBgAAAAA=&#10;" path="m0,156c75,78,150,0,180,0c210,0,150,156,180,156c210,156,285,78,360,0e">
                        <v:path o:connectlocs="0,2147483646;2147483646,0;2147483646,2147483646;2147483646,0" o:connectangles="0,0,0,0"/>
                        <v:fill on="f" focussize="0,0"/>
                        <v:stroke color="#000000" joinstyle="round" endarrow="classic" endarrowwidth="narrow"/>
                        <v:imagedata o:title=""/>
                        <o:lock v:ext="edit" aspectratio="t"/>
                      </v:shape>
                      <v:shape id="AutoShape 14" o:spid="_x0000_s1026" o:spt="32" type="#_x0000_t32" style="position:absolute;left:567055;top:459740;height:1270;width:252095;" filled="f" stroked="t" coordsize="21600,21600" o:gfxdata="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34l+jVAAAABQEAAA8AAAAAAAAAAQAgAAAAIgAAAGRycy9kb3ducmV2Lnht&#10;bFBLAQIUABQAAAAIAIdO4kBzxDW3/AEAAP8DAAAOAAAAAAAAAAEAIAAAACQBAABkcnMvZTJvRG9j&#10;LnhtbFBLBQYAAAAABgAGAFkBAACSBQAAAAA=&#10;">
                        <v:fill on="f" focussize="0,0"/>
                        <v:stroke color="#000000" joinstyle="round" endarrow="block" endarrowwidth="narrow"/>
                        <v:imagedata o:title=""/>
                        <o:lock v:ext="edit" aspectratio="f"/>
                      </v:shape>
                      <v:shape id="AutoShape 18" o:spid="_x0000_s1026" o:spt="32" type="#_x0000_t32" style="position:absolute;left:2498583;top:472018;flip:y;height:631;width:367216;" filled="f" stroked="t" coordsize="21600,21600" o:gfxdata="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Ds/D+dYAAAAFAQAADwAAAAAAAAABACAAAAAiAAAAZHJzL2Rv&#10;d25yZXYueG1sUEsBAhQAFAAAAAgAh07iQHlsoVUDAgAACQQAAA4AAAAAAAAAAQAgAAAAJQEAAGRy&#10;cy9lMm9Eb2MueG1sUEsFBgAAAAAGAAYAWQEAAJoFAAAAAA==&#10;">
                        <v:fill on="f" focussize="0,0"/>
                        <v:stroke color="#000000" joinstyle="round" endarrow="block" endarrowwidth="narrow"/>
                        <v:imagedata o:title=""/>
                        <o:lock v:ext="edit" aspectratio="f"/>
                      </v:shape>
                      <v:shape id="AutoShape 14" o:spid="_x0000_s1026" o:spt="32" type="#_x0000_t32" style="position:absolute;left:567690;top:1459230;height:1270;width:288290;" filled="f" stroked="t" coordsize="21600,21600" o:gfxdata="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fiX6NUAAAAFAQAADwAAAAAAAAABACAAAAAiAAAAZHJzL2Rvd25yZXYueG1s&#10;UEsBAhQAFAAAAAgAh07iQAYJ1gH7AQAAAAQAAA4AAAAAAAAAAQAgAAAAJAEAAGRycy9lMm9Eb2Mu&#10;eG1sUEsFBgAAAAAGAAYAWQEAAJEFAAAAAA==&#10;">
                        <v:fill on="f" focussize="0,0"/>
                        <v:stroke color="#000000" joinstyle="round" endarrow="block" endarrowwidth="narrow"/>
                        <v:imagedata o:title=""/>
                        <o:lock v:ext="edit" aspectratio="f"/>
                      </v:shape>
                      <v:shape id="Text Box 7" o:spid="_x0000_s1026" o:spt="202" type="#_x0000_t202" style="position:absolute;left:852170;top:1315720;height:290195;width:833120;" fillcolor="#FFFFFF" filled="t" stroked="t" coordsize="21600,21600" o:gfxdata="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KViUdUAAAAFAQAADwAAAAAAAAABACAAAAAiAAAA&#10;ZHJzL2Rvd25yZXYueG1sUEsBAhQAFAAAAAgAh07iQIIAhSYKAgAATgQAAA4AAAAAAAAAAQAgAAAA&#10;JAEAAGRycy9lMm9Eb2MueG1sUEsFBgAAAAAGAAYAWQEAAKAFAAAAAA==&#10;">
                        <v:fill on="t" focussize="0,0"/>
                        <v:stroke color="#000000" joinstyle="miter"/>
                        <v:imagedata o:title=""/>
                        <o:lock v:ext="edit" aspectratio="f"/>
                        <v:textbox>
                          <w:txbxContent>
                            <w:p w14:paraId="34A671CB">
                              <w:pPr>
                                <w:jc w:val="center"/>
                                <w:rPr>
                                  <w:rFonts w:ascii="Times New Roman" w:hAnsi="Times New Roman" w:eastAsia="黑体"/>
                                  <w:sz w:val="18"/>
                                  <w:szCs w:val="18"/>
                                </w:rPr>
                              </w:pPr>
                              <w:r>
                                <w:rPr>
                                  <w:rFonts w:hint="eastAsia" w:ascii="Times New Roman" w:hAnsi="黑体" w:eastAsia="黑体"/>
                                  <w:sz w:val="18"/>
                                  <w:szCs w:val="18"/>
                                </w:rPr>
                                <w:t>冷却循环</w:t>
                              </w:r>
                            </w:p>
                          </w:txbxContent>
                        </v:textbox>
                      </v:shape>
                      <v:shape id="Freeform 13" o:spid="_x0000_s1026" o:spt="100" style="position:absolute;left:1299768;top:1186987;height:73832;width:280775;rotation:-1524872f;" filled="f" stroked="t" coordsize="360,156" o:gfxdata="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" path="m0,156c75,78,150,0,180,0c210,0,150,156,180,156c210,156,285,78,360,0e">
                        <v:path o:connectlocs="0,2147483646;2147483646,0;2147483646,2147483646;2147483646,0" o:connectangles="0,0,0,0"/>
                        <v:fill on="f" focussize="0,0"/>
                        <v:stroke color="#000000" joinstyle="round" endarrow="classic" endarrowwidth="narrow"/>
                        <v:imagedata o:title=""/>
                        <o:lock v:ext="edit" aspectratio="t"/>
                      </v:shape>
                      <v:shape id="文本框 6789" o:spid="_x0000_s1026" o:spt="202" type="#_x0000_t202" style="position:absolute;left:1463817;top:969909;height:266299;width:450502;" filled="f" stroked="f" coordsize="21600,21600" o:gfxdata="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j5Y+7NMAAAAFAQAADwAAAAAAAAABACAAAAAiAAAAZHJzL2Rvd25yZXYueG1sUEsB&#10;AhQAFAAAAAgAh07iQKByUdfBAQAAagMAAA4AAAAAAAAAAQAgAAAAIgEAAGRycy9lMm9Eb2MueG1s&#10;UEsFBgAAAAAGAAYAWQEAAFUFAAAAAA==&#10;">
                        <v:fill on="f" focussize="0,0"/>
                        <v:stroke on="f"/>
                        <v:imagedata o:title=""/>
                        <o:lock v:ext="edit" aspectratio="f"/>
                        <v:textbox>
                          <w:txbxContent>
                            <w:p w14:paraId="40A977ED">
                              <w:pPr>
                                <w:rPr>
                                  <w:rFonts w:ascii="Times New Roman" w:hAnsi="Times New Roman" w:eastAsia="黑体"/>
                                  <w:sz w:val="18"/>
                                  <w:szCs w:val="18"/>
                                </w:rPr>
                              </w:pPr>
                              <w:r>
                                <w:rPr>
                                  <w:rFonts w:hint="eastAsia" w:ascii="Times New Roman" w:hAnsi="Times New Roman" w:eastAsia="黑体"/>
                                  <w:sz w:val="18"/>
                                  <w:szCs w:val="18"/>
                                </w:rPr>
                                <w:t>1.66</w:t>
                              </w:r>
                            </w:p>
                          </w:txbxContent>
                        </v:textbox>
                      </v:shape>
                      <v:shape id="AutoShape 14" o:spid="_x0000_s1026" o:spt="32" type="#_x0000_t32" style="position:absolute;left:120650;top:901700;height:1270;width:437515;" filled="f" stroked="t" coordsize="21600,21600" o:gfxdata="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fiX6NUAAAAFAQAADwAAAAAAAAABACAAAAAiAAAAZHJzL2Rvd25yZXYueG1s&#10;UEsBAhQAFAAAAAgAh07iQPfayiD7AQAA/wMAAA4AAAAAAAAAAQAgAAAAJAEAAGRycy9lMm9Eb2Mu&#10;eG1sUEsFBgAAAAAGAAYAWQEAAJEFAAAAAA==&#10;">
                        <v:fill on="f" focussize="0,0"/>
                        <v:stroke color="#000000" joinstyle="round" endarrow="block" endarrowwidth="narrow"/>
                        <v:imagedata o:title=""/>
                        <o:lock v:ext="edit" aspectratio="f"/>
                      </v:shape>
                      <v:shape id="Text Box 26" o:spid="_x0000_s1026" o:spt="202" type="#_x0000_t202" style="position:absolute;left:432435;top:107950;height:266700;width:452755;" filled="f" stroked="f" coordsize="21600,21600" o:gfxdata="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Plj7s0wAAAAUBAAAP&#10;AAAAAAAAAAEAIAAAACIAAABkcnMvZG93bnJldi54bWxQSwECFAAUAAAACACHTuJA/AUcUKsBAABm&#10;AwAADgAAAAAAAAABACAAAAAiAQAAZHJzL2Uyb0RvYy54bWxQSwUGAAAAAAYABgBZAQAAPwUAAAAA&#10;">
                        <v:fill on="f" focussize="0,0"/>
                        <v:stroke on="f"/>
                        <v:imagedata o:title=""/>
                        <o:lock v:ext="edit" aspectratio="f"/>
                        <v:textbox>
                          <w:txbxContent>
                            <w:p w14:paraId="78DC3690">
                              <w:pPr>
                                <w:rPr>
                                  <w:rFonts w:ascii="Times New Roman" w:hAnsi="Times New Roman" w:eastAsia="黑体"/>
                                  <w:sz w:val="18"/>
                                  <w:szCs w:val="18"/>
                                </w:rPr>
                              </w:pPr>
                              <w:r>
                                <w:rPr>
                                  <w:rFonts w:hint="eastAsia" w:ascii="Times New Roman" w:hAnsi="Times New Roman" w:eastAsia="黑体"/>
                                  <w:sz w:val="18"/>
                                  <w:szCs w:val="18"/>
                                </w:rPr>
                                <w:t>18</w:t>
                              </w:r>
                            </w:p>
                          </w:txbxContent>
                        </v:textbox>
                      </v:shape>
                      <v:shape id="Text Box 26" o:spid="_x0000_s1026" o:spt="202" type="#_x0000_t202" style="position:absolute;left:495300;top:1241425;height:266065;width:454025;" filled="f" stroked="f" coordsize="21600,21600" o:gfxdata="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j5Y+7NMAAAAFAQAA&#10;DwAAAAAAAAABACAAAAAiAAAAZHJzL2Rvd25yZXYueG1sUEsBAhQAFAAAAAgAh07iQClOShqsAQAA&#10;ZwMAAA4AAAAAAAAAAQAgAAAAIgEAAGRycy9lMm9Eb2MueG1sUEsFBgAAAAAGAAYAWQEAAEAFAAAA&#10;AA==&#10;">
                        <v:fill on="f" focussize="0,0"/>
                        <v:stroke on="f"/>
                        <v:imagedata o:title=""/>
                        <o:lock v:ext="edit" aspectratio="f"/>
                        <v:textbox>
                          <w:txbxContent>
                            <w:p w14:paraId="4A39FC9D">
                              <w:pPr>
                                <w:rPr>
                                  <w:rFonts w:ascii="Times New Roman" w:hAnsi="Times New Roman" w:eastAsia="黑体"/>
                                  <w:sz w:val="18"/>
                                  <w:szCs w:val="18"/>
                                </w:rPr>
                              </w:pPr>
                              <w:r>
                                <w:rPr>
                                  <w:rFonts w:hint="eastAsia" w:ascii="Times New Roman" w:hAnsi="Times New Roman" w:eastAsia="黑体"/>
                                  <w:sz w:val="18"/>
                                  <w:szCs w:val="18"/>
                                </w:rPr>
                                <w:t>1.66</w:t>
                              </w:r>
                            </w:p>
                          </w:txbxContent>
                        </v:textbox>
                      </v:shape>
                      <v:line id="直接连接符 99" o:spid="_x0000_s1026" o:spt="20" style="position:absolute;left:554990;top:453390;flip:x;height:1007745;width:3175;" filled="f" stroked="t" coordsize="21600,21600" o:gfxdata="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Xt2/9QAAAAFAQAADwAAAAAAAAABACAAAAAiAAAAZHJzL2Rvd25yZXYueG1sUEsBAhQAFAAA&#10;AAgAh07iQIcLlDbzAQAAwQMAAA4AAAAAAAAAAQAgAAAAIwEAAGRycy9lMm9Eb2MueG1sUEsFBgAA&#10;AAAGAAYAWQEAAIgFAAAAAA==&#10;">
                        <v:fill on="f" focussize="0,0"/>
                        <v:stroke color="#000000" joinstyle="round"/>
                        <v:imagedata o:title=""/>
                        <o:lock v:ext="edit" aspectratio="f"/>
                      </v:line>
                      <v:shape id="Text Box 23" o:spid="_x0000_s1026" o:spt="202" type="#_x0000_t202" style="position:absolute;left:0;top:656590;height:434975;width:695325;" filled="f" stroked="f" coordsize="21600,21600" o:gfxdata="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5Y+7NMAAAAFAQAADwAA&#10;AAAAAAABACAAAAAiAAAAZHJzL2Rvd25yZXYueG1sUEsBAhQAFAAAAAgAh07iQLICWs6pAQAAYQMA&#10;AA4AAAAAAAAAAQAgAAAAIgEAAGRycy9lMm9Eb2MueG1sUEsFBgAAAAAGAAYAWQEAAD0FAAAAAA==&#10;">
                        <v:fill on="f" focussize="0,0"/>
                        <v:stroke on="f"/>
                        <v:imagedata o:title=""/>
                        <o:lock v:ext="edit" aspectratio="f"/>
                        <v:textbox>
                          <w:txbxContent>
                            <w:p w14:paraId="073131CB">
                              <w:pPr>
                                <w:rPr>
                                  <w:rFonts w:ascii="Times New Roman" w:hAnsi="黑体" w:eastAsia="黑体"/>
                                  <w:sz w:val="18"/>
                                  <w:szCs w:val="18"/>
                                </w:rPr>
                              </w:pPr>
                              <w:r>
                                <w:rPr>
                                  <w:rFonts w:hint="eastAsia" w:ascii="Times New Roman" w:hAnsi="黑体" w:eastAsia="黑体"/>
                                  <w:sz w:val="18"/>
                                  <w:szCs w:val="18"/>
                                </w:rPr>
                                <w:t>市政</w:t>
                              </w:r>
                              <w:r>
                                <w:rPr>
                                  <w:rFonts w:ascii="Times New Roman" w:hAnsi="黑体" w:eastAsia="黑体"/>
                                  <w:sz w:val="18"/>
                                  <w:szCs w:val="18"/>
                                </w:rPr>
                                <w:t>供水</w:t>
                              </w:r>
                            </w:p>
                            <w:p w14:paraId="4819B9F5">
                              <w:pPr>
                                <w:ind w:firstLine="180" w:firstLineChars="100"/>
                                <w:rPr>
                                  <w:rFonts w:ascii="Times New Roman" w:hAnsi="Times New Roman" w:eastAsia="黑体"/>
                                  <w:sz w:val="18"/>
                                  <w:szCs w:val="18"/>
                                </w:rPr>
                              </w:pPr>
                              <w:r>
                                <w:rPr>
                                  <w:rFonts w:hint="eastAsia" w:ascii="Times New Roman" w:hAnsi="Times New Roman" w:eastAsia="黑体"/>
                                  <w:sz w:val="18"/>
                                  <w:szCs w:val="18"/>
                                </w:rPr>
                                <w:t>19.66</w:t>
                              </w:r>
                            </w:p>
                          </w:txbxContent>
                        </v:textbox>
                      </v:shape>
                      <v:line id="直接连接符 514" o:spid="_x0000_s1026" o:spt="20" style="position:absolute;left:1677670;top:1608455;height:251460;width:0;" filled="f" stroked="t" coordsize="21600,21600" o:gfxdata="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uMS51QAA&#10;AAUBAAAPAAAAAAAAAAEAIAAAACIAAABkcnMvZG93bnJldi54bWxQSwECFAAUAAAACACHTuJAe9hg&#10;mOgBAAC3AwAADgAAAAAAAAABACAAAAAkAQAAZHJzL2Uyb0RvYy54bWxQSwUGAAAAAAYABgBZAQAA&#10;fgUAAAAA&#10;">
                        <v:fill on="f" focussize="0,0"/>
                        <v:stroke weight="1pt" color="#000000" joinstyle="round"/>
                        <v:imagedata o:title=""/>
                        <o:lock v:ext="edit" aspectratio="f"/>
                      </v:line>
                      <v:line id="直接连接符 515" o:spid="_x0000_s1026" o:spt="20" style="position:absolute;left:990600;top:1609090;height:251460;width:0;" filled="f" stroked="t" coordsize="21600,21600" o:gfxdata="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39Yx9cAAAAFAQAADwAAAAAAAAABACAA&#10;AAAiAAAAZHJzL2Rvd25yZXYueG1sUEsBAhQAFAAAAAgAh07iQKr9WNsOAgAA+wMAAA4AAAAAAAAA&#10;AQAgAAAAJgEAAGRycy9lMm9Eb2MueG1sUEsFBgAAAAAGAAYAWQEAAKYFAAAAAA==&#10;">
                        <v:fill on="f" focussize="0,0"/>
                        <v:stroke weight="1pt" color="#000000" joinstyle="round" startarrow="block" startarrowwidth="narrow"/>
                        <v:imagedata o:title=""/>
                        <o:lock v:ext="edit" aspectratio="f"/>
                      </v:line>
                      <v:shape id="直接箭头连接符 516" o:spid="_x0000_s1026" o:spt="32" type="#_x0000_t32" style="position:absolute;left:990600;top:1856740;height:1270;width:692785;" filled="f" stroked="t" coordsize="21600,21600" o:gfxdata="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mixeLWAAAABQEAAA8AAAAA&#10;AAAAAQAgAAAAIgAAAGRycy9kb3ducmV2LnhtbFBLAQIUABQAAAAIAIdO4kDrd4CeFgIAAAoEAAAO&#10;AAAAAAAAAAEAIAAAACUBAABkcnMvZTJvRG9jLnhtbFBLBQYAAAAABgAGAFkBAACtBQAAAAA=&#10;">
                        <v:fill on="f" focussize="0,0"/>
                        <v:stroke weight="1pt" color="#000000" joinstyle="round" endarrowwidth="narrow"/>
                        <v:imagedata o:title=""/>
                        <o:lock v:ext="edit" aspectratio="f"/>
                      </v:shape>
                      <v:shape id="Text Box 26" o:spid="_x0000_s1026" o:spt="202" type="#_x0000_t202" style="position:absolute;left:1110482;top:1643860;height:266299;width:368477;" filled="f" stroked="f" coordsize="21600,21600" o:gfxdata="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I+WPuzTAAAABQEA&#10;AA8AAAAAAAAAAQAgAAAAIgAAAGRycy9kb3ducmV2LnhtbFBLAQIUABQAAAAIAIdO4kC2jfaorQEA&#10;AGgDAAAOAAAAAAAAAAEAIAAAACIBAABkcnMvZTJvRG9jLnhtbFBLBQYAAAAABgAGAFkBAABBBQAA&#10;AAA=&#10;">
                        <v:fill on="f" focussize="0,0"/>
                        <v:stroke on="f"/>
                        <v:imagedata o:title=""/>
                        <o:lock v:ext="edit" aspectratio="f"/>
                        <v:textbox>
                          <w:txbxContent>
                            <w:p w14:paraId="6777B52D">
                              <w:pPr>
                                <w:rPr>
                                  <w:rFonts w:ascii="Times New Roman" w:hAnsi="Times New Roman" w:eastAsia="黑体"/>
                                  <w:sz w:val="18"/>
                                  <w:szCs w:val="18"/>
                                </w:rPr>
                              </w:pPr>
                              <w:r>
                                <w:rPr>
                                  <w:rFonts w:hint="eastAsia" w:ascii="Times New Roman" w:hAnsi="Times New Roman" w:eastAsia="黑体"/>
                                  <w:sz w:val="18"/>
                                  <w:szCs w:val="18"/>
                                </w:rPr>
                                <w:t>500</w:t>
                              </w:r>
                            </w:p>
                          </w:txbxContent>
                        </v:textbox>
                      </v:shape>
                      <v:shape id="Text Box 26" o:spid="_x0000_s1026" o:spt="202" type="#_x0000_t202" style="position:absolute;left:1451197;top:0;height:266299;width:450503;" filled="f" stroked="f" coordsize="21600,21600" o:gfxdata="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CPlj7s0wAAAAUBAAAPAAAA&#10;AAAAAAEAIAAAACIAAABkcnMvZG93bnJldi54bWxQSwECFAAUAAAACACHTuJAGSCl16gBAABiAwAA&#10;DgAAAAAAAAABACAAAAAiAQAAZHJzL2Uyb0RvYy54bWxQSwUGAAAAAAYABgBZAQAAPAUAAAAA&#10;">
                        <v:fill on="f" focussize="0,0"/>
                        <v:stroke on="f"/>
                        <v:imagedata o:title=""/>
                        <o:lock v:ext="edit" aspectratio="f"/>
                        <v:textbox>
                          <w:txbxContent>
                            <w:p w14:paraId="0BA482F0">
                              <w:pPr>
                                <w:rPr>
                                  <w:rFonts w:ascii="Times New Roman" w:hAnsi="Times New Roman" w:eastAsia="黑体"/>
                                  <w:sz w:val="18"/>
                                  <w:szCs w:val="18"/>
                                </w:rPr>
                              </w:pPr>
                              <w:r>
                                <w:rPr>
                                  <w:rFonts w:hint="eastAsia" w:ascii="Times New Roman" w:hAnsi="Times New Roman" w:eastAsia="黑体"/>
                                  <w:sz w:val="18"/>
                                  <w:szCs w:val="18"/>
                                </w:rPr>
                                <w:t>3.6</w:t>
                              </w:r>
                            </w:p>
                          </w:txbxContent>
                        </v:textbox>
                      </v:shape>
                      <v:shape id="Text Box 22" o:spid="_x0000_s1026" o:spt="202" type="#_x0000_t202" style="position:absolute;left:4479783;top:302899;height:284600;width:542622;" filled="f" stroked="f" coordsize="21600,21600" o:gfxdata="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WPuzTAAAA&#10;BQEAAA8AAAAAAAAAAQAgAAAAIgAAAGRycy9kb3ducmV2LnhtbFBLAQIUABQAAAAIAIdO4kDqFQiz&#10;sAEAAGcDAAAOAAAAAAAAAAEAIAAAACIBAABkcnMvZTJvRG9jLnhtbFBLBQYAAAAABgAGAFkBAABE&#10;BQAAAAA=&#10;">
                        <v:fill on="f" focussize="0,0"/>
                        <v:stroke on="f"/>
                        <v:imagedata o:title=""/>
                        <o:lock v:ext="edit" aspectratio="f"/>
                        <v:textbox>
                          <w:txbxContent>
                            <w:p w14:paraId="7E8AFCBE">
                              <w:pPr>
                                <w:jc w:val="center"/>
                                <w:rPr>
                                  <w:rFonts w:ascii="Times New Roman" w:hAnsi="Times New Roman" w:eastAsia="黑体"/>
                                  <w:sz w:val="18"/>
                                  <w:szCs w:val="18"/>
                                </w:rPr>
                              </w:pPr>
                              <w:r>
                                <w:rPr>
                                  <w:rFonts w:hint="eastAsia" w:ascii="Times New Roman" w:hAnsi="黑体" w:eastAsia="黑体"/>
                                  <w:sz w:val="18"/>
                                  <w:szCs w:val="18"/>
                                </w:rPr>
                                <w:t>架河</w:t>
                              </w:r>
                            </w:p>
                          </w:txbxContent>
                        </v:textbox>
                      </v:shape>
                      <w10:wrap type="none"/>
                      <w10:anchorlock/>
                    </v:group>
                  </w:pict>
                </mc:Fallback>
              </mc:AlternateContent>
            </w:r>
          </w:p>
          <w:p w14:paraId="2A75227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cs="Times New Roman"/>
                <w:color w:val="auto"/>
                <w:kern w:val="2"/>
              </w:rPr>
            </w:pPr>
            <w:r>
              <w:rPr>
                <w:rFonts w:hint="default" w:ascii="Times New Roman" w:hAnsi="黑体" w:eastAsia="黑体" w:cs="Times New Roman"/>
                <w:color w:val="auto"/>
                <w:kern w:val="2"/>
              </w:rPr>
              <w:t>图</w:t>
            </w:r>
            <w:r>
              <w:rPr>
                <w:rFonts w:hint="default" w:ascii="Times New Roman" w:hAnsi="Times New Roman" w:cs="Times New Roman"/>
                <w:color w:val="auto"/>
                <w:kern w:val="2"/>
              </w:rPr>
              <w:t>2</w:t>
            </w:r>
            <w:r>
              <w:rPr>
                <w:rFonts w:hint="eastAsia" w:ascii="Times New Roman" w:hAnsi="Times New Roman" w:cs="Times New Roman"/>
                <w:color w:val="auto"/>
                <w:kern w:val="2"/>
              </w:rPr>
              <w:t xml:space="preserve">-1  </w:t>
            </w:r>
            <w:r>
              <w:rPr>
                <w:rFonts w:hint="eastAsia" w:ascii="Times New Roman" w:hAnsi="黑体" w:eastAsia="黑体" w:cs="Times New Roman"/>
                <w:color w:val="auto"/>
                <w:kern w:val="2"/>
              </w:rPr>
              <w:t>项目</w:t>
            </w:r>
            <w:r>
              <w:rPr>
                <w:rFonts w:hint="default" w:ascii="Times New Roman" w:hAnsi="黑体" w:eastAsia="黑体" w:cs="Times New Roman"/>
                <w:color w:val="auto"/>
                <w:kern w:val="2"/>
              </w:rPr>
              <w:t>建成后全厂水平衡图</w:t>
            </w:r>
            <w:r>
              <w:rPr>
                <w:rFonts w:hint="eastAsia" w:ascii="Times New Roman" w:hAnsi="黑体" w:eastAsia="黑体" w:cs="Times New Roman"/>
                <w:color w:val="auto"/>
                <w:kern w:val="2"/>
              </w:rPr>
              <w:t>单位：</w:t>
            </w:r>
            <w:r>
              <w:rPr>
                <w:rFonts w:hint="default" w:ascii="Times New Roman" w:hAnsi="Times New Roman" w:eastAsia="黑体" w:cs="Times New Roman"/>
                <w:color w:val="auto"/>
                <w:kern w:val="2"/>
              </w:rPr>
              <w:t>m</w:t>
            </w:r>
            <w:r>
              <w:rPr>
                <w:rFonts w:hint="default" w:ascii="Times New Roman" w:hAnsi="Times New Roman" w:eastAsia="黑体" w:cs="Times New Roman"/>
                <w:color w:val="auto"/>
                <w:kern w:val="2"/>
                <w:vertAlign w:val="superscript"/>
              </w:rPr>
              <w:t>3</w:t>
            </w:r>
            <w:r>
              <w:rPr>
                <w:rFonts w:hint="default" w:ascii="Times New Roman" w:hAnsi="Times New Roman" w:eastAsia="黑体" w:cs="Times New Roman"/>
                <w:color w:val="auto"/>
                <w:kern w:val="2"/>
              </w:rPr>
              <w:t>/d</w:t>
            </w:r>
          </w:p>
          <w:p w14:paraId="4C9DB30C">
            <w:pPr>
              <w:keepNext w:val="0"/>
              <w:keepLines w:val="0"/>
              <w:widowControl/>
              <w:suppressLineNumbers w:val="0"/>
              <w:adjustRightInd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eastAsia" w:ascii="Times New Roman" w:hAnsi="Times New Roman" w:cs="Times New Roman"/>
                <w:color w:val="auto"/>
                <w:kern w:val="2"/>
              </w:rPr>
              <w:t>（3）</w:t>
            </w:r>
            <w:r>
              <w:rPr>
                <w:rFonts w:hint="default" w:ascii="Times New Roman" w:hAnsi="Times New Roman" w:cs="Times New Roman"/>
                <w:color w:val="auto"/>
                <w:kern w:val="2"/>
              </w:rPr>
              <w:t>供电</w:t>
            </w:r>
          </w:p>
          <w:p w14:paraId="0DD47500">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kern w:val="2"/>
              </w:rPr>
            </w:pPr>
            <w:r>
              <w:rPr>
                <w:rFonts w:hint="eastAsia" w:ascii="Times New Roman" w:hAnsi="Times New Roman" w:cs="Times New Roman"/>
                <w:bCs/>
                <w:color w:val="auto"/>
                <w:kern w:val="2"/>
              </w:rPr>
              <w:t>现有</w:t>
            </w:r>
            <w:r>
              <w:rPr>
                <w:rFonts w:hint="default" w:ascii="Times New Roman" w:hAnsi="Times New Roman" w:cs="Times New Roman"/>
                <w:bCs/>
                <w:color w:val="auto"/>
                <w:kern w:val="2"/>
              </w:rPr>
              <w:t>项目用电由</w:t>
            </w:r>
            <w:r>
              <w:rPr>
                <w:rFonts w:hint="eastAsia" w:ascii="Times New Roman" w:hAnsi="Times New Roman" w:cs="Times New Roman"/>
                <w:bCs/>
                <w:color w:val="auto"/>
                <w:kern w:val="2"/>
                <w:lang w:val="en-US" w:eastAsia="zh-CN"/>
              </w:rPr>
              <w:t>市政</w:t>
            </w:r>
            <w:r>
              <w:rPr>
                <w:rFonts w:hint="default" w:ascii="Times New Roman" w:hAnsi="Times New Roman" w:cs="Times New Roman"/>
                <w:bCs/>
                <w:color w:val="auto"/>
                <w:kern w:val="2"/>
              </w:rPr>
              <w:t>电网供电，</w:t>
            </w:r>
            <w:r>
              <w:rPr>
                <w:rFonts w:hint="eastAsia" w:ascii="Times New Roman" w:hAnsi="Times New Roman" w:cs="Times New Roman"/>
                <w:bCs/>
                <w:color w:val="auto"/>
                <w:kern w:val="2"/>
              </w:rPr>
              <w:t>用电量为350</w:t>
            </w:r>
            <w:r>
              <w:rPr>
                <w:rFonts w:hint="default" w:ascii="Times New Roman" w:hAnsi="Times New Roman" w:cs="Times New Roman"/>
                <w:bCs/>
                <w:color w:val="auto"/>
                <w:kern w:val="2"/>
              </w:rPr>
              <w:t>万</w:t>
            </w:r>
            <w:r>
              <w:rPr>
                <w:rFonts w:hint="eastAsia" w:ascii="Times New Roman" w:hAnsi="Times New Roman" w:cs="Times New Roman"/>
                <w:bCs/>
                <w:color w:val="auto"/>
                <w:kern w:val="2"/>
              </w:rPr>
              <w:t>kW</w:t>
            </w:r>
            <w:r>
              <w:rPr>
                <w:rFonts w:hint="default" w:ascii="Times New Roman" w:hAnsi="Times New Roman" w:cs="Times New Roman"/>
                <w:bCs/>
                <w:color w:val="auto"/>
                <w:kern w:val="2"/>
              </w:rPr>
              <w:t>·h/a</w:t>
            </w:r>
            <w:r>
              <w:rPr>
                <w:rFonts w:hint="eastAsia" w:ascii="Times New Roman" w:hAnsi="Times New Roman" w:cs="Times New Roman"/>
                <w:bCs/>
                <w:color w:val="auto"/>
                <w:kern w:val="2"/>
              </w:rPr>
              <w:t>，</w:t>
            </w:r>
            <w:r>
              <w:rPr>
                <w:rFonts w:hint="default" w:ascii="Times New Roman" w:hAnsi="Times New Roman" w:cs="Times New Roman"/>
                <w:bCs/>
                <w:color w:val="auto"/>
                <w:kern w:val="2"/>
              </w:rPr>
              <w:t>本项目新增用电量</w:t>
            </w:r>
            <w:r>
              <w:rPr>
                <w:rFonts w:hint="eastAsia" w:ascii="Times New Roman" w:hAnsi="Times New Roman" w:cs="Times New Roman"/>
                <w:bCs/>
                <w:color w:val="auto"/>
                <w:kern w:val="2"/>
              </w:rPr>
              <w:t>为100</w:t>
            </w:r>
            <w:r>
              <w:rPr>
                <w:rFonts w:hint="default" w:ascii="Times New Roman" w:hAnsi="Times New Roman" w:cs="Times New Roman"/>
                <w:bCs/>
                <w:color w:val="auto"/>
                <w:kern w:val="2"/>
              </w:rPr>
              <w:t>万</w:t>
            </w:r>
            <w:r>
              <w:rPr>
                <w:rFonts w:hint="eastAsia" w:ascii="Times New Roman" w:hAnsi="Times New Roman" w:cs="Times New Roman"/>
                <w:bCs/>
                <w:color w:val="auto"/>
                <w:kern w:val="2"/>
              </w:rPr>
              <w:t>kW</w:t>
            </w:r>
            <w:r>
              <w:rPr>
                <w:rFonts w:hint="default" w:ascii="Times New Roman" w:hAnsi="Times New Roman" w:cs="Times New Roman"/>
                <w:bCs/>
                <w:color w:val="auto"/>
                <w:kern w:val="2"/>
              </w:rPr>
              <w:t>·h/a</w:t>
            </w:r>
            <w:r>
              <w:rPr>
                <w:rFonts w:hint="eastAsia" w:ascii="Times New Roman" w:hAnsi="Times New Roman" w:cs="Times New Roman"/>
                <w:bCs/>
                <w:color w:val="auto"/>
                <w:kern w:val="2"/>
              </w:rPr>
              <w:t>。</w:t>
            </w:r>
            <w:r>
              <w:rPr>
                <w:rFonts w:hint="default" w:ascii="Times New Roman" w:hAnsi="Times New Roman" w:cs="Times New Roman"/>
                <w:bCs/>
                <w:color w:val="auto"/>
                <w:kern w:val="2"/>
              </w:rPr>
              <w:t>本项目建成后</w:t>
            </w:r>
            <w:r>
              <w:rPr>
                <w:rFonts w:hint="eastAsia" w:ascii="Times New Roman" w:hAnsi="Times New Roman" w:cs="Times New Roman"/>
                <w:bCs/>
                <w:color w:val="auto"/>
                <w:kern w:val="2"/>
              </w:rPr>
              <w:t>，</w:t>
            </w:r>
            <w:r>
              <w:rPr>
                <w:rFonts w:hint="default" w:ascii="Times New Roman" w:hAnsi="Times New Roman" w:cs="Times New Roman"/>
                <w:bCs/>
                <w:color w:val="auto"/>
                <w:kern w:val="2"/>
              </w:rPr>
              <w:t>全厂用电量为</w:t>
            </w:r>
            <w:r>
              <w:rPr>
                <w:rFonts w:hint="eastAsia" w:ascii="Times New Roman" w:hAnsi="Times New Roman" w:cs="Times New Roman"/>
                <w:bCs/>
                <w:color w:val="auto"/>
                <w:kern w:val="2"/>
              </w:rPr>
              <w:t>450</w:t>
            </w:r>
            <w:r>
              <w:rPr>
                <w:rFonts w:hint="default" w:ascii="Times New Roman" w:hAnsi="Times New Roman" w:cs="Times New Roman"/>
                <w:bCs/>
                <w:color w:val="auto"/>
                <w:kern w:val="2"/>
              </w:rPr>
              <w:t>万</w:t>
            </w:r>
            <w:r>
              <w:rPr>
                <w:rFonts w:hint="eastAsia" w:ascii="Times New Roman" w:hAnsi="Times New Roman" w:cs="Times New Roman"/>
                <w:bCs/>
                <w:color w:val="auto"/>
                <w:kern w:val="2"/>
              </w:rPr>
              <w:t>kW</w:t>
            </w:r>
            <w:r>
              <w:rPr>
                <w:rFonts w:hint="default" w:ascii="Times New Roman" w:hAnsi="Times New Roman" w:cs="Times New Roman"/>
                <w:bCs/>
                <w:color w:val="auto"/>
                <w:kern w:val="2"/>
              </w:rPr>
              <w:t>·h/a。</w:t>
            </w:r>
          </w:p>
          <w:p w14:paraId="73F685A1">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kern w:val="2"/>
              </w:rPr>
            </w:pPr>
            <w:r>
              <w:rPr>
                <w:rFonts w:hint="eastAsia" w:ascii="Times New Roman" w:hAnsi="Times New Roman" w:cs="Times New Roman"/>
                <w:bCs/>
                <w:color w:val="auto"/>
                <w:kern w:val="2"/>
              </w:rPr>
              <w:t>8</w:t>
            </w:r>
            <w:r>
              <w:rPr>
                <w:rFonts w:hint="default" w:ascii="Times New Roman" w:hAnsi="Times New Roman" w:cs="Times New Roman"/>
                <w:bCs/>
                <w:color w:val="auto"/>
                <w:kern w:val="2"/>
              </w:rPr>
              <w:t>、劳动定员及工作制度</w:t>
            </w:r>
          </w:p>
          <w:p w14:paraId="413AE8E7">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lang w:eastAsia="zh-CN"/>
              </w:rPr>
            </w:pPr>
            <w:r>
              <w:rPr>
                <w:rFonts w:hint="eastAsia" w:ascii="Times New Roman" w:hAnsi="Times New Roman" w:cs="Times New Roman"/>
                <w:color w:val="auto"/>
                <w:kern w:val="2"/>
              </w:rPr>
              <w:t>现有项目劳动定员为300</w:t>
            </w:r>
            <w:r>
              <w:rPr>
                <w:rFonts w:hint="default" w:ascii="Times New Roman" w:hAnsi="Times New Roman" w:cs="Times New Roman"/>
                <w:color w:val="auto"/>
                <w:kern w:val="2"/>
              </w:rPr>
              <w:t>人</w:t>
            </w:r>
            <w:r>
              <w:rPr>
                <w:rFonts w:hint="eastAsia" w:ascii="Times New Roman" w:hAnsi="Times New Roman" w:cs="Times New Roman"/>
                <w:color w:val="auto"/>
                <w:kern w:val="2"/>
              </w:rPr>
              <w:t>，</w:t>
            </w:r>
            <w:r>
              <w:rPr>
                <w:rFonts w:hint="default" w:ascii="Times New Roman" w:hAnsi="Times New Roman" w:cs="Times New Roman"/>
                <w:color w:val="auto"/>
                <w:kern w:val="2"/>
              </w:rPr>
              <w:t>本项目</w:t>
            </w:r>
            <w:r>
              <w:rPr>
                <w:rFonts w:hint="eastAsia" w:ascii="Times New Roman" w:hAnsi="Times New Roman" w:cs="Times New Roman"/>
                <w:color w:val="auto"/>
                <w:kern w:val="2"/>
              </w:rPr>
              <w:t>无</w:t>
            </w:r>
            <w:r>
              <w:rPr>
                <w:rFonts w:hint="default" w:ascii="Times New Roman" w:hAnsi="Times New Roman" w:cs="Times New Roman"/>
                <w:color w:val="auto"/>
                <w:kern w:val="2"/>
              </w:rPr>
              <w:t>新增劳动定员</w:t>
            </w:r>
            <w:r>
              <w:rPr>
                <w:rFonts w:hint="eastAsia" w:ascii="Times New Roman" w:hAnsi="Times New Roman" w:cs="Times New Roman"/>
                <w:color w:val="auto"/>
                <w:kern w:val="2"/>
              </w:rPr>
              <w:t>，</w:t>
            </w:r>
            <w:r>
              <w:rPr>
                <w:rFonts w:hint="eastAsia" w:ascii="Times New Roman" w:hAnsi="Times New Roman"/>
                <w:color w:val="auto"/>
                <w:kern w:val="2"/>
              </w:rPr>
              <w:t>项目实施的工作制为年工作日260天，每天8小时工作制，年工作2080小时</w:t>
            </w:r>
            <w:r>
              <w:rPr>
                <w:rFonts w:hint="eastAsia" w:ascii="Times New Roman" w:hAnsi="Times New Roman" w:cs="Times New Roman"/>
                <w:color w:val="auto"/>
                <w:kern w:val="2"/>
              </w:rPr>
              <w:t>，厂区内不设食宿</w:t>
            </w:r>
            <w:r>
              <w:rPr>
                <w:rFonts w:hint="eastAsia" w:ascii="Times New Roman" w:hAnsi="Times New Roman" w:cs="Times New Roman"/>
                <w:color w:val="auto"/>
                <w:kern w:val="2"/>
                <w:lang w:eastAsia="zh-CN"/>
              </w:rPr>
              <w:t>。</w:t>
            </w:r>
          </w:p>
          <w:p w14:paraId="1F3B3882">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kern w:val="2"/>
              </w:rPr>
            </w:pPr>
            <w:r>
              <w:rPr>
                <w:rFonts w:hint="eastAsia" w:ascii="Times New Roman" w:hAnsi="Times New Roman" w:cs="Times New Roman"/>
                <w:bCs/>
                <w:color w:val="auto"/>
                <w:kern w:val="2"/>
              </w:rPr>
              <w:t>9</w:t>
            </w:r>
            <w:r>
              <w:rPr>
                <w:rFonts w:hint="default" w:ascii="Times New Roman" w:hAnsi="Times New Roman" w:cs="Times New Roman"/>
                <w:bCs/>
                <w:color w:val="auto"/>
                <w:kern w:val="2"/>
              </w:rPr>
              <w:t>、厂区总平面布置</w:t>
            </w:r>
          </w:p>
          <w:p w14:paraId="0360AF6A">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default" w:ascii="Times New Roman" w:hAnsi="Times New Roman"/>
                <w:color w:val="auto"/>
                <w:kern w:val="2"/>
              </w:rPr>
              <w:t>本项目位于安徽省淮南市凤台经济开发区</w:t>
            </w:r>
            <w:r>
              <w:rPr>
                <w:rFonts w:hint="default" w:ascii="Times New Roman" w:hAnsi="Times New Roman" w:cs="Times New Roman"/>
                <w:color w:val="auto"/>
                <w:kern w:val="2"/>
              </w:rPr>
              <w:t>凤凰产业园电子智造园</w:t>
            </w:r>
            <w:r>
              <w:rPr>
                <w:rFonts w:hint="eastAsia" w:ascii="Times New Roman" w:hAnsi="Times New Roman" w:cs="Times New Roman"/>
                <w:color w:val="auto"/>
                <w:kern w:val="2"/>
              </w:rPr>
              <w:t>内</w:t>
            </w:r>
            <w:r>
              <w:rPr>
                <w:rFonts w:hint="default" w:ascii="Times New Roman" w:hAnsi="Times New Roman"/>
                <w:color w:val="auto"/>
                <w:kern w:val="2"/>
              </w:rPr>
              <w:t>，</w:t>
            </w:r>
            <w:r>
              <w:rPr>
                <w:rFonts w:hint="eastAsia" w:ascii="Times New Roman" w:hAnsi="Times New Roman"/>
                <w:color w:val="auto"/>
                <w:kern w:val="2"/>
                <w:lang w:val="en-US" w:eastAsia="zh-CN"/>
              </w:rPr>
              <w:t>全厂</w:t>
            </w:r>
            <w:r>
              <w:rPr>
                <w:rFonts w:hint="default" w:ascii="Times New Roman" w:hAnsi="Times New Roman" w:cs="Times New Roman"/>
                <w:color w:val="auto"/>
                <w:kern w:val="2"/>
                <w:lang w:bidi="ar"/>
              </w:rPr>
              <w:t>34#</w:t>
            </w:r>
            <w:r>
              <w:rPr>
                <w:rFonts w:hint="eastAsia" w:ascii="Times New Roman" w:hAnsi="Times New Roman" w:cs="Times New Roman"/>
                <w:color w:val="auto"/>
                <w:kern w:val="2"/>
                <w:lang w:val="en-US" w:eastAsia="zh-CN" w:bidi="ar"/>
              </w:rPr>
              <w:t>厂房</w:t>
            </w:r>
            <w:r>
              <w:rPr>
                <w:rFonts w:hint="default" w:ascii="Times New Roman" w:hAnsi="Times New Roman" w:cs="Times New Roman"/>
                <w:color w:val="auto"/>
                <w:kern w:val="2"/>
                <w:lang w:bidi="ar"/>
              </w:rPr>
              <w:t>北侧为总装线组装区，34#</w:t>
            </w:r>
            <w:r>
              <w:rPr>
                <w:rFonts w:hint="eastAsia" w:ascii="Times New Roman" w:hAnsi="Times New Roman" w:cs="Times New Roman"/>
                <w:color w:val="auto"/>
                <w:kern w:val="2"/>
                <w:lang w:val="en-US" w:eastAsia="zh-CN" w:bidi="ar"/>
              </w:rPr>
              <w:t>厂房</w:t>
            </w:r>
            <w:r>
              <w:rPr>
                <w:rFonts w:hint="default" w:ascii="Times New Roman" w:hAnsi="Times New Roman" w:cs="Times New Roman"/>
                <w:color w:val="auto"/>
                <w:kern w:val="2"/>
                <w:lang w:bidi="ar"/>
              </w:rPr>
              <w:t>南侧为测试线组装区；36#</w:t>
            </w:r>
            <w:r>
              <w:rPr>
                <w:rFonts w:hint="eastAsia" w:ascii="Times New Roman" w:hAnsi="Times New Roman" w:cs="Times New Roman"/>
                <w:color w:val="auto"/>
                <w:kern w:val="2"/>
                <w:lang w:val="en-US" w:eastAsia="zh-CN" w:bidi="ar"/>
              </w:rPr>
              <w:t>厂房</w:t>
            </w:r>
            <w:r>
              <w:rPr>
                <w:rFonts w:hint="default" w:ascii="Times New Roman" w:hAnsi="Times New Roman" w:cs="Times New Roman"/>
                <w:color w:val="auto"/>
                <w:kern w:val="2"/>
                <w:lang w:bidi="ar"/>
              </w:rPr>
              <w:t>西北侧为成品区，东北侧为大件拆包区，设备存放区；36#</w:t>
            </w:r>
            <w:r>
              <w:rPr>
                <w:rFonts w:hint="eastAsia" w:ascii="Times New Roman" w:hAnsi="Times New Roman" w:cs="Times New Roman"/>
                <w:color w:val="auto"/>
                <w:kern w:val="2"/>
                <w:lang w:val="en-US" w:eastAsia="zh-CN" w:bidi="ar"/>
              </w:rPr>
              <w:t>厂房</w:t>
            </w:r>
            <w:r>
              <w:rPr>
                <w:rFonts w:hint="default" w:ascii="Times New Roman" w:hAnsi="Times New Roman" w:cs="Times New Roman"/>
                <w:color w:val="auto"/>
                <w:kern w:val="2"/>
                <w:lang w:bidi="ar"/>
              </w:rPr>
              <w:t>中部为轴系线组装区、清洗区；36#西侧为原材料仓库；36#</w:t>
            </w:r>
            <w:r>
              <w:rPr>
                <w:rFonts w:hint="eastAsia" w:ascii="Times New Roman" w:hAnsi="Times New Roman" w:cs="Times New Roman"/>
                <w:color w:val="auto"/>
                <w:kern w:val="2"/>
                <w:lang w:val="en-US" w:eastAsia="zh-CN" w:bidi="ar"/>
              </w:rPr>
              <w:t>厂房</w:t>
            </w:r>
            <w:r>
              <w:rPr>
                <w:rFonts w:hint="default" w:ascii="Times New Roman" w:hAnsi="Times New Roman" w:cs="Times New Roman"/>
                <w:color w:val="auto"/>
                <w:kern w:val="2"/>
                <w:lang w:bidi="ar"/>
              </w:rPr>
              <w:t>东侧为拆解室、计量室；36#</w:t>
            </w:r>
            <w:r>
              <w:rPr>
                <w:rFonts w:hint="eastAsia" w:ascii="Times New Roman" w:hAnsi="Times New Roman" w:cs="Times New Roman"/>
                <w:color w:val="auto"/>
                <w:kern w:val="2"/>
                <w:lang w:val="en-US" w:eastAsia="zh-CN" w:bidi="ar"/>
              </w:rPr>
              <w:t>厂房</w:t>
            </w:r>
            <w:r>
              <w:rPr>
                <w:rFonts w:hint="default" w:ascii="Times New Roman" w:hAnsi="Times New Roman" w:cs="Times New Roman"/>
                <w:color w:val="auto"/>
                <w:kern w:val="2"/>
                <w:lang w:bidi="ar"/>
              </w:rPr>
              <w:t>南侧从西向东依次为：物流控制室、换衣间、卫生间、办公室、检验室、办公室、一般固废间、危废间、化学品仓库</w:t>
            </w:r>
            <w:r>
              <w:rPr>
                <w:rFonts w:hint="eastAsia" w:ascii="Times New Roman" w:hAnsi="Times New Roman" w:cs="Times New Roman"/>
                <w:color w:val="auto"/>
                <w:kern w:val="2"/>
                <w:lang w:eastAsia="zh-CN"/>
              </w:rPr>
              <w:t>，</w:t>
            </w:r>
            <w:r>
              <w:rPr>
                <w:rFonts w:hint="eastAsia" w:ascii="Times New Roman" w:hAnsi="Times New Roman"/>
                <w:color w:val="auto"/>
                <w:kern w:val="2"/>
                <w:lang w:val="en-US" w:eastAsia="zh-CN"/>
              </w:rPr>
              <w:t>本项目</w:t>
            </w:r>
            <w:r>
              <w:rPr>
                <w:rFonts w:hint="eastAsia" w:ascii="Times New Roman" w:hAnsi="Times New Roman" w:cs="Times New Roman"/>
                <w:color w:val="auto"/>
                <w:kern w:val="2"/>
                <w:lang w:val="en-US" w:eastAsia="zh-CN" w:bidi="ar"/>
              </w:rPr>
              <w:t>29</w:t>
            </w:r>
            <w:r>
              <w:rPr>
                <w:rFonts w:hint="default" w:ascii="Times New Roman" w:hAnsi="Times New Roman" w:cs="Times New Roman"/>
                <w:color w:val="auto"/>
                <w:kern w:val="2"/>
                <w:lang w:bidi="ar"/>
              </w:rPr>
              <w:t>#、3</w:t>
            </w:r>
            <w:r>
              <w:rPr>
                <w:rFonts w:hint="eastAsia" w:ascii="Times New Roman" w:hAnsi="Times New Roman" w:cs="Times New Roman"/>
                <w:color w:val="auto"/>
                <w:kern w:val="2"/>
                <w:lang w:val="en-US" w:eastAsia="zh-CN" w:bidi="ar"/>
              </w:rPr>
              <w:t>2</w:t>
            </w:r>
            <w:r>
              <w:rPr>
                <w:rFonts w:hint="default" w:ascii="Times New Roman" w:hAnsi="Times New Roman" w:cs="Times New Roman"/>
                <w:color w:val="auto"/>
                <w:kern w:val="2"/>
                <w:lang w:bidi="ar"/>
              </w:rPr>
              <w:t>#</w:t>
            </w:r>
            <w:r>
              <w:rPr>
                <w:rFonts w:hint="default" w:ascii="Times New Roman" w:hAnsi="Times New Roman"/>
                <w:color w:val="auto"/>
                <w:kern w:val="2"/>
              </w:rPr>
              <w:t>厂房由西向东布置为：子系统分装线</w:t>
            </w:r>
            <w:r>
              <w:rPr>
                <w:rFonts w:hint="default" w:ascii="Times New Roman" w:hAnsi="Times New Roman" w:cs="Times New Roman"/>
                <w:color w:val="auto"/>
                <w:kern w:val="2"/>
              </w:rPr>
              <w:t>组装区</w:t>
            </w:r>
            <w:r>
              <w:rPr>
                <w:rFonts w:hint="default" w:ascii="Times New Roman" w:hAnsi="Times New Roman"/>
                <w:color w:val="auto"/>
                <w:kern w:val="2"/>
              </w:rPr>
              <w:t>、</w:t>
            </w:r>
            <w:r>
              <w:rPr>
                <w:rFonts w:hint="default" w:ascii="Times New Roman" w:hAnsi="Times New Roman" w:cs="Times New Roman"/>
                <w:color w:val="auto"/>
                <w:kern w:val="2"/>
              </w:rPr>
              <w:t>总装线组装区</w:t>
            </w:r>
            <w:r>
              <w:rPr>
                <w:rFonts w:hint="default" w:ascii="Times New Roman" w:hAnsi="Times New Roman"/>
                <w:color w:val="auto"/>
                <w:kern w:val="2"/>
              </w:rPr>
              <w:t>、</w:t>
            </w:r>
            <w:r>
              <w:rPr>
                <w:rFonts w:hint="default" w:ascii="Times New Roman" w:hAnsi="Times New Roman" w:cs="Times New Roman"/>
                <w:color w:val="auto"/>
                <w:kern w:val="2"/>
              </w:rPr>
              <w:t>测试线组装区</w:t>
            </w:r>
            <w:r>
              <w:rPr>
                <w:rFonts w:hint="eastAsia" w:ascii="Times New Roman" w:hAnsi="Times New Roman" w:cs="Times New Roman"/>
                <w:color w:val="auto"/>
                <w:kern w:val="2"/>
              </w:rPr>
              <w:t>、办公区</w:t>
            </w:r>
            <w:r>
              <w:rPr>
                <w:rFonts w:hint="default" w:ascii="Times New Roman" w:hAnsi="Times New Roman"/>
                <w:color w:val="auto"/>
                <w:kern w:val="2"/>
              </w:rPr>
              <w:t>。</w:t>
            </w:r>
          </w:p>
          <w:p w14:paraId="293282C1">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default" w:ascii="Times New Roman" w:hAnsi="Times New Roman"/>
                <w:bCs/>
                <w:color w:val="auto"/>
                <w:kern w:val="2"/>
              </w:rPr>
              <w:t>项目平面布局基本根据生产工艺需求和生产加工优化布局原则，将项目生产区和配套辅助区（办公区等）相对分开，能够满足厂区管理、生产加工的需要。项目生产车间布置根据工艺流程展开，生产区功能分区明确，平面布置合理可行。项目总平面布置见附图</w:t>
            </w:r>
            <w:r>
              <w:rPr>
                <w:rFonts w:hint="default" w:ascii="Times New Roman" w:hAnsi="Times New Roman" w:cs="Times New Roman"/>
                <w:color w:val="auto"/>
                <w:kern w:val="2"/>
              </w:rPr>
              <w:t>3。</w:t>
            </w:r>
          </w:p>
          <w:p w14:paraId="7927FFD2">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46C26C4E">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68FEEB5C">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2ADA1BF6">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604D8FD4">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64413384">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70425861">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0562CCE6">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6979F350">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1D9059B5">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5F29B1CA">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3D2C5C3F">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18CB6F59">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6AABA7C7">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244A990A">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48747DF1">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2EA01F15">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18DE44D8">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2B892DB4">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35545A93">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3B6C2A33">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6C0696EF">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3304CF8B">
            <w:pPr>
              <w:pStyle w:val="12"/>
              <w:keepNext w:val="0"/>
              <w:keepLines w:val="0"/>
              <w:widowControl/>
              <w:suppressLineNumbers w:val="0"/>
              <w:spacing w:before="0" w:beforeAutospacing="0" w:after="0" w:afterAutospacing="0"/>
              <w:ind w:left="0" w:right="0"/>
              <w:rPr>
                <w:rFonts w:hint="default" w:ascii="Times New Roman" w:hAnsi="Times New Roman" w:cs="Times New Roman"/>
                <w:color w:val="auto"/>
                <w:kern w:val="2"/>
              </w:rPr>
            </w:pPr>
          </w:p>
          <w:p w14:paraId="1732F8EE">
            <w:pPr>
              <w:keepNext w:val="0"/>
              <w:keepLines w:val="0"/>
              <w:widowControl/>
              <w:suppressLineNumbers w:val="0"/>
              <w:spacing w:before="0" w:beforeAutospacing="0" w:after="0" w:afterAutospacing="0"/>
              <w:ind w:left="0" w:right="0"/>
              <w:rPr>
                <w:rFonts w:hint="default"/>
                <w:color w:val="auto"/>
                <w:kern w:val="2"/>
              </w:rPr>
            </w:pPr>
          </w:p>
        </w:tc>
      </w:tr>
      <w:tr w14:paraId="5D7AE2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64" w:hRule="atLeast"/>
          <w:jc w:val="center"/>
        </w:trPr>
        <w:tc>
          <w:tcPr>
            <w:tcW w:w="251" w:type="pct"/>
            <w:vAlign w:val="center"/>
          </w:tcPr>
          <w:p w14:paraId="3111F53C">
            <w:pPr>
              <w:keepNext w:val="0"/>
              <w:keepLines w:val="0"/>
              <w:widowControl/>
              <w:suppressLineNumbers w:val="0"/>
              <w:spacing w:before="0" w:beforeAutospacing="0" w:after="0" w:afterAutospacing="0"/>
              <w:ind w:left="0" w:right="0"/>
              <w:jc w:val="center"/>
              <w:rPr>
                <w:rFonts w:hint="default" w:ascii="Times New Roman" w:hAnsi="Times New Roman"/>
                <w:color w:val="auto"/>
                <w:kern w:val="2"/>
              </w:rPr>
            </w:pPr>
            <w:r>
              <w:rPr>
                <w:rFonts w:hint="eastAsia" w:ascii="Times New Roman" w:hAnsi="Times New Roman"/>
                <w:color w:val="auto"/>
                <w:kern w:val="2"/>
              </w:rPr>
              <w:t>工艺流程和产排污环节</w:t>
            </w:r>
          </w:p>
        </w:tc>
        <w:tc>
          <w:tcPr>
            <w:tcW w:w="4748" w:type="pct"/>
            <w:gridSpan w:val="2"/>
          </w:tcPr>
          <w:p w14:paraId="50F94AC7">
            <w:pPr>
              <w:keepNext w:val="0"/>
              <w:keepLines w:val="0"/>
              <w:widowControl/>
              <w:numPr>
                <w:ilvl w:val="0"/>
                <w:numId w:val="2"/>
              </w:numPr>
              <w:suppressLineNumbers w:val="0"/>
              <w:spacing w:before="0" w:beforeAutospacing="0" w:after="0" w:afterAutospacing="0" w:line="360" w:lineRule="auto"/>
              <w:ind w:left="0" w:right="0" w:firstLine="482" w:firstLineChars="200"/>
              <w:rPr>
                <w:rFonts w:hint="default" w:ascii="Times New Roman" w:cs="Times New Roman"/>
                <w:b/>
                <w:bCs/>
                <w:color w:val="auto"/>
                <w:kern w:val="2"/>
              </w:rPr>
            </w:pPr>
            <w:r>
              <w:rPr>
                <w:rFonts w:hint="default" w:ascii="Times New Roman" w:cs="Times New Roman"/>
                <w:b/>
                <w:bCs/>
                <w:color w:val="auto"/>
                <w:kern w:val="2"/>
              </w:rPr>
              <w:t>运营期工艺流程和产排污环节</w:t>
            </w:r>
          </w:p>
          <w:p w14:paraId="1396C0FC">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szCs w:val="28"/>
              </w:rPr>
            </w:pPr>
            <w:r>
              <w:rPr>
                <w:rFonts w:hint="eastAsia" w:ascii="Times New Roman" w:hAnsi="Times New Roman" w:cs="Times New Roman"/>
                <w:color w:val="auto"/>
                <w:kern w:val="2"/>
                <w:szCs w:val="28"/>
                <w:lang w:val="en-US" w:eastAsia="zh-CN"/>
              </w:rPr>
              <w:t>本</w:t>
            </w:r>
            <w:r>
              <w:rPr>
                <w:rFonts w:hint="default" w:ascii="Times New Roman" w:hAnsi="Times New Roman" w:cs="Times New Roman"/>
                <w:color w:val="auto"/>
                <w:kern w:val="2"/>
                <w:szCs w:val="28"/>
              </w:rPr>
              <w:t>项目主要生产P1+P3构型混动变速箱</w:t>
            </w:r>
            <w:r>
              <w:rPr>
                <w:rFonts w:hint="eastAsia" w:ascii="Times New Roman" w:hAnsi="Times New Roman" w:cs="Times New Roman"/>
                <w:color w:val="auto"/>
                <w:kern w:val="2"/>
                <w:szCs w:val="28"/>
              </w:rPr>
              <w:t>，主要原料为MCU硬件、软件、HCU硬件/软件、TCU硬件/软件、EM1电机、EM2电机，</w:t>
            </w:r>
            <w:r>
              <w:rPr>
                <w:rFonts w:hint="default" w:ascii="Times New Roman" w:hAnsi="Times New Roman" w:cs="Times New Roman"/>
                <w:bCs/>
                <w:color w:val="auto"/>
                <w:kern w:val="2"/>
              </w:rPr>
              <w:t>生产线分</w:t>
            </w:r>
            <w:r>
              <w:rPr>
                <w:rFonts w:hint="eastAsia" w:ascii="Times New Roman" w:hAnsi="Times New Roman" w:cs="Times New Roman"/>
                <w:bCs/>
                <w:color w:val="auto"/>
                <w:kern w:val="2"/>
              </w:rPr>
              <w:t>子系统分装</w:t>
            </w:r>
            <w:r>
              <w:rPr>
                <w:rFonts w:hint="default" w:ascii="Times New Roman" w:hAnsi="Times New Roman" w:cs="Times New Roman"/>
                <w:bCs/>
                <w:color w:val="auto"/>
                <w:kern w:val="2"/>
              </w:rPr>
              <w:t>线、总装线和测试线</w:t>
            </w:r>
            <w:r>
              <w:rPr>
                <w:rFonts w:hint="eastAsia" w:ascii="Times New Roman" w:hAnsi="Times New Roman" w:cs="Times New Roman"/>
                <w:color w:val="auto"/>
                <w:kern w:val="2"/>
                <w:szCs w:val="28"/>
              </w:rPr>
              <w:t>。</w:t>
            </w:r>
          </w:p>
          <w:p w14:paraId="0DA0E014">
            <w:pPr>
              <w:keepNext w:val="0"/>
              <w:keepLines w:val="0"/>
              <w:widowControl/>
              <w:suppressLineNumbers w:val="0"/>
              <w:spacing w:before="0" w:beforeAutospacing="0" w:after="0" w:afterAutospacing="0" w:line="360" w:lineRule="auto"/>
              <w:ind w:left="0" w:right="0" w:firstLine="479" w:firstLineChars="199"/>
              <w:rPr>
                <w:rFonts w:hint="default" w:ascii="Times New Roman" w:hAnsi="Times New Roman" w:cs="Times New Roman"/>
                <w:b/>
                <w:color w:val="auto"/>
                <w:kern w:val="2"/>
                <w:szCs w:val="28"/>
              </w:rPr>
            </w:pPr>
            <w:r>
              <w:rPr>
                <w:rFonts w:hint="eastAsia" w:ascii="Times New Roman" w:hAnsi="Times New Roman" w:cs="Times New Roman"/>
                <w:b/>
                <w:color w:val="auto"/>
                <w:kern w:val="2"/>
                <w:szCs w:val="28"/>
              </w:rPr>
              <w:t>P1+P3构型混动变速箱生产工艺流程及产污环节分析</w:t>
            </w:r>
          </w:p>
          <w:p w14:paraId="57AD0010">
            <w:pPr>
              <w:pStyle w:val="12"/>
              <w:keepNext w:val="0"/>
              <w:keepLines w:val="0"/>
              <w:widowControl/>
              <w:suppressLineNumbers w:val="0"/>
              <w:spacing w:before="0" w:beforeAutospacing="0" w:after="0" w:afterAutospacing="0"/>
              <w:ind w:left="0" w:leftChars="0" w:right="0" w:firstLine="0" w:firstLineChars="0"/>
              <w:rPr>
                <w:rFonts w:hint="default"/>
                <w:color w:val="auto"/>
                <w:kern w:val="2"/>
              </w:rPr>
            </w:pPr>
            <w:r>
              <w:rPr>
                <w:rFonts w:hint="eastAsia" w:ascii="Times New Roman" w:hAnsi="Times New Roman" w:eastAsia="宋体" w:cs="Times New Roman"/>
                <w:color w:val="auto"/>
                <w:kern w:val="2"/>
                <w:lang w:eastAsia="zh-CN"/>
              </w:rPr>
              <w:drawing>
                <wp:inline distT="0" distB="0" distL="114300" distR="114300">
                  <wp:extent cx="5286375" cy="3072130"/>
                  <wp:effectExtent l="0" t="0" r="9525" b="13970"/>
                  <wp:docPr id="7" name="E657119C-6982-421D-8BA7-E74DEB70A7D9-1" descr="C:/Users/Administrator/AppData/Local/Temp/wps.uiORD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657119C-6982-421D-8BA7-E74DEB70A7D9-1" descr="C:/Users/Administrator/AppData/Local/Temp/wps.uiORDdwps"/>
                          <pic:cNvPicPr>
                            <a:picLocks noChangeAspect="1"/>
                          </pic:cNvPicPr>
                        </pic:nvPicPr>
                        <pic:blipFill>
                          <a:blip r:embed="rId10"/>
                          <a:stretch>
                            <a:fillRect/>
                          </a:stretch>
                        </pic:blipFill>
                        <pic:spPr>
                          <a:xfrm>
                            <a:off x="0" y="0"/>
                            <a:ext cx="5286375" cy="3072130"/>
                          </a:xfrm>
                          <a:prstGeom prst="rect">
                            <a:avLst/>
                          </a:prstGeom>
                        </pic:spPr>
                      </pic:pic>
                    </a:graphicData>
                  </a:graphic>
                </wp:inline>
              </w:drawing>
            </w:r>
          </w:p>
          <w:p w14:paraId="18AF2F82">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cs="Times New Roman"/>
                <w:bCs/>
                <w:color w:val="auto"/>
                <w:kern w:val="2"/>
              </w:rPr>
            </w:pPr>
            <w:r>
              <w:rPr>
                <w:rFonts w:hint="default" w:ascii="Times New Roman" w:hAnsi="Times New Roman" w:eastAsia="黑体" w:cs="Times New Roman"/>
                <w:bCs/>
                <w:color w:val="auto"/>
                <w:kern w:val="2"/>
              </w:rPr>
              <w:t>图2-</w:t>
            </w:r>
            <w:r>
              <w:rPr>
                <w:rFonts w:hint="eastAsia" w:ascii="Times New Roman" w:hAnsi="Times New Roman" w:eastAsia="黑体" w:cs="Times New Roman"/>
                <w:bCs/>
                <w:color w:val="auto"/>
                <w:kern w:val="2"/>
                <w:lang w:val="en-US" w:eastAsia="zh-CN"/>
              </w:rPr>
              <w:t>2</w:t>
            </w:r>
            <w:r>
              <w:rPr>
                <w:rFonts w:hint="default" w:ascii="Times New Roman" w:hAnsi="Times New Roman" w:eastAsia="黑体" w:cs="Times New Roman"/>
                <w:bCs/>
                <w:color w:val="auto"/>
                <w:kern w:val="2"/>
              </w:rPr>
              <w:t xml:space="preserve">  P1+P3构型混动变速箱生产工艺流程图</w:t>
            </w:r>
          </w:p>
          <w:p w14:paraId="45A17197">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
                <w:color w:val="auto"/>
                <w:kern w:val="2"/>
              </w:rPr>
            </w:pPr>
            <w:r>
              <w:rPr>
                <w:rFonts w:hint="default" w:ascii="Times New Roman" w:hAnsi="Times New Roman" w:cs="Times New Roman"/>
                <w:b/>
                <w:color w:val="auto"/>
                <w:kern w:val="2"/>
              </w:rPr>
              <w:t>（1）子系统分装线</w:t>
            </w:r>
          </w:p>
          <w:p w14:paraId="3F02C268">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bCs/>
                <w:color w:val="auto"/>
                <w:kern w:val="2"/>
              </w:rPr>
            </w:pPr>
            <w:r>
              <w:rPr>
                <w:rFonts w:hint="default" w:ascii="Times New Roman" w:hAnsi="Times New Roman" w:cs="Times New Roman"/>
                <w:bCs/>
                <w:color w:val="auto"/>
                <w:kern w:val="2"/>
              </w:rPr>
              <w:t>①变壳分装：对变速箱变壳（变速箱壳体主体）进行预装配，</w:t>
            </w:r>
            <w:r>
              <w:rPr>
                <w:rFonts w:hint="eastAsia" w:ascii="Times New Roman" w:hAnsi="Times New Roman" w:cs="Times New Roman"/>
                <w:bCs/>
                <w:color w:val="auto"/>
                <w:kern w:val="2"/>
                <w:lang w:val="en-US" w:eastAsia="zh-CN"/>
              </w:rPr>
              <w:t>人工通过螺丝螺母等进行组装</w:t>
            </w:r>
            <w:r>
              <w:rPr>
                <w:rFonts w:hint="default" w:ascii="Times New Roman" w:hAnsi="Times New Roman" w:cs="Times New Roman"/>
                <w:bCs/>
                <w:color w:val="auto"/>
                <w:kern w:val="2"/>
              </w:rPr>
              <w:t>完成壳体上基础零件（</w:t>
            </w:r>
            <w:r>
              <w:rPr>
                <w:rFonts w:hint="eastAsia" w:ascii="Times New Roman" w:hAnsi="Times New Roman" w:cs="Times New Roman"/>
                <w:bCs/>
                <w:color w:val="auto"/>
                <w:kern w:val="2"/>
                <w:lang w:val="en-US" w:eastAsia="zh-CN"/>
              </w:rPr>
              <w:t>其他零件</w:t>
            </w:r>
            <w:r>
              <w:rPr>
                <w:rFonts w:hint="default" w:ascii="Times New Roman" w:hAnsi="Times New Roman" w:cs="Times New Roman"/>
                <w:bCs/>
                <w:color w:val="auto"/>
                <w:kern w:val="2"/>
              </w:rPr>
              <w:t>如轴承座、定位销、密封件安装座等）的预装，为总装上线做准备。</w:t>
            </w:r>
          </w:p>
          <w:p w14:paraId="6CA20665">
            <w:pPr>
              <w:keepNext w:val="0"/>
              <w:keepLines w:val="0"/>
              <w:widowControl/>
              <w:suppressLineNumbers w:val="0"/>
              <w:adjustRightInd w:val="0"/>
              <w:snapToGrid w:val="0"/>
              <w:spacing w:before="0" w:beforeAutospacing="0" w:after="0" w:afterAutospacing="0" w:line="360" w:lineRule="auto"/>
              <w:ind w:left="0" w:right="0" w:firstLine="472" w:firstLineChars="196"/>
              <w:rPr>
                <w:rFonts w:hint="eastAsia" w:ascii="Times New Roman" w:hAnsi="Times New Roman" w:eastAsia="宋体" w:cs="Times New Roman"/>
                <w:color w:val="auto"/>
                <w:kern w:val="2"/>
                <w:lang w:eastAsia="zh-CN"/>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szCs w:val="28"/>
              </w:rPr>
              <w:t>此工序无污染物产生</w:t>
            </w:r>
            <w:r>
              <w:rPr>
                <w:rFonts w:hint="default" w:ascii="Times New Roman" w:hAnsi="Times New Roman" w:cs="Times New Roman"/>
                <w:color w:val="auto"/>
                <w:kern w:val="2"/>
              </w:rPr>
              <w:t>。</w:t>
            </w:r>
          </w:p>
          <w:p w14:paraId="4839A022">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②后盖分装：完成变速箱后盖本体的预装配，安装后盖内的密封件、轴承、定位结构等，形成完整的后盖组件。</w:t>
            </w:r>
          </w:p>
          <w:p w14:paraId="6C97F10C">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color w:val="auto"/>
                <w:kern w:val="2"/>
              </w:rPr>
            </w:pPr>
            <w:r>
              <w:rPr>
                <w:rFonts w:hint="default" w:ascii="Times New Roman" w:hAnsi="Times New Roman" w:cs="Times New Roman"/>
                <w:b/>
                <w:color w:val="auto"/>
                <w:kern w:val="2"/>
              </w:rPr>
              <w:t>产污环节分析及治理措施：</w:t>
            </w:r>
            <w:r>
              <w:rPr>
                <w:rFonts w:hint="default" w:ascii="Times New Roman" w:hAnsi="Times New Roman" w:cs="Times New Roman"/>
                <w:color w:val="auto"/>
                <w:kern w:val="2"/>
                <w:szCs w:val="28"/>
              </w:rPr>
              <w:t>此工序无污染物产生</w:t>
            </w:r>
            <w:r>
              <w:rPr>
                <w:rFonts w:hint="default" w:ascii="Times New Roman" w:hAnsi="Times New Roman" w:cs="Times New Roman"/>
                <w:color w:val="auto"/>
                <w:kern w:val="2"/>
              </w:rPr>
              <w:t>。</w:t>
            </w:r>
          </w:p>
          <w:p w14:paraId="0FB0CE6E">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bCs/>
                <w:color w:val="auto"/>
                <w:kern w:val="2"/>
              </w:rPr>
            </w:pPr>
            <w:r>
              <w:rPr>
                <w:rFonts w:hint="default" w:ascii="Times New Roman" w:hAnsi="Times New Roman" w:cs="Times New Roman"/>
                <w:color w:val="auto"/>
                <w:kern w:val="2"/>
              </w:rPr>
              <w:t>③EM1转子分装：完成EM1（P1电机，通常为发电/辅助驱动电机）转子的</w:t>
            </w:r>
            <w:r>
              <w:rPr>
                <w:rFonts w:hint="eastAsia" w:ascii="Times New Roman" w:hAnsi="Times New Roman" w:cs="Times New Roman"/>
                <w:color w:val="auto"/>
                <w:kern w:val="2"/>
                <w:lang w:val="en-US" w:eastAsia="zh-CN"/>
              </w:rPr>
              <w:t>人工</w:t>
            </w:r>
            <w:r>
              <w:rPr>
                <w:rFonts w:hint="default" w:ascii="Times New Roman" w:hAnsi="Times New Roman" w:cs="Times New Roman"/>
                <w:color w:val="auto"/>
                <w:kern w:val="2"/>
              </w:rPr>
              <w:t>预装配，包括铁芯、永磁体、转轴、平衡块、轴承等零件的装配与动平衡校正</w:t>
            </w:r>
            <w:r>
              <w:rPr>
                <w:rFonts w:hint="default" w:ascii="Times New Roman" w:hAnsi="Times New Roman" w:cs="Times New Roman"/>
                <w:bCs/>
                <w:color w:val="auto"/>
                <w:kern w:val="2"/>
              </w:rPr>
              <w:t>。</w:t>
            </w:r>
          </w:p>
          <w:p w14:paraId="1A8E1014">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bookmarkStart w:id="11" w:name="OLE_LINK6"/>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rPr>
              <w:t>此工序无污染物产生</w:t>
            </w:r>
            <w:r>
              <w:rPr>
                <w:rFonts w:hint="default" w:ascii="Times New Roman" w:hAnsi="Times New Roman" w:cs="Times New Roman"/>
                <w:color w:val="auto"/>
                <w:kern w:val="2"/>
                <w:szCs w:val="28"/>
              </w:rPr>
              <w:t>。</w:t>
            </w:r>
          </w:p>
          <w:bookmarkEnd w:id="11"/>
          <w:p w14:paraId="30ABBA8A">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④EM2转子分装：完成EM2（P3电机，主驱动电机）转子的</w:t>
            </w:r>
            <w:r>
              <w:rPr>
                <w:rFonts w:hint="eastAsia" w:ascii="Times New Roman" w:hAnsi="Times New Roman" w:cs="Times New Roman"/>
                <w:color w:val="auto"/>
                <w:kern w:val="2"/>
                <w:lang w:val="en-US" w:eastAsia="zh-CN"/>
              </w:rPr>
              <w:t>人工</w:t>
            </w:r>
            <w:r>
              <w:rPr>
                <w:rFonts w:hint="default" w:ascii="Times New Roman" w:hAnsi="Times New Roman" w:cs="Times New Roman"/>
                <w:color w:val="auto"/>
                <w:kern w:val="2"/>
              </w:rPr>
              <w:t>预装配，包含转子铁芯、永磁体、转轴、平衡块、轴承等装配，同时完成动平衡检测与校正，保证高速运转稳定性。</w:t>
            </w:r>
          </w:p>
          <w:p w14:paraId="4F2804DC">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color w:val="auto"/>
                <w:kern w:val="2"/>
              </w:rPr>
            </w:pPr>
            <w:bookmarkStart w:id="12" w:name="OLE_LINK7"/>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rPr>
              <w:t>此工序无污染物产生</w:t>
            </w:r>
            <w:r>
              <w:rPr>
                <w:rFonts w:hint="default" w:ascii="Times New Roman" w:hAnsi="Times New Roman" w:cs="Times New Roman"/>
                <w:color w:val="auto"/>
                <w:kern w:val="2"/>
                <w:szCs w:val="28"/>
              </w:rPr>
              <w:t>。</w:t>
            </w:r>
          </w:p>
          <w:bookmarkEnd w:id="12"/>
          <w:p w14:paraId="7A06860E">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szCs w:val="28"/>
              </w:rPr>
            </w:pPr>
            <w:r>
              <w:rPr>
                <w:rFonts w:hint="default" w:ascii="Times New Roman" w:hAnsi="Times New Roman" w:cs="Times New Roman"/>
                <w:color w:val="auto"/>
                <w:kern w:val="2"/>
              </w:rPr>
              <w:t>⑤高壳分装：完成变速箱高壳（上壳体/副壳体）的</w:t>
            </w:r>
            <w:r>
              <w:rPr>
                <w:rFonts w:hint="eastAsia" w:ascii="Times New Roman" w:hAnsi="Times New Roman" w:cs="Times New Roman"/>
                <w:color w:val="auto"/>
                <w:kern w:val="2"/>
                <w:lang w:val="en-US" w:eastAsia="zh-CN"/>
              </w:rPr>
              <w:t>人工</w:t>
            </w:r>
            <w:r>
              <w:rPr>
                <w:rFonts w:hint="default" w:ascii="Times New Roman" w:hAnsi="Times New Roman" w:cs="Times New Roman"/>
                <w:color w:val="auto"/>
                <w:kern w:val="2"/>
              </w:rPr>
              <w:t>预装配，安装壳体上的油道密封件、轴承座、定位结构等，形成完整高壳组件</w:t>
            </w:r>
            <w:r>
              <w:rPr>
                <w:rFonts w:hint="default" w:ascii="Times New Roman" w:hAnsi="Times New Roman" w:cs="Times New Roman"/>
                <w:color w:val="auto"/>
                <w:kern w:val="2"/>
                <w:szCs w:val="28"/>
              </w:rPr>
              <w:t>。</w:t>
            </w:r>
          </w:p>
          <w:p w14:paraId="60530F2C">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color w:val="auto"/>
                <w:kern w:val="2"/>
                <w:szCs w:val="28"/>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szCs w:val="28"/>
              </w:rPr>
              <w:t>此工序无污染物产生。</w:t>
            </w:r>
          </w:p>
          <w:p w14:paraId="2E2B3986">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⑥EM1驱动轴分装：完成EM1电机驱动轴的</w:t>
            </w:r>
            <w:r>
              <w:rPr>
                <w:rFonts w:hint="eastAsia" w:ascii="Times New Roman" w:hAnsi="Times New Roman" w:cs="Times New Roman"/>
                <w:color w:val="auto"/>
                <w:kern w:val="2"/>
                <w:lang w:val="en-US" w:eastAsia="zh-CN"/>
              </w:rPr>
              <w:t>人工</w:t>
            </w:r>
            <w:r>
              <w:rPr>
                <w:rFonts w:hint="default" w:ascii="Times New Roman" w:hAnsi="Times New Roman" w:cs="Times New Roman"/>
                <w:color w:val="auto"/>
                <w:kern w:val="2"/>
              </w:rPr>
              <w:t>预装配，安装轴上齿轮、轴承、花键、密封件等。</w:t>
            </w:r>
          </w:p>
          <w:p w14:paraId="277E3258">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szCs w:val="28"/>
              </w:rPr>
              <w:t>此工序污染物产生。</w:t>
            </w:r>
          </w:p>
          <w:p w14:paraId="2EA1F205">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⑦输入轴分装：完成变速箱输入轴（连接发动机/EM1的动力输入轴）的</w:t>
            </w:r>
            <w:r>
              <w:rPr>
                <w:rFonts w:hint="eastAsia" w:ascii="Times New Roman" w:hAnsi="Times New Roman" w:cs="Times New Roman"/>
                <w:color w:val="auto"/>
                <w:kern w:val="2"/>
                <w:lang w:val="en-US" w:eastAsia="zh-CN"/>
              </w:rPr>
              <w:t>人工</w:t>
            </w:r>
            <w:r>
              <w:rPr>
                <w:rFonts w:hint="default" w:ascii="Times New Roman" w:hAnsi="Times New Roman" w:cs="Times New Roman"/>
                <w:color w:val="auto"/>
                <w:kern w:val="2"/>
              </w:rPr>
              <w:t>预装配，安装齿轮、轴承、同步器、花键等零件，完成轴系预装。</w:t>
            </w:r>
          </w:p>
          <w:p w14:paraId="00AAF66B">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color w:val="auto"/>
                <w:kern w:val="2"/>
              </w:rPr>
            </w:pPr>
            <w:bookmarkStart w:id="13" w:name="OLE_LINK9"/>
            <w:bookmarkStart w:id="14" w:name="OLE_LINK8"/>
            <w:r>
              <w:rPr>
                <w:rFonts w:hint="default" w:ascii="Times New Roman" w:hAnsi="Times New Roman" w:cs="Times New Roman"/>
                <w:b/>
                <w:color w:val="auto"/>
                <w:kern w:val="2"/>
                <w:szCs w:val="28"/>
              </w:rPr>
              <w:t>产污环节分析及治理措施：</w:t>
            </w:r>
            <w:bookmarkEnd w:id="13"/>
            <w:bookmarkEnd w:id="14"/>
            <w:r>
              <w:rPr>
                <w:rFonts w:hint="default" w:ascii="Times New Roman" w:hAnsi="Times New Roman" w:cs="Times New Roman"/>
                <w:color w:val="auto"/>
                <w:kern w:val="2"/>
              </w:rPr>
              <w:t>此工序无污染物产生</w:t>
            </w:r>
            <w:r>
              <w:rPr>
                <w:rFonts w:hint="default" w:ascii="Times New Roman" w:hAnsi="Times New Roman" w:cs="Times New Roman"/>
                <w:color w:val="auto"/>
                <w:kern w:val="2"/>
                <w:szCs w:val="28"/>
              </w:rPr>
              <w:t>。</w:t>
            </w:r>
          </w:p>
          <w:p w14:paraId="31DF2ED0">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⑧差速器分装：完成差速器总成的</w:t>
            </w:r>
            <w:r>
              <w:rPr>
                <w:rFonts w:hint="eastAsia" w:ascii="Times New Roman" w:hAnsi="Times New Roman" w:cs="Times New Roman"/>
                <w:color w:val="auto"/>
                <w:kern w:val="2"/>
                <w:lang w:val="en-US" w:eastAsia="zh-CN"/>
              </w:rPr>
              <w:t>人工</w:t>
            </w:r>
            <w:r>
              <w:rPr>
                <w:rFonts w:hint="default" w:ascii="Times New Roman" w:hAnsi="Times New Roman" w:cs="Times New Roman"/>
                <w:color w:val="auto"/>
                <w:kern w:val="2"/>
              </w:rPr>
              <w:t>预装配，包括差速器壳、行星齿轮、半轴齿轮、轴承、油封等零件的装配。</w:t>
            </w:r>
          </w:p>
          <w:p w14:paraId="58F40444">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rPr>
              <w:t>此工序无污染物产生</w:t>
            </w:r>
            <w:r>
              <w:rPr>
                <w:rFonts w:hint="default" w:ascii="Times New Roman" w:hAnsi="Times New Roman" w:cs="Times New Roman"/>
                <w:color w:val="auto"/>
                <w:kern w:val="2"/>
                <w:szCs w:val="28"/>
              </w:rPr>
              <w:t>。</w:t>
            </w:r>
          </w:p>
          <w:p w14:paraId="52BD69F9">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⑨电驱动输出轴分装：完成EM2电机输出轴（驱动车轮的动力输出轴）的</w:t>
            </w:r>
            <w:r>
              <w:rPr>
                <w:rFonts w:hint="eastAsia" w:ascii="Times New Roman" w:hAnsi="Times New Roman" w:cs="Times New Roman"/>
                <w:color w:val="auto"/>
                <w:kern w:val="2"/>
                <w:lang w:val="en-US" w:eastAsia="zh-CN"/>
              </w:rPr>
              <w:t>人工</w:t>
            </w:r>
            <w:r>
              <w:rPr>
                <w:rFonts w:hint="default" w:ascii="Times New Roman" w:hAnsi="Times New Roman" w:cs="Times New Roman"/>
                <w:color w:val="auto"/>
                <w:kern w:val="2"/>
              </w:rPr>
              <w:t>预装配，安装齿轮、轴承、花键、密封件等，完成轴系预装。</w:t>
            </w:r>
          </w:p>
          <w:p w14:paraId="441F7A1E">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rPr>
              <w:t>此工序无污染物产生</w:t>
            </w:r>
            <w:r>
              <w:rPr>
                <w:rFonts w:hint="default" w:ascii="Times New Roman" w:hAnsi="Times New Roman" w:cs="Times New Roman"/>
                <w:bCs/>
                <w:color w:val="auto"/>
                <w:kern w:val="2"/>
              </w:rPr>
              <w:t>。</w:t>
            </w:r>
          </w:p>
          <w:p w14:paraId="792EB2A8">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⑩EM2驱动轴分装：完成EM2电机驱动轴的</w:t>
            </w:r>
            <w:r>
              <w:rPr>
                <w:rFonts w:hint="eastAsia" w:ascii="Times New Roman" w:hAnsi="Times New Roman" w:cs="Times New Roman"/>
                <w:color w:val="auto"/>
                <w:kern w:val="2"/>
                <w:lang w:val="en-US" w:eastAsia="zh-CN"/>
              </w:rPr>
              <w:t>人工</w:t>
            </w:r>
            <w:r>
              <w:rPr>
                <w:rFonts w:hint="default" w:ascii="Times New Roman" w:hAnsi="Times New Roman" w:cs="Times New Roman"/>
                <w:color w:val="auto"/>
                <w:kern w:val="2"/>
              </w:rPr>
              <w:t>预装配，安装轴上齿轮、轴承、花键、密封件等，为总装轴系装配提供组件。</w:t>
            </w:r>
          </w:p>
          <w:p w14:paraId="4CB1FF25">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rPr>
              <w:t>此工序无污染物产生</w:t>
            </w:r>
            <w:r>
              <w:rPr>
                <w:rFonts w:hint="default" w:ascii="Times New Roman" w:hAnsi="Times New Roman" w:cs="Times New Roman"/>
                <w:bCs/>
                <w:color w:val="auto"/>
                <w:kern w:val="2"/>
              </w:rPr>
              <w:t>。</w:t>
            </w:r>
          </w:p>
          <w:p w14:paraId="137C6A21">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
                <w:color w:val="auto"/>
                <w:kern w:val="2"/>
              </w:rPr>
            </w:pPr>
            <w:r>
              <w:rPr>
                <w:rFonts w:hint="default" w:ascii="Times New Roman" w:hAnsi="Times New Roman" w:cs="Times New Roman"/>
                <w:b/>
                <w:color w:val="auto"/>
                <w:kern w:val="2"/>
              </w:rPr>
              <w:t>（2）总装线</w:t>
            </w:r>
          </w:p>
          <w:p w14:paraId="0DD15286">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①变壳上线：将预装配完成的变壳主体吊装/输送至总装线工位，作为总装的基准载体。</w:t>
            </w:r>
          </w:p>
          <w:p w14:paraId="2EDF60C4">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rPr>
              <w:t>此工序无污染物产生</w:t>
            </w:r>
            <w:r>
              <w:rPr>
                <w:rFonts w:hint="default" w:ascii="Times New Roman" w:hAnsi="Times New Roman" w:cs="Times New Roman"/>
                <w:bCs/>
                <w:color w:val="auto"/>
                <w:kern w:val="2"/>
              </w:rPr>
              <w:t>。</w:t>
            </w:r>
          </w:p>
          <w:p w14:paraId="698C3E88">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②高压连接器装配：在变壳上安装高压电连接器，完成EM1、EM2电机与整车高压线束的连接接口装配，保证高压绝缘与密封。</w:t>
            </w:r>
          </w:p>
          <w:p w14:paraId="48EAAACE">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rPr>
              <w:t>此工序无污染物产生</w:t>
            </w:r>
            <w:r>
              <w:rPr>
                <w:rFonts w:hint="default" w:ascii="Times New Roman" w:hAnsi="Times New Roman" w:cs="Times New Roman"/>
                <w:bCs/>
                <w:color w:val="auto"/>
                <w:kern w:val="2"/>
              </w:rPr>
              <w:t>。</w:t>
            </w:r>
          </w:p>
          <w:p w14:paraId="65D002BD">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③EM1定子装配：将EM1定子总成压装/装配到变壳的电机腔体内，完成定子与壳体的定位、固定，保证定子同轴度。</w:t>
            </w:r>
          </w:p>
          <w:p w14:paraId="390468A3">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rPr>
              <w:t>此工序无污染物产生</w:t>
            </w:r>
            <w:r>
              <w:rPr>
                <w:rFonts w:hint="default" w:ascii="Times New Roman" w:hAnsi="Times New Roman" w:cs="Times New Roman"/>
                <w:bCs/>
                <w:color w:val="auto"/>
                <w:kern w:val="2"/>
              </w:rPr>
              <w:t>。</w:t>
            </w:r>
          </w:p>
          <w:p w14:paraId="6758ABB1">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④EM2定子装配：将EM2定子总成压装/装配到变壳的主驱动电机腔体内，完成定子定位、固定，保证电机气隙均匀性。</w:t>
            </w:r>
          </w:p>
          <w:p w14:paraId="7737FFC6">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rPr>
              <w:t>此工序无污染物产生</w:t>
            </w:r>
            <w:r>
              <w:rPr>
                <w:rFonts w:hint="default" w:ascii="Times New Roman" w:hAnsi="Times New Roman" w:cs="Times New Roman"/>
                <w:bCs/>
                <w:color w:val="auto"/>
                <w:kern w:val="2"/>
              </w:rPr>
              <w:t>。</w:t>
            </w:r>
          </w:p>
          <w:p w14:paraId="7E5BB4CC">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⑤EM1、EM2冷却油管装配：为EM1、EM2电机安装冷却油管路，连接壳体油道，完成油管的固定、密封，保证电机冷却油路通畅。</w:t>
            </w:r>
          </w:p>
          <w:p w14:paraId="4652FD21">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rPr>
              <w:t>此工序无污染物产生</w:t>
            </w:r>
            <w:r>
              <w:rPr>
                <w:rFonts w:hint="default" w:ascii="Times New Roman" w:hAnsi="Times New Roman" w:cs="Times New Roman"/>
                <w:bCs/>
                <w:color w:val="auto"/>
                <w:kern w:val="2"/>
              </w:rPr>
              <w:t>。</w:t>
            </w:r>
          </w:p>
          <w:p w14:paraId="7B88978D">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⑥涂胶：</w:t>
            </w:r>
            <w:r>
              <w:rPr>
                <w:rFonts w:hint="eastAsia" w:ascii="Times New Roman" w:hAnsi="Times New Roman" w:cs="Times New Roman"/>
                <w:color w:val="auto"/>
                <w:kern w:val="2"/>
                <w:lang w:val="en-US" w:eastAsia="zh-CN"/>
              </w:rPr>
              <w:t>机器人</w:t>
            </w:r>
            <w:r>
              <w:rPr>
                <w:rFonts w:hint="default" w:ascii="Times New Roman" w:hAnsi="Times New Roman" w:cs="Times New Roman"/>
                <w:color w:val="auto"/>
                <w:kern w:val="2"/>
              </w:rPr>
              <w:t>在变壳的合箱结合面（与高壳/后盖的结合面）涂密封胶，保证变速箱壳体合箱后的密封性能，防止漏油。</w:t>
            </w:r>
          </w:p>
          <w:p w14:paraId="1D1E96F6">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highlight w:val="red"/>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b w:val="0"/>
                <w:bCs/>
                <w:color w:val="auto"/>
                <w:kern w:val="2"/>
                <w:szCs w:val="28"/>
              </w:rPr>
              <w:t>此工序会产生涂胶废气（G1）以非甲烷总烃计</w:t>
            </w:r>
            <w:r>
              <w:rPr>
                <w:rFonts w:hint="eastAsia" w:ascii="Times New Roman" w:hAnsi="Times New Roman" w:cs="Times New Roman"/>
                <w:b w:val="0"/>
                <w:bCs/>
                <w:color w:val="auto"/>
                <w:kern w:val="2"/>
                <w:szCs w:val="28"/>
                <w:lang w:eastAsia="zh-CN"/>
              </w:rPr>
              <w:t>，</w:t>
            </w:r>
            <w:r>
              <w:rPr>
                <w:rFonts w:hint="default" w:ascii="Times New Roman" w:hAnsi="Times New Roman" w:cs="Times New Roman"/>
                <w:color w:val="auto"/>
                <w:kern w:val="2"/>
                <w:szCs w:val="28"/>
              </w:rPr>
              <w:t>此工序会产生</w:t>
            </w:r>
            <w:r>
              <w:rPr>
                <w:rFonts w:hint="eastAsia" w:ascii="Times New Roman" w:hAnsi="Times New Roman" w:cs="Times New Roman"/>
                <w:color w:val="auto"/>
                <w:kern w:val="2"/>
                <w:lang w:val="en-US" w:eastAsia="zh-CN"/>
              </w:rPr>
              <w:t>废胶管</w:t>
            </w:r>
            <w:r>
              <w:rPr>
                <w:rFonts w:hint="default" w:ascii="Times New Roman" w:hAnsi="Times New Roman" w:cs="Times New Roman"/>
                <w:color w:val="auto"/>
                <w:kern w:val="2"/>
                <w:szCs w:val="28"/>
              </w:rPr>
              <w:t>（S</w:t>
            </w:r>
            <w:r>
              <w:rPr>
                <w:rFonts w:hint="eastAsia" w:ascii="Times New Roman" w:hAnsi="Times New Roman" w:cs="Times New Roman"/>
                <w:color w:val="auto"/>
                <w:kern w:val="2"/>
                <w:szCs w:val="28"/>
                <w:vertAlign w:val="subscript"/>
                <w:lang w:val="en-US" w:eastAsia="zh-CN"/>
              </w:rPr>
              <w:t>2</w:t>
            </w:r>
            <w:r>
              <w:rPr>
                <w:rFonts w:hint="default" w:ascii="Times New Roman" w:hAnsi="Times New Roman" w:cs="Times New Roman"/>
                <w:color w:val="auto"/>
                <w:kern w:val="2"/>
                <w:szCs w:val="28"/>
              </w:rPr>
              <w:t>），经</w:t>
            </w:r>
            <w:r>
              <w:rPr>
                <w:rFonts w:hint="default" w:ascii="Times New Roman" w:hAnsi="Times New Roman" w:cs="Times New Roman"/>
                <w:color w:val="auto"/>
                <w:kern w:val="2"/>
                <w:szCs w:val="28"/>
                <w:highlight w:val="none"/>
              </w:rPr>
              <w:t>收集后</w:t>
            </w:r>
            <w:r>
              <w:rPr>
                <w:rFonts w:hint="eastAsia" w:ascii="Times New Roman" w:hAnsi="Times New Roman" w:cs="Times New Roman"/>
                <w:color w:val="auto"/>
                <w:kern w:val="2"/>
                <w:szCs w:val="28"/>
                <w:highlight w:val="none"/>
                <w:lang w:val="en-US" w:eastAsia="zh-CN"/>
              </w:rPr>
              <w:t>委托有资质单位定期</w:t>
            </w:r>
            <w:r>
              <w:rPr>
                <w:rFonts w:hint="default" w:ascii="Times New Roman" w:hAnsi="Times New Roman" w:cs="Times New Roman"/>
                <w:color w:val="auto"/>
                <w:kern w:val="2"/>
                <w:szCs w:val="28"/>
                <w:highlight w:val="none"/>
              </w:rPr>
              <w:t>处理</w:t>
            </w:r>
            <w:r>
              <w:rPr>
                <w:rFonts w:hint="default" w:ascii="Times New Roman" w:hAnsi="Times New Roman" w:cs="Times New Roman"/>
                <w:bCs/>
                <w:color w:val="auto"/>
                <w:kern w:val="2"/>
                <w:highlight w:val="none"/>
              </w:rPr>
              <w:t>。</w:t>
            </w:r>
          </w:p>
          <w:p w14:paraId="4847C8EE">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⑦转子和后盖自动合箱：将预装配完成的EM1、EM2转子组件与后盖组件，通过自动化设备精准合箱到变壳上，完成电机转子与定子的同轴装配，保证电机气隙符合要求。</w:t>
            </w:r>
          </w:p>
          <w:p w14:paraId="75A0227B">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rPr>
              <w:t>此工序无污染物产生</w:t>
            </w:r>
            <w:r>
              <w:rPr>
                <w:rFonts w:hint="default" w:ascii="Times New Roman" w:hAnsi="Times New Roman" w:cs="Times New Roman"/>
                <w:bCs/>
                <w:color w:val="auto"/>
                <w:kern w:val="2"/>
              </w:rPr>
              <w:t>。</w:t>
            </w:r>
          </w:p>
          <w:p w14:paraId="5F49E9F2">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⑧合箱螺栓拧紧：对后盖与变壳的合箱螺栓进行自动化拧紧，按工艺要求的扭矩、转角控制，保证壳体结合面的密封与结构强度。</w:t>
            </w:r>
          </w:p>
          <w:p w14:paraId="00401306">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rPr>
              <w:t>此工序无污染物产生</w:t>
            </w:r>
            <w:r>
              <w:rPr>
                <w:rFonts w:hint="default" w:ascii="Times New Roman" w:hAnsi="Times New Roman" w:cs="Times New Roman"/>
                <w:bCs/>
                <w:color w:val="auto"/>
                <w:kern w:val="2"/>
              </w:rPr>
              <w:t>。</w:t>
            </w:r>
          </w:p>
          <w:p w14:paraId="755BBE0D">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⑨电动油泵装配：将电动油泵总成装配到变速箱壳体上，完成油泵与油道的连接，为变速箱润滑、冷却提供动力。</w:t>
            </w:r>
          </w:p>
          <w:p w14:paraId="53DB8FD5">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rPr>
              <w:t>此工序无污染物产生</w:t>
            </w:r>
            <w:r>
              <w:rPr>
                <w:rFonts w:hint="default" w:ascii="Times New Roman" w:hAnsi="Times New Roman" w:cs="Times New Roman"/>
                <w:bCs/>
                <w:color w:val="auto"/>
                <w:kern w:val="2"/>
              </w:rPr>
              <w:t>。</w:t>
            </w:r>
          </w:p>
          <w:p w14:paraId="54A70D92">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⑩轴系装配到变壳上：将下分子系统分装完成的输入轴、EM1/EM2驱动轴、差速器、输出轴等轴系组件，依次装配到变壳的对应轴承座内，完成轴系定位。</w:t>
            </w:r>
          </w:p>
          <w:p w14:paraId="681ADF94">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rPr>
              <w:t>此工序无污染物产生</w:t>
            </w:r>
            <w:r>
              <w:rPr>
                <w:rFonts w:hint="default" w:ascii="Times New Roman" w:hAnsi="Times New Roman" w:cs="Times New Roman"/>
                <w:bCs/>
                <w:color w:val="auto"/>
                <w:kern w:val="2"/>
              </w:rPr>
              <w:t>。</w:t>
            </w:r>
          </w:p>
          <w:p w14:paraId="5033C24E">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⑪涂胶：在变壳与高壳的合箱结合面涂密封胶，为高壳合箱做密封准备。</w:t>
            </w:r>
          </w:p>
          <w:p w14:paraId="594799C6">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highlight w:val="red"/>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b w:val="0"/>
                <w:bCs/>
                <w:color w:val="auto"/>
                <w:kern w:val="2"/>
                <w:szCs w:val="28"/>
              </w:rPr>
              <w:t>此工序会产生涂胶废气（G1）以非甲烷总烃计</w:t>
            </w:r>
            <w:r>
              <w:rPr>
                <w:rFonts w:hint="eastAsia" w:ascii="Times New Roman" w:hAnsi="Times New Roman" w:cs="Times New Roman"/>
                <w:b w:val="0"/>
                <w:bCs/>
                <w:color w:val="auto"/>
                <w:kern w:val="2"/>
                <w:szCs w:val="28"/>
                <w:lang w:eastAsia="zh-CN"/>
              </w:rPr>
              <w:t>，</w:t>
            </w:r>
            <w:r>
              <w:rPr>
                <w:rFonts w:hint="default" w:ascii="Times New Roman" w:hAnsi="Times New Roman" w:cs="Times New Roman"/>
                <w:color w:val="auto"/>
                <w:kern w:val="2"/>
                <w:szCs w:val="28"/>
              </w:rPr>
              <w:t>此工序会产生</w:t>
            </w:r>
            <w:r>
              <w:rPr>
                <w:rFonts w:hint="eastAsia" w:ascii="Times New Roman" w:hAnsi="Times New Roman" w:cs="Times New Roman"/>
                <w:color w:val="auto"/>
                <w:kern w:val="2"/>
                <w:lang w:val="en-US" w:eastAsia="zh-CN"/>
              </w:rPr>
              <w:t>废胶管</w:t>
            </w:r>
            <w:r>
              <w:rPr>
                <w:rFonts w:hint="default" w:ascii="Times New Roman" w:hAnsi="Times New Roman" w:cs="Times New Roman"/>
                <w:color w:val="auto"/>
                <w:kern w:val="2"/>
                <w:szCs w:val="28"/>
              </w:rPr>
              <w:t>（S</w:t>
            </w:r>
            <w:r>
              <w:rPr>
                <w:rFonts w:hint="eastAsia" w:ascii="Times New Roman" w:hAnsi="Times New Roman" w:cs="Times New Roman"/>
                <w:color w:val="auto"/>
                <w:kern w:val="2"/>
                <w:szCs w:val="28"/>
                <w:vertAlign w:val="subscript"/>
                <w:lang w:val="en-US" w:eastAsia="zh-CN"/>
              </w:rPr>
              <w:t>2</w:t>
            </w:r>
            <w:r>
              <w:rPr>
                <w:rFonts w:hint="default" w:ascii="Times New Roman" w:hAnsi="Times New Roman" w:cs="Times New Roman"/>
                <w:color w:val="auto"/>
                <w:kern w:val="2"/>
                <w:szCs w:val="28"/>
              </w:rPr>
              <w:t>）</w:t>
            </w:r>
            <w:r>
              <w:rPr>
                <w:rFonts w:hint="default" w:ascii="Times New Roman" w:hAnsi="Times New Roman" w:cs="Times New Roman"/>
                <w:color w:val="auto"/>
                <w:kern w:val="2"/>
                <w:szCs w:val="28"/>
                <w:highlight w:val="none"/>
              </w:rPr>
              <w:t>，经收集后</w:t>
            </w:r>
            <w:r>
              <w:rPr>
                <w:rFonts w:hint="eastAsia" w:ascii="Times New Roman" w:hAnsi="Times New Roman" w:cs="Times New Roman"/>
                <w:color w:val="auto"/>
                <w:kern w:val="2"/>
                <w:szCs w:val="28"/>
                <w:highlight w:val="none"/>
                <w:lang w:val="en-US" w:eastAsia="zh-CN"/>
              </w:rPr>
              <w:t>委托有资质单位定期</w:t>
            </w:r>
            <w:r>
              <w:rPr>
                <w:rFonts w:hint="default" w:ascii="Times New Roman" w:hAnsi="Times New Roman" w:cs="Times New Roman"/>
                <w:color w:val="auto"/>
                <w:kern w:val="2"/>
                <w:szCs w:val="28"/>
                <w:highlight w:val="none"/>
              </w:rPr>
              <w:t>处理</w:t>
            </w:r>
            <w:r>
              <w:rPr>
                <w:rFonts w:hint="default" w:ascii="Times New Roman" w:hAnsi="Times New Roman" w:cs="Times New Roman"/>
                <w:bCs/>
                <w:color w:val="auto"/>
                <w:kern w:val="2"/>
                <w:highlight w:val="none"/>
              </w:rPr>
              <w:t>。</w:t>
            </w:r>
          </w:p>
          <w:p w14:paraId="113EFC72">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eastAsia="微软雅黑" w:cs="Times New Roman"/>
                <w:color w:val="auto"/>
                <w:kern w:val="2"/>
              </w:rPr>
              <w:t>⑫</w:t>
            </w:r>
            <w:r>
              <w:rPr>
                <w:rFonts w:hint="default" w:ascii="Times New Roman" w:hAnsi="Times New Roman" w:cs="Times New Roman"/>
                <w:color w:val="auto"/>
                <w:kern w:val="2"/>
              </w:rPr>
              <w:t>合箱：将预装配完成的高壳与变壳进行合箱，完成变速箱上下壳体的闭合，形成完整的变速箱壳体结构。</w:t>
            </w:r>
          </w:p>
          <w:p w14:paraId="67083D1D">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rPr>
              <w:t>此工序无污染物产生</w:t>
            </w:r>
            <w:r>
              <w:rPr>
                <w:rFonts w:hint="default" w:ascii="Times New Roman" w:hAnsi="Times New Roman" w:cs="Times New Roman"/>
                <w:bCs/>
                <w:color w:val="auto"/>
                <w:kern w:val="2"/>
              </w:rPr>
              <w:t>。</w:t>
            </w:r>
          </w:p>
          <w:p w14:paraId="5AB9DA82">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eastAsia="微软雅黑" w:cs="Times New Roman"/>
                <w:color w:val="auto"/>
                <w:kern w:val="2"/>
              </w:rPr>
              <w:t>⑬</w:t>
            </w:r>
            <w:r>
              <w:rPr>
                <w:rFonts w:hint="default" w:ascii="Times New Roman" w:hAnsi="Times New Roman" w:cs="Times New Roman"/>
                <w:color w:val="auto"/>
                <w:kern w:val="2"/>
              </w:rPr>
              <w:t>油冷器装配：将油冷器总成装配到变速箱壳体上，完成油冷器与变速箱油道的连接，实现变速箱油的冷却。</w:t>
            </w:r>
          </w:p>
          <w:p w14:paraId="7ACD40D7">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rPr>
              <w:t>此工序无污染物产生</w:t>
            </w:r>
            <w:r>
              <w:rPr>
                <w:rFonts w:hint="default" w:ascii="Times New Roman" w:hAnsi="Times New Roman" w:cs="Times New Roman"/>
                <w:bCs/>
                <w:color w:val="auto"/>
                <w:kern w:val="2"/>
              </w:rPr>
              <w:t>。</w:t>
            </w:r>
          </w:p>
          <w:p w14:paraId="62560E29">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eastAsia="微软雅黑" w:cs="Times New Roman"/>
                <w:color w:val="auto"/>
                <w:kern w:val="2"/>
              </w:rPr>
              <w:t>⑭</w:t>
            </w:r>
            <w:r>
              <w:rPr>
                <w:rFonts w:hint="default" w:ascii="Times New Roman" w:hAnsi="Times New Roman" w:cs="Times New Roman"/>
                <w:color w:val="auto"/>
                <w:kern w:val="2"/>
              </w:rPr>
              <w:t>安规测试：对变速箱的高压系统（EM1、EM2电机、高压连接器）进行安规检测，包括绝缘电阻、耐压测试等，保证高压系统安全。</w:t>
            </w:r>
          </w:p>
          <w:p w14:paraId="0174E049">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szCs w:val="28"/>
              </w:rPr>
              <w:t>此工序会产生不合格</w:t>
            </w:r>
            <w:r>
              <w:rPr>
                <w:rFonts w:hint="eastAsia" w:ascii="Times New Roman" w:hAnsi="Times New Roman" w:cs="Times New Roman"/>
                <w:color w:val="auto"/>
                <w:kern w:val="2"/>
                <w:szCs w:val="28"/>
                <w:lang w:val="en-US" w:eastAsia="zh-CN"/>
              </w:rPr>
              <w:t>产品</w:t>
            </w:r>
            <w:r>
              <w:rPr>
                <w:rFonts w:hint="default" w:ascii="Times New Roman" w:hAnsi="Times New Roman" w:cs="Times New Roman"/>
                <w:color w:val="auto"/>
                <w:kern w:val="2"/>
                <w:szCs w:val="28"/>
              </w:rPr>
              <w:t>（S</w:t>
            </w:r>
            <w:r>
              <w:rPr>
                <w:rFonts w:hint="default" w:ascii="Times New Roman" w:hAnsi="Times New Roman" w:cs="Times New Roman"/>
                <w:color w:val="auto"/>
                <w:kern w:val="2"/>
                <w:szCs w:val="28"/>
                <w:vertAlign w:val="subscript"/>
              </w:rPr>
              <w:t>1</w:t>
            </w:r>
            <w:r>
              <w:rPr>
                <w:rFonts w:hint="default" w:ascii="Times New Roman" w:hAnsi="Times New Roman" w:cs="Times New Roman"/>
                <w:color w:val="auto"/>
                <w:kern w:val="2"/>
                <w:szCs w:val="28"/>
              </w:rPr>
              <w:t>），经收集后委托厂家处理</w:t>
            </w:r>
            <w:r>
              <w:rPr>
                <w:rFonts w:hint="default" w:ascii="Times New Roman" w:hAnsi="Times New Roman" w:cs="Times New Roman"/>
                <w:bCs/>
                <w:color w:val="auto"/>
                <w:kern w:val="2"/>
              </w:rPr>
              <w:t>。</w:t>
            </w:r>
          </w:p>
          <w:p w14:paraId="1D0325E9">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
                <w:color w:val="auto"/>
                <w:kern w:val="2"/>
              </w:rPr>
            </w:pPr>
            <w:r>
              <w:rPr>
                <w:rFonts w:hint="default" w:ascii="Times New Roman" w:hAnsi="Times New Roman" w:cs="Times New Roman"/>
                <w:b/>
                <w:color w:val="auto"/>
                <w:kern w:val="2"/>
              </w:rPr>
              <w:t>（3）测试线</w:t>
            </w:r>
          </w:p>
          <w:p w14:paraId="5FDAF15A">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①气密检测：对变速箱壳体内部油道、腔体进行</w:t>
            </w:r>
            <w:r>
              <w:rPr>
                <w:rFonts w:hint="eastAsia" w:ascii="Times New Roman" w:hAnsi="Times New Roman" w:cs="Times New Roman"/>
                <w:color w:val="auto"/>
                <w:kern w:val="2"/>
                <w:lang w:val="en-US" w:eastAsia="zh-CN"/>
              </w:rPr>
              <w:t>通气</w:t>
            </w:r>
            <w:r>
              <w:rPr>
                <w:rFonts w:hint="default" w:ascii="Times New Roman" w:hAnsi="Times New Roman" w:cs="Times New Roman"/>
                <w:color w:val="auto"/>
                <w:kern w:val="2"/>
              </w:rPr>
              <w:t>气密性测试，检测壳体、合箱面、密封件的密封性能，防止漏油、漏气。</w:t>
            </w:r>
          </w:p>
          <w:p w14:paraId="789D00EF">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highlight w:val="yellow"/>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szCs w:val="28"/>
              </w:rPr>
              <w:t>此工序会产</w:t>
            </w:r>
            <w:r>
              <w:rPr>
                <w:rFonts w:hint="default" w:ascii="Times New Roman" w:hAnsi="Times New Roman" w:cs="Times New Roman"/>
                <w:color w:val="auto"/>
                <w:kern w:val="2"/>
                <w:szCs w:val="28"/>
                <w:highlight w:val="none"/>
              </w:rPr>
              <w:t>生不合格</w:t>
            </w:r>
            <w:r>
              <w:rPr>
                <w:rFonts w:hint="eastAsia" w:ascii="Times New Roman" w:hAnsi="Times New Roman" w:cs="Times New Roman"/>
                <w:color w:val="auto"/>
                <w:kern w:val="2"/>
                <w:szCs w:val="28"/>
                <w:highlight w:val="none"/>
                <w:lang w:val="en-US" w:eastAsia="zh-CN"/>
              </w:rPr>
              <w:t>产品</w:t>
            </w:r>
            <w:r>
              <w:rPr>
                <w:rFonts w:hint="default" w:ascii="Times New Roman" w:hAnsi="Times New Roman" w:cs="Times New Roman"/>
                <w:color w:val="auto"/>
                <w:kern w:val="2"/>
                <w:szCs w:val="28"/>
                <w:highlight w:val="none"/>
              </w:rPr>
              <w:t>（S</w:t>
            </w:r>
            <w:r>
              <w:rPr>
                <w:rFonts w:hint="default" w:ascii="Times New Roman" w:hAnsi="Times New Roman" w:cs="Times New Roman"/>
                <w:color w:val="auto"/>
                <w:kern w:val="2"/>
                <w:szCs w:val="28"/>
                <w:highlight w:val="none"/>
                <w:vertAlign w:val="subscript"/>
              </w:rPr>
              <w:t>1</w:t>
            </w:r>
            <w:r>
              <w:rPr>
                <w:rFonts w:hint="default" w:ascii="Times New Roman" w:hAnsi="Times New Roman" w:cs="Times New Roman"/>
                <w:color w:val="auto"/>
                <w:kern w:val="2"/>
                <w:szCs w:val="28"/>
                <w:highlight w:val="none"/>
              </w:rPr>
              <w:t>），经收集后委托厂家处理</w:t>
            </w:r>
            <w:r>
              <w:rPr>
                <w:rFonts w:hint="default" w:ascii="Times New Roman" w:hAnsi="Times New Roman" w:cs="Times New Roman"/>
                <w:bCs/>
                <w:color w:val="auto"/>
                <w:kern w:val="2"/>
                <w:highlight w:val="none"/>
              </w:rPr>
              <w:t>。</w:t>
            </w:r>
          </w:p>
          <w:p w14:paraId="3FA5B217">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②MCU装配：将MCU（电机控制单元）装配到变速箱本体上，完成MCU与EM1、EM2电机的线路连接，实现电机的控制集成。</w:t>
            </w:r>
          </w:p>
          <w:p w14:paraId="3AE0E0C9">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rPr>
              <w:t>此工序无污染物产生</w:t>
            </w:r>
            <w:r>
              <w:rPr>
                <w:rFonts w:hint="default" w:ascii="Times New Roman" w:hAnsi="Times New Roman" w:cs="Times New Roman"/>
                <w:bCs/>
                <w:color w:val="auto"/>
                <w:kern w:val="2"/>
              </w:rPr>
              <w:t>。</w:t>
            </w:r>
          </w:p>
          <w:p w14:paraId="67413610">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③变速箱加油：按工艺要求的油量，向变速箱内加注变速箱油，完成润滑系统的油液填充。</w:t>
            </w:r>
          </w:p>
          <w:p w14:paraId="46B5C551">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szCs w:val="28"/>
              </w:rPr>
              <w:t>此工序会产生加油废气（G</w:t>
            </w:r>
            <w:r>
              <w:rPr>
                <w:rFonts w:hint="default" w:ascii="Times New Roman" w:hAnsi="Times New Roman" w:cs="Times New Roman"/>
                <w:color w:val="auto"/>
                <w:kern w:val="2"/>
                <w:szCs w:val="28"/>
                <w:vertAlign w:val="subscript"/>
              </w:rPr>
              <w:t>2</w:t>
            </w:r>
            <w:r>
              <w:rPr>
                <w:rFonts w:hint="default" w:ascii="Times New Roman" w:hAnsi="Times New Roman" w:cs="Times New Roman"/>
                <w:color w:val="auto"/>
                <w:kern w:val="2"/>
                <w:szCs w:val="28"/>
              </w:rPr>
              <w:t>），以非甲烷总烃计</w:t>
            </w:r>
            <w:r>
              <w:rPr>
                <w:rFonts w:hint="default" w:ascii="Times New Roman" w:hAnsi="Times New Roman" w:cs="Times New Roman"/>
                <w:bCs/>
                <w:color w:val="auto"/>
                <w:kern w:val="2"/>
              </w:rPr>
              <w:t>。</w:t>
            </w:r>
          </w:p>
          <w:p w14:paraId="615EE4E6">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④EOL测试：对变速箱进行综合性能测试，包括电机运转、换挡功能、油压、转速、扭矩、NVH等全项检测，验证变速箱功能合格。</w:t>
            </w:r>
          </w:p>
          <w:p w14:paraId="0A0A805D">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szCs w:val="28"/>
              </w:rPr>
              <w:t>此工序会产生不合格</w:t>
            </w:r>
            <w:r>
              <w:rPr>
                <w:rFonts w:hint="eastAsia" w:ascii="Times New Roman" w:hAnsi="Times New Roman" w:cs="Times New Roman"/>
                <w:color w:val="auto"/>
                <w:kern w:val="2"/>
                <w:szCs w:val="28"/>
                <w:lang w:val="en-US" w:eastAsia="zh-CN"/>
              </w:rPr>
              <w:t>产品</w:t>
            </w:r>
            <w:r>
              <w:rPr>
                <w:rFonts w:hint="default" w:ascii="Times New Roman" w:hAnsi="Times New Roman" w:cs="Times New Roman"/>
                <w:color w:val="auto"/>
                <w:kern w:val="2"/>
                <w:szCs w:val="28"/>
              </w:rPr>
              <w:t>（S</w:t>
            </w:r>
            <w:r>
              <w:rPr>
                <w:rFonts w:hint="default" w:ascii="Times New Roman" w:hAnsi="Times New Roman" w:cs="Times New Roman"/>
                <w:color w:val="auto"/>
                <w:kern w:val="2"/>
                <w:szCs w:val="28"/>
                <w:vertAlign w:val="subscript"/>
              </w:rPr>
              <w:t>1</w:t>
            </w:r>
            <w:r>
              <w:rPr>
                <w:rFonts w:hint="default" w:ascii="Times New Roman" w:hAnsi="Times New Roman" w:cs="Times New Roman"/>
                <w:color w:val="auto"/>
                <w:kern w:val="2"/>
                <w:szCs w:val="28"/>
              </w:rPr>
              <w:t>），经收集后委托厂家处理</w:t>
            </w:r>
            <w:r>
              <w:rPr>
                <w:rFonts w:hint="default" w:ascii="Times New Roman" w:hAnsi="Times New Roman" w:cs="Times New Roman"/>
                <w:bCs/>
                <w:color w:val="auto"/>
                <w:kern w:val="2"/>
              </w:rPr>
              <w:t>。</w:t>
            </w:r>
          </w:p>
          <w:p w14:paraId="03D9341C">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color w:val="auto"/>
                <w:kern w:val="2"/>
              </w:rPr>
            </w:pPr>
            <w:r>
              <w:rPr>
                <w:rFonts w:hint="default" w:ascii="Times New Roman" w:hAnsi="Times New Roman" w:cs="Times New Roman"/>
                <w:color w:val="auto"/>
                <w:kern w:val="2"/>
              </w:rPr>
              <w:t>⑤视觉检测：通过人工/视觉检测设备，对变速箱外观、装配完整性、标识、油液状态等进行目视检查，确认无外观缺陷。</w:t>
            </w:r>
          </w:p>
          <w:p w14:paraId="22D4D791">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eastAsia" w:ascii="Times New Roman" w:cs="Times New Roman"/>
                <w:b/>
                <w:color w:val="auto"/>
                <w:kern w:val="2"/>
                <w:szCs w:val="28"/>
              </w:rPr>
              <w:t>产污环节分析及治理措施</w:t>
            </w:r>
            <w:r>
              <w:rPr>
                <w:rFonts w:hint="default" w:ascii="Times New Roman" w:cs="Times New Roman"/>
                <w:b/>
                <w:color w:val="auto"/>
                <w:kern w:val="2"/>
                <w:szCs w:val="28"/>
              </w:rPr>
              <w:t>：</w:t>
            </w:r>
            <w:r>
              <w:rPr>
                <w:rFonts w:hint="eastAsia" w:ascii="Times New Roman" w:cs="Times New Roman"/>
                <w:color w:val="auto"/>
                <w:kern w:val="2"/>
                <w:szCs w:val="28"/>
              </w:rPr>
              <w:t>此工序</w:t>
            </w:r>
            <w:r>
              <w:rPr>
                <w:rFonts w:hint="default" w:ascii="Times New Roman" w:cs="Times New Roman"/>
                <w:color w:val="auto"/>
                <w:kern w:val="2"/>
                <w:szCs w:val="28"/>
              </w:rPr>
              <w:t>会产生</w:t>
            </w:r>
            <w:r>
              <w:rPr>
                <w:rFonts w:hint="eastAsia" w:ascii="Times New Roman" w:cs="Times New Roman"/>
                <w:color w:val="auto"/>
                <w:kern w:val="2"/>
                <w:szCs w:val="28"/>
              </w:rPr>
              <w:t>不合格</w:t>
            </w:r>
            <w:r>
              <w:rPr>
                <w:rFonts w:hint="eastAsia" w:ascii="Times New Roman" w:cs="Times New Roman"/>
                <w:color w:val="auto"/>
                <w:kern w:val="2"/>
                <w:szCs w:val="28"/>
                <w:lang w:val="en-US" w:eastAsia="zh-CN"/>
              </w:rPr>
              <w:t>产品</w:t>
            </w:r>
            <w:r>
              <w:rPr>
                <w:rFonts w:hint="default" w:ascii="Times New Roman" w:cs="Times New Roman"/>
                <w:color w:val="auto"/>
                <w:kern w:val="2"/>
                <w:szCs w:val="28"/>
              </w:rPr>
              <w:t>（</w:t>
            </w:r>
            <w:r>
              <w:rPr>
                <w:rFonts w:hint="eastAsia" w:ascii="Times New Roman" w:cs="Times New Roman"/>
                <w:color w:val="auto"/>
                <w:kern w:val="2"/>
                <w:szCs w:val="28"/>
              </w:rPr>
              <w:t>S</w:t>
            </w:r>
            <w:r>
              <w:rPr>
                <w:rFonts w:hint="eastAsia" w:ascii="Times New Roman" w:cs="Times New Roman"/>
                <w:color w:val="auto"/>
                <w:kern w:val="2"/>
                <w:szCs w:val="28"/>
                <w:vertAlign w:val="subscript"/>
              </w:rPr>
              <w:t>1</w:t>
            </w:r>
            <w:r>
              <w:rPr>
                <w:rFonts w:hint="default" w:ascii="Times New Roman" w:cs="Times New Roman"/>
                <w:color w:val="auto"/>
                <w:kern w:val="2"/>
                <w:szCs w:val="28"/>
              </w:rPr>
              <w:t>），经收集后委托厂家处理</w:t>
            </w:r>
            <w:r>
              <w:rPr>
                <w:rFonts w:hint="eastAsia" w:ascii="Times New Roman" w:hAnsi="Times New Roman" w:cs="Times New Roman"/>
                <w:bCs/>
                <w:color w:val="auto"/>
                <w:kern w:val="2"/>
              </w:rPr>
              <w:t>。</w:t>
            </w:r>
          </w:p>
          <w:p w14:paraId="492877BA">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cs="Times New Roman"/>
                <w:color w:val="auto"/>
                <w:kern w:val="2"/>
              </w:rPr>
            </w:pPr>
            <w:r>
              <w:rPr>
                <w:rFonts w:hint="eastAsia"/>
                <w:color w:val="auto"/>
                <w:kern w:val="2"/>
              </w:rPr>
              <w:t>⑥</w:t>
            </w:r>
            <w:r>
              <w:rPr>
                <w:rFonts w:hint="default"/>
                <w:color w:val="auto"/>
                <w:kern w:val="2"/>
              </w:rPr>
              <w:t>总成下线</w:t>
            </w:r>
            <w:r>
              <w:rPr>
                <w:rFonts w:hint="eastAsia"/>
                <w:color w:val="auto"/>
                <w:kern w:val="2"/>
              </w:rPr>
              <w:t>：</w:t>
            </w:r>
            <w:r>
              <w:rPr>
                <w:rFonts w:hint="default"/>
                <w:color w:val="auto"/>
                <w:kern w:val="2"/>
              </w:rPr>
              <w:t>合格的变速箱总成下线，进入仓储或发运环节，完成整个生产流程</w:t>
            </w:r>
            <w:r>
              <w:rPr>
                <w:rFonts w:hint="eastAsia" w:ascii="Times New Roman" w:cs="Times New Roman"/>
                <w:color w:val="auto"/>
                <w:kern w:val="2"/>
              </w:rPr>
              <w:t>。</w:t>
            </w:r>
          </w:p>
          <w:p w14:paraId="168822DA">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eastAsia" w:ascii="Times New Roman" w:cs="Times New Roman"/>
                <w:b/>
                <w:color w:val="auto"/>
                <w:kern w:val="2"/>
                <w:szCs w:val="28"/>
              </w:rPr>
              <w:t>产污环节分析及治理措施</w:t>
            </w:r>
            <w:r>
              <w:rPr>
                <w:rFonts w:hint="default" w:ascii="Times New Roman" w:cs="Times New Roman"/>
                <w:b/>
                <w:color w:val="auto"/>
                <w:kern w:val="2"/>
                <w:szCs w:val="28"/>
              </w:rPr>
              <w:t>：</w:t>
            </w:r>
            <w:r>
              <w:rPr>
                <w:rFonts w:hint="eastAsia" w:ascii="Times New Roman" w:cs="Times New Roman"/>
                <w:color w:val="auto"/>
                <w:kern w:val="2"/>
              </w:rPr>
              <w:t>此工序无污染物产生</w:t>
            </w:r>
            <w:r>
              <w:rPr>
                <w:rFonts w:hint="eastAsia" w:ascii="Times New Roman" w:hAnsi="Times New Roman" w:cs="Times New Roman"/>
                <w:bCs/>
                <w:color w:val="auto"/>
                <w:kern w:val="2"/>
              </w:rPr>
              <w:t>。</w:t>
            </w:r>
          </w:p>
          <w:p w14:paraId="1CD75327">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
                <w:color w:val="auto"/>
                <w:kern w:val="2"/>
              </w:rPr>
            </w:pPr>
            <w:r>
              <w:rPr>
                <w:rFonts w:hint="eastAsia" w:ascii="Times New Roman" w:hAnsi="Times New Roman" w:cs="Times New Roman"/>
                <w:b/>
                <w:color w:val="auto"/>
                <w:kern w:val="2"/>
              </w:rPr>
              <w:t>（4）清洗线</w:t>
            </w:r>
          </w:p>
          <w:p w14:paraId="70AE4889">
            <w:pPr>
              <w:keepNext w:val="0"/>
              <w:keepLines w:val="0"/>
              <w:widowControl/>
              <w:suppressLineNumbers w:val="0"/>
              <w:spacing w:before="0" w:beforeAutospacing="0" w:after="0" w:afterAutospacing="0" w:line="360" w:lineRule="auto"/>
              <w:ind w:left="0" w:right="0"/>
              <w:jc w:val="center"/>
              <w:rPr>
                <w:rFonts w:hint="default" w:ascii="Times New Roman" w:hAnsi="黑体" w:eastAsia="黑体" w:cs="Times New Roman"/>
                <w:bCs/>
                <w:color w:val="auto"/>
                <w:kern w:val="2"/>
              </w:rPr>
            </w:pPr>
            <w:r>
              <w:rPr>
                <w:rFonts w:hint="default" w:ascii="Times New Roman" w:hAnsi="黑体" w:eastAsia="黑体" w:cs="Times New Roman"/>
                <w:bCs/>
                <w:color w:val="auto"/>
                <w:kern w:val="2"/>
              </w:rPr>
              <w:drawing>
                <wp:inline distT="0" distB="0" distL="114300" distR="114300">
                  <wp:extent cx="3096260" cy="4977765"/>
                  <wp:effectExtent l="0" t="0" r="8890" b="0"/>
                  <wp:docPr id="5" name="E657119C-6982-421D-8BA7-E74DEB70A7D9-2" descr="C:/Users/Administrator/AppData/Local/Temp/wps.cJqty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657119C-6982-421D-8BA7-E74DEB70A7D9-2" descr="C:/Users/Administrator/AppData/Local/Temp/wps.cJqtyZwps"/>
                          <pic:cNvPicPr>
                            <a:picLocks noChangeAspect="1"/>
                          </pic:cNvPicPr>
                        </pic:nvPicPr>
                        <pic:blipFill>
                          <a:blip r:embed="rId11"/>
                          <a:stretch>
                            <a:fillRect/>
                          </a:stretch>
                        </pic:blipFill>
                        <pic:spPr>
                          <a:xfrm>
                            <a:off x="0" y="0"/>
                            <a:ext cx="3096260" cy="4977765"/>
                          </a:xfrm>
                          <a:prstGeom prst="rect">
                            <a:avLst/>
                          </a:prstGeom>
                        </pic:spPr>
                      </pic:pic>
                    </a:graphicData>
                  </a:graphic>
                </wp:inline>
              </w:drawing>
            </w:r>
          </w:p>
          <w:p w14:paraId="60E9ADCD">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cs="Times New Roman"/>
                <w:bCs/>
                <w:color w:val="auto"/>
                <w:kern w:val="2"/>
              </w:rPr>
            </w:pPr>
            <w:r>
              <w:rPr>
                <w:rFonts w:hint="default" w:ascii="Times New Roman" w:hAnsi="黑体" w:eastAsia="黑体" w:cs="Times New Roman"/>
                <w:bCs/>
                <w:color w:val="auto"/>
                <w:kern w:val="2"/>
              </w:rPr>
              <w:t>图</w:t>
            </w:r>
            <w:r>
              <w:rPr>
                <w:rFonts w:hint="default" w:ascii="Times New Roman" w:hAnsi="Times New Roman" w:eastAsia="黑体" w:cs="Times New Roman"/>
                <w:bCs/>
                <w:color w:val="auto"/>
                <w:kern w:val="2"/>
              </w:rPr>
              <w:t>2-</w:t>
            </w:r>
            <w:r>
              <w:rPr>
                <w:rFonts w:hint="eastAsia" w:ascii="Times New Roman" w:hAnsi="Times New Roman" w:eastAsia="黑体" w:cs="Times New Roman"/>
                <w:bCs/>
                <w:color w:val="auto"/>
                <w:kern w:val="2"/>
                <w:lang w:val="en-US" w:eastAsia="zh-CN"/>
              </w:rPr>
              <w:t>3</w:t>
            </w:r>
            <w:r>
              <w:rPr>
                <w:rFonts w:hint="eastAsia" w:ascii="Times New Roman" w:hAnsi="Times New Roman" w:eastAsia="黑体" w:cs="Times New Roman"/>
                <w:bCs/>
                <w:color w:val="auto"/>
                <w:kern w:val="2"/>
              </w:rPr>
              <w:t xml:space="preserve">  碳氢清洗工艺流程</w:t>
            </w:r>
            <w:r>
              <w:rPr>
                <w:rFonts w:hint="default" w:ascii="Times New Roman" w:hAnsi="黑体" w:eastAsia="黑体" w:cs="Times New Roman"/>
                <w:bCs/>
                <w:color w:val="auto"/>
                <w:kern w:val="2"/>
              </w:rPr>
              <w:t>图</w:t>
            </w:r>
          </w:p>
          <w:p w14:paraId="394419EF">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cs="Times New Roman"/>
                <w:bCs/>
                <w:color w:val="auto"/>
                <w:kern w:val="2"/>
              </w:rPr>
            </w:pPr>
          </w:p>
          <w:p w14:paraId="1A5773A5">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Cs/>
                <w:color w:val="auto"/>
                <w:kern w:val="2"/>
              </w:rPr>
            </w:pPr>
            <w:r>
              <w:rPr>
                <w:rFonts w:hint="default" w:ascii="Times New Roman" w:hAnsi="黑体" w:eastAsia="黑体" w:cs="Times New Roman"/>
                <w:bCs/>
                <w:color w:val="auto"/>
                <w:kern w:val="2"/>
              </w:rPr>
              <w:drawing>
                <wp:inline distT="0" distB="0" distL="114300" distR="114300">
                  <wp:extent cx="5177790" cy="3116580"/>
                  <wp:effectExtent l="0" t="0" r="3810" b="7620"/>
                  <wp:docPr id="6" name="E657119C-6982-421D-8BA7-E74DEB70A7D9-3" descr="C:/Users/Administrator/AppData/Local/Temp/wps.uyRsN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657119C-6982-421D-8BA7-E74DEB70A7D9-3" descr="C:/Users/Administrator/AppData/Local/Temp/wps.uyRsNrwps"/>
                          <pic:cNvPicPr>
                            <a:picLocks noChangeAspect="1"/>
                          </pic:cNvPicPr>
                        </pic:nvPicPr>
                        <pic:blipFill>
                          <a:blip r:embed="rId12"/>
                          <a:stretch>
                            <a:fillRect/>
                          </a:stretch>
                        </pic:blipFill>
                        <pic:spPr>
                          <a:xfrm>
                            <a:off x="0" y="0"/>
                            <a:ext cx="5177790" cy="3116580"/>
                          </a:xfrm>
                          <a:prstGeom prst="rect">
                            <a:avLst/>
                          </a:prstGeom>
                        </pic:spPr>
                      </pic:pic>
                    </a:graphicData>
                  </a:graphic>
                </wp:inline>
              </w:drawing>
            </w:r>
            <w:r>
              <w:rPr>
                <w:rFonts w:hint="default" w:ascii="Times New Roman" w:hAnsi="黑体" w:eastAsia="黑体" w:cs="Times New Roman"/>
                <w:bCs/>
                <w:color w:val="auto"/>
                <w:kern w:val="2"/>
              </w:rPr>
              <w:t>图</w:t>
            </w:r>
            <w:r>
              <w:rPr>
                <w:rFonts w:hint="default" w:ascii="Times New Roman" w:hAnsi="Times New Roman" w:eastAsia="黑体" w:cs="Times New Roman"/>
                <w:bCs/>
                <w:color w:val="auto"/>
                <w:kern w:val="2"/>
              </w:rPr>
              <w:t>2-</w:t>
            </w:r>
            <w:r>
              <w:rPr>
                <w:rFonts w:hint="eastAsia" w:ascii="Times New Roman" w:hAnsi="Times New Roman" w:eastAsia="黑体" w:cs="Times New Roman"/>
                <w:bCs/>
                <w:color w:val="auto"/>
                <w:kern w:val="2"/>
                <w:lang w:val="en-US" w:eastAsia="zh-CN"/>
              </w:rPr>
              <w:t>4</w:t>
            </w:r>
            <w:r>
              <w:rPr>
                <w:rFonts w:hint="eastAsia" w:ascii="Times New Roman" w:hAnsi="Times New Roman" w:eastAsia="黑体" w:cs="Times New Roman"/>
                <w:bCs/>
                <w:color w:val="auto"/>
                <w:kern w:val="2"/>
              </w:rPr>
              <w:t xml:space="preserve">  碳氢清洗剂蒸馏再生、冷凝回收工艺流程</w:t>
            </w:r>
            <w:r>
              <w:rPr>
                <w:rFonts w:hint="default" w:ascii="Times New Roman" w:hAnsi="黑体" w:eastAsia="黑体" w:cs="Times New Roman"/>
                <w:bCs/>
                <w:color w:val="auto"/>
                <w:kern w:val="2"/>
              </w:rPr>
              <w:t>图</w:t>
            </w:r>
          </w:p>
          <w:p w14:paraId="07143027">
            <w:pPr>
              <w:keepNext w:val="0"/>
              <w:keepLines w:val="0"/>
              <w:widowControl/>
              <w:suppressLineNumbers w:val="0"/>
              <w:spacing w:before="0" w:beforeAutospacing="0" w:after="0" w:afterAutospacing="0" w:line="360" w:lineRule="auto"/>
              <w:ind w:left="0" w:right="0" w:firstLine="482" w:firstLineChars="200"/>
              <w:jc w:val="both"/>
              <w:rPr>
                <w:rFonts w:hint="default" w:ascii="Times New Roman" w:hAnsi="Times New Roman" w:cs="Times New Roman"/>
                <w:color w:val="auto"/>
                <w:kern w:val="2"/>
              </w:rPr>
            </w:pPr>
            <w:r>
              <w:rPr>
                <w:rFonts w:hint="default" w:ascii="Times New Roman" w:hAnsi="Times New Roman" w:cs="Times New Roman"/>
                <w:b/>
                <w:bCs/>
                <w:color w:val="auto"/>
                <w:kern w:val="2"/>
              </w:rPr>
              <w:t>碳氢清洗工艺流程说明：</w:t>
            </w:r>
          </w:p>
          <w:p w14:paraId="1BF0FC1A">
            <w:pPr>
              <w:keepNext w:val="0"/>
              <w:keepLines w:val="0"/>
              <w:widowControl/>
              <w:suppressLineNumbers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kern w:val="2"/>
                <w:lang w:eastAsia="zh-CN"/>
              </w:rPr>
            </w:pPr>
            <w:r>
              <w:rPr>
                <w:rFonts w:hint="default" w:ascii="Times New Roman" w:hAnsi="Times New Roman" w:cs="Times New Roman"/>
                <w:bCs/>
                <w:color w:val="auto"/>
                <w:kern w:val="2"/>
              </w:rPr>
              <w:t>①来料清洗：</w:t>
            </w:r>
            <w:r>
              <w:rPr>
                <w:rFonts w:hint="default" w:ascii="Times New Roman" w:hAnsi="Times New Roman" w:cs="Times New Roman"/>
                <w:color w:val="auto"/>
                <w:kern w:val="2"/>
              </w:rPr>
              <w:t>部分来料沾染油污需用清洗剂对原材料表面污染物或覆盖层进行清洗以达到去污的效果。本项目主要是清洗工件表面残留的油液和机械加工碎屑，如来料工件干净，一般就不需要清洗。本项目均为成套碳氢清洗设备，包括</w:t>
            </w:r>
            <w:r>
              <w:rPr>
                <w:rFonts w:hint="default" w:ascii="Times New Roman" w:hAnsi="Times New Roman" w:cs="Times New Roman"/>
                <w:color w:val="auto"/>
                <w:kern w:val="2"/>
                <w:highlight w:val="none"/>
              </w:rPr>
              <w:t>真空浸泡清洗、真空超声波浸泡清洗和真空干燥工序，</w:t>
            </w:r>
            <w:r>
              <w:rPr>
                <w:rFonts w:hint="default" w:ascii="Times New Roman" w:hAnsi="Times New Roman" w:cs="Times New Roman"/>
                <w:color w:val="auto"/>
                <w:kern w:val="2"/>
              </w:rPr>
              <w:t>该清洗机不需要用水漂洗，清洗用的碳氢清洗剂循环使用，该装置真空密闭，极少量VOCs在出料口出料时挥发。清洗过程中检查有不合格零件收集后暂存一般固废间，统一返厂处理</w:t>
            </w:r>
            <w:ins w:id="1" w:author="hzhj" w:date="2026-04-30T15:46:52Z">
              <w:r>
                <w:rPr>
                  <w:rFonts w:hint="eastAsia" w:ascii="Times New Roman" w:hAnsi="Times New Roman" w:cs="Times New Roman"/>
                  <w:color w:val="auto"/>
                  <w:kern w:val="2"/>
                  <w:lang w:eastAsia="zh-CN"/>
                </w:rPr>
                <w:t>。</w:t>
              </w:r>
            </w:ins>
          </w:p>
          <w:p w14:paraId="46924578">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default" w:ascii="Times New Roman" w:hAnsi="Times New Roman" w:cs="Times New Roman"/>
                <w:color w:val="auto"/>
                <w:kern w:val="2"/>
              </w:rPr>
              <w:t>本项目碳氢清洗工序在全自动清洗装置中密闭进行，工件放入清洗篮，放置上料台后通过传送带送入清洗机内，使用机械臂抓取篮筐放入清洗槽中，依次进行</w:t>
            </w:r>
            <w:r>
              <w:rPr>
                <w:rFonts w:hint="default" w:ascii="Times New Roman" w:hAnsi="Times New Roman" w:cs="Times New Roman"/>
                <w:color w:val="auto"/>
                <w:kern w:val="2"/>
                <w:highlight w:val="none"/>
              </w:rPr>
              <w:t>真空浸泡清洗、真空超声波浸泡清洗和真空干燥工序</w:t>
            </w:r>
            <w:r>
              <w:rPr>
                <w:rFonts w:hint="default" w:ascii="Times New Roman" w:hAnsi="Times New Roman" w:cs="Times New Roman"/>
                <w:color w:val="auto"/>
                <w:kern w:val="2"/>
              </w:rPr>
              <w:t>，最后经出料台自动将清洗篮送出。</w:t>
            </w:r>
          </w:p>
          <w:p w14:paraId="2242D237">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default" w:ascii="Times New Roman" w:hAnsi="Times New Roman" w:cs="Times New Roman"/>
                <w:color w:val="auto"/>
                <w:kern w:val="2"/>
              </w:rPr>
              <w:t>A、真空浸泡清洗1、真空超声波浸泡清洗2、3</w:t>
            </w:r>
          </w:p>
          <w:p w14:paraId="4B5EF0B2">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default" w:ascii="Times New Roman" w:hAnsi="Times New Roman" w:cs="Times New Roman"/>
                <w:color w:val="auto"/>
                <w:kern w:val="2"/>
              </w:rPr>
              <w:t>本项目工件上料至碳氢清洗机，利用相似相溶原理，去除表面油污。常温作业，采用碳氢清洗剂。浸泡清洗槽每</w:t>
            </w:r>
            <w:r>
              <w:rPr>
                <w:rFonts w:hint="eastAsia" w:ascii="Times New Roman" w:hAnsi="Times New Roman" w:cs="Times New Roman"/>
                <w:color w:val="auto"/>
                <w:kern w:val="2"/>
                <w:lang w:val="en-US" w:eastAsia="zh-CN"/>
              </w:rPr>
              <w:t>2</w:t>
            </w:r>
            <w:r>
              <w:rPr>
                <w:rFonts w:hint="default" w:ascii="Times New Roman" w:hAnsi="Times New Roman" w:cs="Times New Roman"/>
                <w:color w:val="auto"/>
                <w:kern w:val="2"/>
              </w:rPr>
              <w:t>个月整槽更换1次，更换时按照后道清洗槽内的工作液整槽更换至前道清洗槽（即真空超声波浸泡清洗3槽更换下的工作液回用至真空超声波浸泡清洗2槽，真空超声波浸泡清洗2槽更换下的工作液回用至真空浸泡清洗1槽，真空浸泡清洗1槽更换下的废槽液作为危废）。</w:t>
            </w:r>
          </w:p>
          <w:p w14:paraId="0DC8B0D5">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szCs w:val="28"/>
              </w:rPr>
              <w:t>此工序会产生</w:t>
            </w:r>
            <w:r>
              <w:rPr>
                <w:rFonts w:hint="eastAsia" w:ascii="Times New Roman" w:hAnsi="Times New Roman" w:cs="Times New Roman"/>
                <w:color w:val="auto"/>
                <w:kern w:val="2"/>
                <w:lang w:val="en-US" w:eastAsia="zh-CN"/>
              </w:rPr>
              <w:t>废槽液</w:t>
            </w:r>
            <w:r>
              <w:rPr>
                <w:rFonts w:hint="default" w:ascii="Times New Roman" w:hAnsi="Times New Roman" w:cs="Times New Roman"/>
                <w:color w:val="auto"/>
                <w:kern w:val="2"/>
                <w:szCs w:val="28"/>
              </w:rPr>
              <w:t>（S</w:t>
            </w:r>
            <w:r>
              <w:rPr>
                <w:rFonts w:hint="eastAsia" w:ascii="Times New Roman" w:hAnsi="Times New Roman" w:cs="Times New Roman"/>
                <w:color w:val="auto"/>
                <w:kern w:val="2"/>
                <w:szCs w:val="28"/>
                <w:vertAlign w:val="subscript"/>
                <w:lang w:val="en-US" w:eastAsia="zh-CN"/>
              </w:rPr>
              <w:t>3</w:t>
            </w:r>
            <w:r>
              <w:rPr>
                <w:rFonts w:hint="default" w:ascii="Times New Roman" w:hAnsi="Times New Roman" w:cs="Times New Roman"/>
                <w:color w:val="auto"/>
                <w:kern w:val="2"/>
                <w:szCs w:val="28"/>
              </w:rPr>
              <w:t>），经收集后委托</w:t>
            </w:r>
            <w:r>
              <w:rPr>
                <w:rFonts w:hint="eastAsia" w:ascii="Times New Roman" w:hAnsi="Times New Roman" w:cs="Times New Roman"/>
                <w:color w:val="auto"/>
                <w:kern w:val="2"/>
                <w:szCs w:val="28"/>
                <w:lang w:val="en-US" w:eastAsia="zh-CN"/>
              </w:rPr>
              <w:t>蚌委托有资质单位定期</w:t>
            </w:r>
            <w:r>
              <w:rPr>
                <w:rFonts w:hint="default" w:ascii="Times New Roman" w:hAnsi="Times New Roman" w:cs="Times New Roman"/>
                <w:color w:val="auto"/>
                <w:kern w:val="2"/>
                <w:szCs w:val="28"/>
              </w:rPr>
              <w:t>处理</w:t>
            </w:r>
            <w:r>
              <w:rPr>
                <w:rFonts w:hint="default" w:ascii="Times New Roman" w:hAnsi="Times New Roman" w:cs="Times New Roman"/>
                <w:bCs/>
                <w:color w:val="auto"/>
                <w:kern w:val="2"/>
              </w:rPr>
              <w:t>。</w:t>
            </w:r>
          </w:p>
          <w:p w14:paraId="088E9CDF">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default" w:ascii="Times New Roman" w:hAnsi="Times New Roman" w:cs="Times New Roman"/>
                <w:color w:val="auto"/>
                <w:kern w:val="2"/>
              </w:rPr>
              <w:t>B、真空干燥1、2</w:t>
            </w:r>
          </w:p>
          <w:p w14:paraId="36FD2077">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default" w:ascii="Times New Roman" w:hAnsi="Times New Roman" w:cs="Times New Roman"/>
                <w:color w:val="auto"/>
                <w:kern w:val="2"/>
              </w:rPr>
              <w:t>真空清洗后的工件利用电加热形成碳氢蒸汽进行干燥，工作温度100~120℃。蒸汽来源真空干燥槽内的碳氢清洗剂在真空状态下电加热形成碳氢蒸汽。</w:t>
            </w:r>
          </w:p>
          <w:p w14:paraId="5D67B98D">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default" w:ascii="Times New Roman" w:hAnsi="Times New Roman" w:cs="Times New Roman"/>
                <w:color w:val="auto"/>
                <w:kern w:val="2"/>
              </w:rPr>
              <w:t>工件进入真空干燥槽后，槽内温度上升并开启真空脱气系统，槽内迅速形成真空状态使清洗剂沸点迅速降低，槽内的碳氢清洗剂在真空条件下受热迅速形成蒸汽挥发，排入配套的蒸气冷凝回收系统，冷凝后的液体回流至真空干燥槽内，少量不凝气（约5%，以非甲烷总烃表征）排入废气处理装置。</w:t>
            </w:r>
          </w:p>
          <w:p w14:paraId="0782DAAA">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szCs w:val="28"/>
              </w:rPr>
              <w:t>此工序会产生清洗废气（G</w:t>
            </w:r>
            <w:r>
              <w:rPr>
                <w:rFonts w:hint="default" w:ascii="Times New Roman" w:hAnsi="Times New Roman" w:cs="Times New Roman"/>
                <w:color w:val="auto"/>
                <w:kern w:val="2"/>
                <w:szCs w:val="28"/>
                <w:vertAlign w:val="subscript"/>
              </w:rPr>
              <w:t>3</w:t>
            </w:r>
            <w:r>
              <w:rPr>
                <w:rFonts w:hint="default" w:ascii="Times New Roman" w:hAnsi="Times New Roman" w:cs="Times New Roman"/>
                <w:color w:val="auto"/>
                <w:kern w:val="2"/>
                <w:szCs w:val="28"/>
              </w:rPr>
              <w:t>），密闭管道收集进入二级活性炭吸附装置（TA001）处理经15m高排气筒（DA001）排放</w:t>
            </w:r>
            <w:r>
              <w:rPr>
                <w:rFonts w:hint="default" w:ascii="Times New Roman" w:hAnsi="Times New Roman" w:cs="Times New Roman"/>
                <w:bCs/>
                <w:color w:val="auto"/>
                <w:kern w:val="2"/>
              </w:rPr>
              <w:t>。</w:t>
            </w:r>
          </w:p>
          <w:p w14:paraId="6C090D05">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default" w:ascii="Times New Roman" w:hAnsi="Times New Roman" w:cs="Times New Roman"/>
                <w:color w:val="auto"/>
                <w:kern w:val="2"/>
              </w:rPr>
              <w:t>C、蒸馏再生系统</w:t>
            </w:r>
          </w:p>
          <w:p w14:paraId="08C44954">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default" w:ascii="Times New Roman" w:hAnsi="Times New Roman" w:cs="Times New Roman"/>
                <w:color w:val="auto"/>
                <w:kern w:val="2"/>
              </w:rPr>
              <w:t>由于浸泡清洗槽内的碳氢清洗剂（旧液）清洗后效果降低，对其设置蒸馏再生系统（工作速率0.01t/h、再生率90%）进行蒸馏再生，再生液排入储液装置循环使用，再生过程中产生的碳氢清洗蒸馏废液（约5%）作为危废，再生过程的不凝气（约</w:t>
            </w:r>
            <w:r>
              <w:rPr>
                <w:rFonts w:hint="eastAsia" w:ascii="Times New Roman" w:hAnsi="Times New Roman" w:cs="Times New Roman"/>
                <w:color w:val="auto"/>
                <w:kern w:val="2"/>
                <w:lang w:val="en-US" w:eastAsia="zh-CN"/>
              </w:rPr>
              <w:t>5</w:t>
            </w:r>
            <w:r>
              <w:rPr>
                <w:rFonts w:hint="default" w:ascii="Times New Roman" w:hAnsi="Times New Roman" w:cs="Times New Roman"/>
                <w:color w:val="auto"/>
                <w:kern w:val="2"/>
              </w:rPr>
              <w:t>%）排入废气处理装置。</w:t>
            </w:r>
          </w:p>
          <w:p w14:paraId="66654306">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cs="Times New Roman"/>
                <w:bCs/>
                <w:color w:val="auto"/>
                <w:kern w:val="2"/>
              </w:rPr>
            </w:pPr>
            <w:r>
              <w:rPr>
                <w:rFonts w:hint="default" w:ascii="Times New Roman" w:hAnsi="Times New Roman" w:cs="Times New Roman"/>
                <w:b/>
                <w:color w:val="auto"/>
                <w:kern w:val="2"/>
                <w:szCs w:val="28"/>
              </w:rPr>
              <w:t>产污环节分析及治理措施：</w:t>
            </w:r>
            <w:r>
              <w:rPr>
                <w:rFonts w:hint="default" w:ascii="Times New Roman" w:hAnsi="Times New Roman" w:cs="Times New Roman"/>
                <w:color w:val="auto"/>
                <w:kern w:val="2"/>
                <w:szCs w:val="28"/>
              </w:rPr>
              <w:t>此工序会产生</w:t>
            </w:r>
            <w:r>
              <w:rPr>
                <w:rFonts w:hint="eastAsia" w:ascii="Times New Roman" w:hAnsi="Times New Roman" w:cs="Times New Roman"/>
                <w:color w:val="auto"/>
                <w:kern w:val="2"/>
                <w:szCs w:val="28"/>
                <w:lang w:val="en-US" w:eastAsia="zh-CN"/>
              </w:rPr>
              <w:t>蒸馏再生</w:t>
            </w:r>
            <w:r>
              <w:rPr>
                <w:rFonts w:hint="default" w:ascii="Times New Roman" w:hAnsi="Times New Roman" w:cs="Times New Roman"/>
                <w:color w:val="auto"/>
                <w:kern w:val="2"/>
                <w:szCs w:val="28"/>
              </w:rPr>
              <w:t>废气（G</w:t>
            </w:r>
            <w:r>
              <w:rPr>
                <w:rFonts w:hint="eastAsia" w:ascii="Times New Roman" w:hAnsi="Times New Roman" w:cs="Times New Roman"/>
                <w:color w:val="auto"/>
                <w:kern w:val="2"/>
                <w:szCs w:val="28"/>
                <w:vertAlign w:val="subscript"/>
                <w:lang w:val="en-US" w:eastAsia="zh-CN"/>
              </w:rPr>
              <w:t>4</w:t>
            </w:r>
            <w:r>
              <w:rPr>
                <w:rFonts w:hint="default" w:ascii="Times New Roman" w:hAnsi="Times New Roman" w:cs="Times New Roman"/>
                <w:color w:val="auto"/>
                <w:kern w:val="2"/>
                <w:szCs w:val="28"/>
              </w:rPr>
              <w:t>），密闭管道收集进入二级活性炭吸附装置（TA001）处理经15m高排气筒（DA001）排放</w:t>
            </w:r>
            <w:r>
              <w:rPr>
                <w:rFonts w:hint="eastAsia" w:ascii="Times New Roman" w:hAnsi="Times New Roman" w:cs="Times New Roman"/>
                <w:color w:val="auto"/>
                <w:kern w:val="2"/>
                <w:szCs w:val="28"/>
                <w:lang w:eastAsia="zh-CN"/>
              </w:rPr>
              <w:t>；</w:t>
            </w:r>
            <w:r>
              <w:rPr>
                <w:rFonts w:hint="default" w:ascii="Times New Roman" w:hAnsi="Times New Roman" w:cs="Times New Roman"/>
                <w:color w:val="auto"/>
                <w:kern w:val="2"/>
                <w:szCs w:val="28"/>
              </w:rPr>
              <w:t>此工序会产生</w:t>
            </w:r>
            <w:r>
              <w:rPr>
                <w:rFonts w:hint="default" w:ascii="Times New Roman" w:hAnsi="Times New Roman" w:cs="Times New Roman"/>
                <w:color w:val="auto"/>
                <w:kern w:val="2"/>
              </w:rPr>
              <w:t>蒸馏废液</w:t>
            </w:r>
            <w:r>
              <w:rPr>
                <w:rFonts w:hint="default" w:ascii="Times New Roman" w:hAnsi="Times New Roman" w:cs="Times New Roman"/>
                <w:color w:val="auto"/>
                <w:kern w:val="2"/>
                <w:szCs w:val="28"/>
              </w:rPr>
              <w:t>（S</w:t>
            </w:r>
            <w:r>
              <w:rPr>
                <w:rFonts w:hint="eastAsia" w:ascii="Times New Roman" w:hAnsi="Times New Roman" w:cs="Times New Roman"/>
                <w:color w:val="auto"/>
                <w:kern w:val="2"/>
                <w:szCs w:val="28"/>
                <w:vertAlign w:val="subscript"/>
                <w:lang w:val="en-US" w:eastAsia="zh-CN"/>
              </w:rPr>
              <w:t>4</w:t>
            </w:r>
            <w:r>
              <w:rPr>
                <w:rFonts w:hint="default" w:ascii="Times New Roman" w:hAnsi="Times New Roman" w:cs="Times New Roman"/>
                <w:color w:val="auto"/>
                <w:kern w:val="2"/>
                <w:szCs w:val="28"/>
              </w:rPr>
              <w:t>），经收集后委托有资质单位</w:t>
            </w:r>
            <w:r>
              <w:rPr>
                <w:rFonts w:hint="eastAsia" w:ascii="Times New Roman" w:hAnsi="Times New Roman" w:cs="Times New Roman"/>
                <w:color w:val="auto"/>
                <w:kern w:val="2"/>
                <w:szCs w:val="28"/>
                <w:lang w:val="en-US" w:eastAsia="zh-CN"/>
              </w:rPr>
              <w:t>定期</w:t>
            </w:r>
            <w:r>
              <w:rPr>
                <w:rFonts w:hint="default" w:ascii="Times New Roman" w:hAnsi="Times New Roman" w:cs="Times New Roman"/>
                <w:color w:val="auto"/>
                <w:kern w:val="2"/>
                <w:szCs w:val="28"/>
              </w:rPr>
              <w:t>处理</w:t>
            </w:r>
            <w:r>
              <w:rPr>
                <w:rFonts w:hint="default" w:ascii="Times New Roman" w:hAnsi="Times New Roman" w:cs="Times New Roman"/>
                <w:bCs/>
                <w:color w:val="auto"/>
                <w:kern w:val="2"/>
              </w:rPr>
              <w:t>。</w:t>
            </w:r>
          </w:p>
          <w:p w14:paraId="7DE439F3">
            <w:pPr>
              <w:keepNext w:val="0"/>
              <w:keepLines w:val="0"/>
              <w:widowControl/>
              <w:suppressLineNumbers w:val="0"/>
              <w:autoSpaceDE w:val="0"/>
              <w:autoSpaceDN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eastAsia="黑体" w:cs="Times New Roman"/>
                <w:bCs/>
                <w:color w:val="auto"/>
                <w:kern w:val="2"/>
              </w:rPr>
              <w:t>表2-</w:t>
            </w:r>
            <w:r>
              <w:rPr>
                <w:rFonts w:hint="eastAsia" w:ascii="Times New Roman" w:hAnsi="Times New Roman" w:eastAsia="黑体" w:cs="Times New Roman"/>
                <w:bCs/>
                <w:color w:val="auto"/>
                <w:kern w:val="2"/>
              </w:rPr>
              <w:t>1</w:t>
            </w:r>
            <w:r>
              <w:rPr>
                <w:rFonts w:hint="eastAsia" w:ascii="Times New Roman" w:hAnsi="Times New Roman" w:eastAsia="黑体" w:cs="Times New Roman"/>
                <w:bCs/>
                <w:color w:val="auto"/>
                <w:kern w:val="2"/>
                <w:lang w:val="en-US" w:eastAsia="zh-CN"/>
              </w:rPr>
              <w:t>0</w:t>
            </w:r>
            <w:r>
              <w:rPr>
                <w:rFonts w:hint="eastAsia" w:ascii="Times New Roman" w:hAnsi="Times New Roman" w:eastAsia="黑体" w:cs="Times New Roman"/>
                <w:bCs/>
                <w:color w:val="auto"/>
                <w:kern w:val="2"/>
              </w:rPr>
              <w:t xml:space="preserve">  </w:t>
            </w:r>
            <w:r>
              <w:rPr>
                <w:rFonts w:hint="default" w:ascii="Times New Roman" w:hAnsi="黑体" w:eastAsia="黑体" w:cs="Times New Roman"/>
                <w:bCs/>
                <w:color w:val="auto"/>
                <w:kern w:val="2"/>
              </w:rPr>
              <w:t>产污环节分析表</w:t>
            </w:r>
          </w:p>
          <w:tbl>
            <w:tblPr>
              <w:tblStyle w:val="23"/>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17"/>
              <w:gridCol w:w="1220"/>
              <w:gridCol w:w="1636"/>
              <w:gridCol w:w="1276"/>
              <w:gridCol w:w="3739"/>
            </w:tblGrid>
            <w:tr w14:paraId="379868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737" w:type="dxa"/>
                  <w:gridSpan w:val="2"/>
                  <w:vAlign w:val="center"/>
                </w:tcPr>
                <w:p w14:paraId="3CB886C3">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b/>
                      <w:color w:val="auto"/>
                      <w:kern w:val="2"/>
                      <w:sz w:val="21"/>
                      <w:szCs w:val="21"/>
                    </w:rPr>
                  </w:pPr>
                  <w:r>
                    <w:rPr>
                      <w:rFonts w:hint="default" w:ascii="Times New Roman" w:hAnsi="宋体"/>
                      <w:b/>
                      <w:color w:val="auto"/>
                      <w:kern w:val="2"/>
                      <w:sz w:val="21"/>
                      <w:szCs w:val="21"/>
                    </w:rPr>
                    <w:t>种类</w:t>
                  </w:r>
                </w:p>
              </w:tc>
              <w:tc>
                <w:tcPr>
                  <w:tcW w:w="1636" w:type="dxa"/>
                  <w:vAlign w:val="center"/>
                </w:tcPr>
                <w:p w14:paraId="2D9704EE">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b/>
                      <w:color w:val="auto"/>
                      <w:kern w:val="2"/>
                      <w:sz w:val="21"/>
                      <w:szCs w:val="21"/>
                    </w:rPr>
                  </w:pPr>
                  <w:r>
                    <w:rPr>
                      <w:rFonts w:hint="default" w:ascii="Times New Roman" w:hAnsi="宋体"/>
                      <w:b/>
                      <w:color w:val="auto"/>
                      <w:kern w:val="2"/>
                      <w:sz w:val="21"/>
                      <w:szCs w:val="21"/>
                    </w:rPr>
                    <w:t>产生工序</w:t>
                  </w:r>
                </w:p>
              </w:tc>
              <w:tc>
                <w:tcPr>
                  <w:tcW w:w="1276" w:type="dxa"/>
                  <w:vAlign w:val="center"/>
                </w:tcPr>
                <w:p w14:paraId="6053009E">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b/>
                      <w:color w:val="auto"/>
                      <w:kern w:val="2"/>
                      <w:sz w:val="21"/>
                      <w:szCs w:val="21"/>
                    </w:rPr>
                  </w:pPr>
                  <w:r>
                    <w:rPr>
                      <w:rFonts w:hint="default" w:ascii="Times New Roman" w:hAnsi="宋体"/>
                      <w:b/>
                      <w:color w:val="auto"/>
                      <w:kern w:val="2"/>
                      <w:sz w:val="21"/>
                      <w:szCs w:val="21"/>
                    </w:rPr>
                    <w:t>污染物</w:t>
                  </w:r>
                </w:p>
              </w:tc>
              <w:tc>
                <w:tcPr>
                  <w:tcW w:w="3739" w:type="dxa"/>
                  <w:vAlign w:val="center"/>
                </w:tcPr>
                <w:p w14:paraId="05DCB0C7">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b/>
                      <w:color w:val="auto"/>
                      <w:kern w:val="2"/>
                      <w:sz w:val="21"/>
                      <w:szCs w:val="21"/>
                      <w:highlight w:val="yellow"/>
                    </w:rPr>
                  </w:pPr>
                  <w:r>
                    <w:rPr>
                      <w:rFonts w:hint="default" w:ascii="Times New Roman" w:hAnsi="宋体"/>
                      <w:b/>
                      <w:color w:val="auto"/>
                      <w:kern w:val="2"/>
                      <w:sz w:val="21"/>
                      <w:szCs w:val="21"/>
                      <w:highlight w:val="none"/>
                    </w:rPr>
                    <w:t>收集方式及治理措施</w:t>
                  </w:r>
                </w:p>
              </w:tc>
            </w:tr>
            <w:tr w14:paraId="5D0C08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7" w:type="dxa"/>
                  <w:vMerge w:val="restart"/>
                  <w:vAlign w:val="center"/>
                </w:tcPr>
                <w:p w14:paraId="4148D7D8">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olor w:val="auto"/>
                      <w:kern w:val="2"/>
                      <w:sz w:val="21"/>
                      <w:szCs w:val="21"/>
                    </w:rPr>
                  </w:pPr>
                  <w:r>
                    <w:rPr>
                      <w:rFonts w:hint="default" w:ascii="Times New Roman" w:hAnsi="宋体"/>
                      <w:color w:val="auto"/>
                      <w:kern w:val="2"/>
                      <w:sz w:val="21"/>
                      <w:szCs w:val="21"/>
                    </w:rPr>
                    <w:t>废气</w:t>
                  </w:r>
                </w:p>
              </w:tc>
              <w:tc>
                <w:tcPr>
                  <w:tcW w:w="1220" w:type="dxa"/>
                  <w:vAlign w:val="center"/>
                </w:tcPr>
                <w:p w14:paraId="34D5BB59">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olor w:val="auto"/>
                      <w:kern w:val="2"/>
                      <w:sz w:val="21"/>
                      <w:szCs w:val="21"/>
                    </w:rPr>
                  </w:pPr>
                  <w:r>
                    <w:rPr>
                      <w:rFonts w:hint="eastAsia" w:ascii="Times New Roman" w:hAnsi="宋体"/>
                      <w:color w:val="auto"/>
                      <w:kern w:val="2"/>
                      <w:sz w:val="21"/>
                      <w:szCs w:val="21"/>
                    </w:rPr>
                    <w:t>涂胶废气</w:t>
                  </w:r>
                  <w:r>
                    <w:rPr>
                      <w:rFonts w:hint="default" w:ascii="Times New Roman" w:hAnsi="宋体"/>
                      <w:color w:val="auto"/>
                      <w:kern w:val="2"/>
                      <w:sz w:val="21"/>
                      <w:szCs w:val="21"/>
                    </w:rPr>
                    <w:t>（</w:t>
                  </w:r>
                  <w:r>
                    <w:rPr>
                      <w:rFonts w:hint="default" w:ascii="Times New Roman" w:hAnsi="Times New Roman"/>
                      <w:color w:val="auto"/>
                      <w:kern w:val="2"/>
                      <w:sz w:val="21"/>
                      <w:szCs w:val="21"/>
                    </w:rPr>
                    <w:t>G</w:t>
                  </w:r>
                  <w:r>
                    <w:rPr>
                      <w:rFonts w:hint="default" w:ascii="Times New Roman" w:hAnsi="Times New Roman"/>
                      <w:color w:val="auto"/>
                      <w:kern w:val="2"/>
                      <w:sz w:val="21"/>
                      <w:szCs w:val="21"/>
                      <w:vertAlign w:val="subscript"/>
                    </w:rPr>
                    <w:t>1</w:t>
                  </w:r>
                  <w:r>
                    <w:rPr>
                      <w:rFonts w:hint="default" w:ascii="Times New Roman" w:hAnsi="宋体"/>
                      <w:color w:val="auto"/>
                      <w:kern w:val="2"/>
                      <w:sz w:val="21"/>
                      <w:szCs w:val="21"/>
                    </w:rPr>
                    <w:t>）</w:t>
                  </w:r>
                </w:p>
              </w:tc>
              <w:tc>
                <w:tcPr>
                  <w:tcW w:w="1636" w:type="dxa"/>
                  <w:vAlign w:val="center"/>
                </w:tcPr>
                <w:p w14:paraId="3363A39E">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olor w:val="auto"/>
                      <w:kern w:val="2"/>
                      <w:sz w:val="21"/>
                      <w:szCs w:val="21"/>
                    </w:rPr>
                  </w:pPr>
                  <w:r>
                    <w:rPr>
                      <w:rFonts w:hint="eastAsia" w:ascii="Times New Roman" w:hAnsi="宋体"/>
                      <w:color w:val="auto"/>
                      <w:kern w:val="2"/>
                      <w:sz w:val="21"/>
                      <w:szCs w:val="21"/>
                    </w:rPr>
                    <w:t>涂胶</w:t>
                  </w:r>
                </w:p>
              </w:tc>
              <w:tc>
                <w:tcPr>
                  <w:tcW w:w="1276" w:type="dxa"/>
                  <w:vAlign w:val="center"/>
                </w:tcPr>
                <w:p w14:paraId="24C18E8D">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olor w:val="auto"/>
                      <w:kern w:val="2"/>
                      <w:sz w:val="21"/>
                      <w:szCs w:val="21"/>
                    </w:rPr>
                  </w:pPr>
                  <w:r>
                    <w:rPr>
                      <w:rFonts w:hint="eastAsia" w:ascii="Times New Roman" w:hAnsi="宋体"/>
                      <w:color w:val="auto"/>
                      <w:kern w:val="2"/>
                      <w:sz w:val="21"/>
                      <w:szCs w:val="21"/>
                    </w:rPr>
                    <w:t>非甲烷总烃</w:t>
                  </w:r>
                </w:p>
              </w:tc>
              <w:tc>
                <w:tcPr>
                  <w:tcW w:w="3739" w:type="dxa"/>
                  <w:vAlign w:val="center"/>
                </w:tcPr>
                <w:p w14:paraId="62BAEEB2">
                  <w:pPr>
                    <w:pStyle w:val="85"/>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olor w:val="auto"/>
                      <w:kern w:val="2"/>
                      <w:sz w:val="21"/>
                      <w:szCs w:val="21"/>
                      <w:highlight w:val="yellow"/>
                      <w:lang w:eastAsia="zh-CN"/>
                    </w:rPr>
                  </w:pPr>
                  <w:r>
                    <w:rPr>
                      <w:rFonts w:hint="eastAsia" w:ascii="Times New Roman" w:hAnsi="宋体"/>
                      <w:color w:val="auto"/>
                      <w:kern w:val="2"/>
                      <w:sz w:val="21"/>
                      <w:szCs w:val="21"/>
                      <w:highlight w:val="none"/>
                      <w:lang w:val="en-US" w:eastAsia="zh-CN"/>
                    </w:rPr>
                    <w:t>/</w:t>
                  </w:r>
                </w:p>
              </w:tc>
            </w:tr>
            <w:tr w14:paraId="2CD132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7" w:type="dxa"/>
                  <w:vMerge w:val="continue"/>
                  <w:vAlign w:val="center"/>
                </w:tcPr>
                <w:p w14:paraId="43EFEBE6">
                  <w:pPr>
                    <w:pStyle w:val="85"/>
                    <w:keepNext w:val="0"/>
                    <w:keepLines w:val="0"/>
                    <w:widowControl/>
                    <w:suppressLineNumbers w:val="0"/>
                    <w:spacing w:before="0" w:beforeAutospacing="0" w:after="0" w:afterAutospacing="0" w:line="240" w:lineRule="auto"/>
                    <w:ind w:left="0" w:right="0" w:firstLine="420"/>
                    <w:jc w:val="center"/>
                    <w:rPr>
                      <w:rFonts w:hint="default" w:ascii="Times New Roman" w:hAnsi="Times New Roman"/>
                      <w:color w:val="auto"/>
                      <w:kern w:val="2"/>
                      <w:sz w:val="21"/>
                      <w:szCs w:val="21"/>
                    </w:rPr>
                  </w:pPr>
                </w:p>
              </w:tc>
              <w:tc>
                <w:tcPr>
                  <w:tcW w:w="1220" w:type="dxa"/>
                  <w:vAlign w:val="center"/>
                </w:tcPr>
                <w:p w14:paraId="6525DEF6">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olor w:val="auto"/>
                      <w:kern w:val="2"/>
                      <w:sz w:val="21"/>
                      <w:szCs w:val="21"/>
                    </w:rPr>
                  </w:pPr>
                  <w:r>
                    <w:rPr>
                      <w:rFonts w:hint="eastAsia" w:ascii="Times New Roman" w:hAnsi="宋体"/>
                      <w:color w:val="auto"/>
                      <w:kern w:val="2"/>
                      <w:sz w:val="21"/>
                      <w:szCs w:val="21"/>
                    </w:rPr>
                    <w:t>加油废气</w:t>
                  </w:r>
                  <w:r>
                    <w:rPr>
                      <w:rFonts w:hint="default" w:ascii="Times New Roman" w:hAnsi="宋体"/>
                      <w:color w:val="auto"/>
                      <w:kern w:val="2"/>
                      <w:sz w:val="21"/>
                      <w:szCs w:val="21"/>
                    </w:rPr>
                    <w:t>（</w:t>
                  </w:r>
                  <w:r>
                    <w:rPr>
                      <w:rFonts w:hint="default" w:ascii="Times New Roman" w:hAnsi="Times New Roman"/>
                      <w:color w:val="auto"/>
                      <w:kern w:val="2"/>
                      <w:sz w:val="21"/>
                      <w:szCs w:val="21"/>
                    </w:rPr>
                    <w:t>G</w:t>
                  </w:r>
                  <w:r>
                    <w:rPr>
                      <w:rFonts w:hint="default" w:ascii="Times New Roman" w:hAnsi="Times New Roman"/>
                      <w:color w:val="auto"/>
                      <w:kern w:val="2"/>
                      <w:sz w:val="21"/>
                      <w:szCs w:val="21"/>
                      <w:vertAlign w:val="subscript"/>
                    </w:rPr>
                    <w:t>2</w:t>
                  </w:r>
                  <w:r>
                    <w:rPr>
                      <w:rFonts w:hint="default" w:ascii="Times New Roman" w:hAnsi="宋体"/>
                      <w:color w:val="auto"/>
                      <w:kern w:val="2"/>
                      <w:sz w:val="21"/>
                      <w:szCs w:val="21"/>
                    </w:rPr>
                    <w:t>）</w:t>
                  </w:r>
                </w:p>
              </w:tc>
              <w:tc>
                <w:tcPr>
                  <w:tcW w:w="1636" w:type="dxa"/>
                  <w:vAlign w:val="center"/>
                </w:tcPr>
                <w:p w14:paraId="2AE8CFCF">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olor w:val="auto"/>
                      <w:kern w:val="2"/>
                      <w:sz w:val="21"/>
                      <w:szCs w:val="21"/>
                    </w:rPr>
                  </w:pPr>
                  <w:r>
                    <w:rPr>
                      <w:rFonts w:hint="eastAsia" w:ascii="Times New Roman" w:hAnsi="宋体"/>
                      <w:color w:val="auto"/>
                      <w:kern w:val="2"/>
                      <w:sz w:val="21"/>
                      <w:szCs w:val="21"/>
                    </w:rPr>
                    <w:t>变速器加油</w:t>
                  </w:r>
                </w:p>
              </w:tc>
              <w:tc>
                <w:tcPr>
                  <w:tcW w:w="1276" w:type="dxa"/>
                  <w:vAlign w:val="center"/>
                </w:tcPr>
                <w:p w14:paraId="083725D6">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olor w:val="auto"/>
                      <w:kern w:val="2"/>
                      <w:sz w:val="21"/>
                      <w:szCs w:val="21"/>
                    </w:rPr>
                  </w:pPr>
                  <w:r>
                    <w:rPr>
                      <w:rFonts w:hint="eastAsia" w:ascii="Times New Roman" w:hAnsi="宋体"/>
                      <w:color w:val="auto"/>
                      <w:kern w:val="2"/>
                      <w:sz w:val="21"/>
                      <w:szCs w:val="21"/>
                    </w:rPr>
                    <w:t>非甲烷总烃</w:t>
                  </w:r>
                </w:p>
              </w:tc>
              <w:tc>
                <w:tcPr>
                  <w:tcW w:w="3739" w:type="dxa"/>
                  <w:vAlign w:val="center"/>
                </w:tcPr>
                <w:p w14:paraId="3414189C">
                  <w:pPr>
                    <w:pStyle w:val="85"/>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Times New Roman" w:eastAsia="宋体"/>
                      <w:color w:val="auto"/>
                      <w:kern w:val="2"/>
                      <w:sz w:val="21"/>
                      <w:szCs w:val="21"/>
                      <w:highlight w:val="yellow"/>
                      <w:lang w:eastAsia="zh-CN"/>
                    </w:rPr>
                  </w:pPr>
                  <w:r>
                    <w:rPr>
                      <w:rFonts w:hint="eastAsia" w:ascii="Times New Roman" w:hAnsi="宋体"/>
                      <w:color w:val="auto"/>
                      <w:kern w:val="2"/>
                      <w:sz w:val="21"/>
                      <w:szCs w:val="21"/>
                      <w:highlight w:val="none"/>
                      <w:lang w:val="en-US" w:eastAsia="zh-CN"/>
                    </w:rPr>
                    <w:t>/</w:t>
                  </w:r>
                </w:p>
              </w:tc>
            </w:tr>
            <w:tr w14:paraId="57BBFE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7" w:type="dxa"/>
                  <w:vMerge w:val="continue"/>
                  <w:vAlign w:val="center"/>
                </w:tcPr>
                <w:p w14:paraId="232E4727">
                  <w:pPr>
                    <w:pStyle w:val="85"/>
                    <w:keepNext w:val="0"/>
                    <w:keepLines w:val="0"/>
                    <w:widowControl/>
                    <w:suppressLineNumbers w:val="0"/>
                    <w:spacing w:before="0" w:beforeAutospacing="0" w:after="0" w:afterAutospacing="0" w:line="240" w:lineRule="auto"/>
                    <w:ind w:left="0" w:right="0" w:firstLine="420"/>
                    <w:jc w:val="center"/>
                    <w:rPr>
                      <w:rFonts w:hint="default" w:ascii="Times New Roman" w:hAnsi="Times New Roman"/>
                      <w:color w:val="auto"/>
                      <w:kern w:val="2"/>
                      <w:sz w:val="21"/>
                      <w:szCs w:val="21"/>
                    </w:rPr>
                  </w:pPr>
                </w:p>
              </w:tc>
              <w:tc>
                <w:tcPr>
                  <w:tcW w:w="1220" w:type="dxa"/>
                  <w:vAlign w:val="center"/>
                </w:tcPr>
                <w:p w14:paraId="423022F7">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olor w:val="auto"/>
                      <w:kern w:val="2"/>
                      <w:sz w:val="21"/>
                      <w:szCs w:val="21"/>
                    </w:rPr>
                  </w:pPr>
                  <w:r>
                    <w:rPr>
                      <w:rFonts w:hint="eastAsia" w:ascii="Times New Roman" w:hAnsi="宋体"/>
                      <w:color w:val="auto"/>
                      <w:kern w:val="2"/>
                      <w:sz w:val="21"/>
                      <w:szCs w:val="21"/>
                    </w:rPr>
                    <w:t>清洗废气</w:t>
                  </w:r>
                  <w:r>
                    <w:rPr>
                      <w:rFonts w:hint="default" w:ascii="Times New Roman" w:hAnsi="宋体"/>
                      <w:color w:val="auto"/>
                      <w:kern w:val="2"/>
                      <w:sz w:val="21"/>
                      <w:szCs w:val="21"/>
                    </w:rPr>
                    <w:t>（</w:t>
                  </w:r>
                  <w:r>
                    <w:rPr>
                      <w:rFonts w:hint="default" w:ascii="Times New Roman" w:hAnsi="Times New Roman"/>
                      <w:color w:val="auto"/>
                      <w:kern w:val="2"/>
                      <w:sz w:val="21"/>
                      <w:szCs w:val="21"/>
                    </w:rPr>
                    <w:t>G</w:t>
                  </w:r>
                  <w:r>
                    <w:rPr>
                      <w:rFonts w:hint="eastAsia" w:ascii="Times New Roman" w:hAnsi="Times New Roman"/>
                      <w:color w:val="auto"/>
                      <w:kern w:val="2"/>
                      <w:sz w:val="21"/>
                      <w:szCs w:val="21"/>
                      <w:vertAlign w:val="subscript"/>
                      <w:lang w:val="en-US" w:eastAsia="zh-CN"/>
                    </w:rPr>
                    <w:t>3</w:t>
                  </w:r>
                  <w:r>
                    <w:rPr>
                      <w:rFonts w:hint="default" w:ascii="Times New Roman" w:hAnsi="宋体"/>
                      <w:color w:val="auto"/>
                      <w:kern w:val="2"/>
                      <w:sz w:val="21"/>
                      <w:szCs w:val="21"/>
                    </w:rPr>
                    <w:t>）</w:t>
                  </w:r>
                </w:p>
              </w:tc>
              <w:tc>
                <w:tcPr>
                  <w:tcW w:w="1636" w:type="dxa"/>
                  <w:vAlign w:val="center"/>
                </w:tcPr>
                <w:p w14:paraId="4CE9A846">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olor w:val="auto"/>
                      <w:kern w:val="2"/>
                      <w:sz w:val="21"/>
                      <w:szCs w:val="21"/>
                    </w:rPr>
                  </w:pPr>
                  <w:r>
                    <w:rPr>
                      <w:rFonts w:hint="eastAsia" w:ascii="Times New Roman" w:hAnsi="宋体"/>
                      <w:color w:val="auto"/>
                      <w:kern w:val="2"/>
                      <w:sz w:val="21"/>
                      <w:szCs w:val="21"/>
                    </w:rPr>
                    <w:t>碳氢清洗</w:t>
                  </w:r>
                </w:p>
              </w:tc>
              <w:tc>
                <w:tcPr>
                  <w:tcW w:w="1276" w:type="dxa"/>
                  <w:vAlign w:val="center"/>
                </w:tcPr>
                <w:p w14:paraId="3C32FBCB">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olor w:val="auto"/>
                      <w:kern w:val="2"/>
                      <w:sz w:val="21"/>
                      <w:szCs w:val="21"/>
                    </w:rPr>
                  </w:pPr>
                  <w:r>
                    <w:rPr>
                      <w:rFonts w:hint="eastAsia" w:ascii="Times New Roman" w:hAnsi="宋体"/>
                      <w:color w:val="auto"/>
                      <w:kern w:val="2"/>
                      <w:sz w:val="21"/>
                      <w:szCs w:val="21"/>
                    </w:rPr>
                    <w:t>非甲烷总烃</w:t>
                  </w:r>
                </w:p>
              </w:tc>
              <w:tc>
                <w:tcPr>
                  <w:tcW w:w="3739" w:type="dxa"/>
                  <w:vAlign w:val="center"/>
                </w:tcPr>
                <w:p w14:paraId="4FC7D85B">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olor w:val="auto"/>
                      <w:kern w:val="2"/>
                      <w:sz w:val="21"/>
                      <w:szCs w:val="21"/>
                    </w:rPr>
                  </w:pPr>
                  <w:r>
                    <w:rPr>
                      <w:rFonts w:hint="default" w:ascii="Times New Roman" w:hAnsi="宋体"/>
                      <w:color w:val="auto"/>
                      <w:kern w:val="2"/>
                      <w:sz w:val="21"/>
                      <w:szCs w:val="21"/>
                    </w:rPr>
                    <w:t>密闭收集</w:t>
                  </w:r>
                  <w:r>
                    <w:rPr>
                      <w:rFonts w:hint="eastAsia" w:ascii="Times New Roman" w:hAnsi="宋体"/>
                      <w:color w:val="auto"/>
                      <w:kern w:val="2"/>
                      <w:sz w:val="21"/>
                      <w:szCs w:val="21"/>
                    </w:rPr>
                    <w:t>，</w:t>
                  </w:r>
                  <w:r>
                    <w:rPr>
                      <w:rFonts w:hint="default" w:ascii="Times New Roman" w:hAnsi="宋体"/>
                      <w:color w:val="auto"/>
                      <w:kern w:val="2"/>
                      <w:sz w:val="21"/>
                      <w:szCs w:val="21"/>
                    </w:rPr>
                    <w:t>二级活性炭吸附装置处理后</w:t>
                  </w:r>
                  <w:r>
                    <w:rPr>
                      <w:rFonts w:hint="eastAsia" w:ascii="Times New Roman" w:hAnsi="宋体"/>
                      <w:color w:val="auto"/>
                      <w:kern w:val="2"/>
                      <w:sz w:val="21"/>
                      <w:szCs w:val="21"/>
                    </w:rPr>
                    <w:t>通过</w:t>
                  </w:r>
                  <w:r>
                    <w:rPr>
                      <w:rFonts w:hint="default" w:ascii="Times New Roman" w:hAnsi="宋体"/>
                      <w:color w:val="auto"/>
                      <w:kern w:val="2"/>
                      <w:sz w:val="21"/>
                      <w:szCs w:val="21"/>
                    </w:rPr>
                    <w:t>15m高排气筒（DA00</w:t>
                  </w:r>
                  <w:r>
                    <w:rPr>
                      <w:rFonts w:hint="eastAsia" w:ascii="Times New Roman" w:hAnsi="宋体"/>
                      <w:color w:val="auto"/>
                      <w:kern w:val="2"/>
                      <w:sz w:val="21"/>
                      <w:szCs w:val="21"/>
                    </w:rPr>
                    <w:t>1</w:t>
                  </w:r>
                  <w:r>
                    <w:rPr>
                      <w:rFonts w:hint="default" w:ascii="Times New Roman" w:hAnsi="宋体"/>
                      <w:color w:val="auto"/>
                      <w:kern w:val="2"/>
                      <w:sz w:val="21"/>
                      <w:szCs w:val="21"/>
                    </w:rPr>
                    <w:t>）排放</w:t>
                  </w:r>
                </w:p>
              </w:tc>
            </w:tr>
            <w:tr w14:paraId="52683D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7" w:type="dxa"/>
                  <w:vMerge w:val="continue"/>
                  <w:vAlign w:val="center"/>
                </w:tcPr>
                <w:p w14:paraId="59A2C973">
                  <w:pPr>
                    <w:pStyle w:val="85"/>
                    <w:keepNext w:val="0"/>
                    <w:keepLines w:val="0"/>
                    <w:widowControl/>
                    <w:suppressLineNumbers w:val="0"/>
                    <w:spacing w:before="0" w:beforeAutospacing="0" w:after="0" w:afterAutospacing="0" w:line="240" w:lineRule="auto"/>
                    <w:ind w:left="0" w:right="0" w:firstLine="420"/>
                    <w:jc w:val="center"/>
                    <w:rPr>
                      <w:rFonts w:hint="default" w:ascii="Times New Roman" w:hAnsi="Times New Roman"/>
                      <w:color w:val="auto"/>
                      <w:kern w:val="2"/>
                      <w:sz w:val="21"/>
                      <w:szCs w:val="21"/>
                    </w:rPr>
                  </w:pPr>
                </w:p>
              </w:tc>
              <w:tc>
                <w:tcPr>
                  <w:tcW w:w="1220" w:type="dxa"/>
                  <w:vAlign w:val="center"/>
                </w:tcPr>
                <w:p w14:paraId="0F54E319">
                  <w:pPr>
                    <w:pStyle w:val="85"/>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宋体"/>
                      <w:color w:val="auto"/>
                      <w:kern w:val="2"/>
                      <w:sz w:val="21"/>
                      <w:szCs w:val="21"/>
                    </w:rPr>
                  </w:pPr>
                  <w:r>
                    <w:rPr>
                      <w:rFonts w:hint="eastAsia" w:ascii="Times New Roman" w:hAnsi="宋体"/>
                      <w:color w:val="auto"/>
                      <w:kern w:val="2"/>
                      <w:sz w:val="21"/>
                      <w:szCs w:val="21"/>
                      <w:lang w:val="en-US" w:eastAsia="zh-CN"/>
                    </w:rPr>
                    <w:t>蒸馏再生</w:t>
                  </w:r>
                  <w:r>
                    <w:rPr>
                      <w:rFonts w:hint="eastAsia" w:ascii="Times New Roman" w:hAnsi="宋体"/>
                      <w:color w:val="auto"/>
                      <w:kern w:val="2"/>
                      <w:sz w:val="21"/>
                      <w:szCs w:val="21"/>
                    </w:rPr>
                    <w:t>废气</w:t>
                  </w:r>
                  <w:r>
                    <w:rPr>
                      <w:rFonts w:hint="default" w:ascii="Times New Roman" w:hAnsi="宋体"/>
                      <w:color w:val="auto"/>
                      <w:kern w:val="2"/>
                      <w:sz w:val="21"/>
                      <w:szCs w:val="21"/>
                    </w:rPr>
                    <w:t>（</w:t>
                  </w:r>
                  <w:r>
                    <w:rPr>
                      <w:rFonts w:hint="default" w:ascii="Times New Roman" w:hAnsi="Times New Roman"/>
                      <w:color w:val="auto"/>
                      <w:kern w:val="2"/>
                      <w:sz w:val="21"/>
                      <w:szCs w:val="21"/>
                    </w:rPr>
                    <w:t>G</w:t>
                  </w:r>
                  <w:r>
                    <w:rPr>
                      <w:rFonts w:hint="eastAsia" w:ascii="Times New Roman" w:hAnsi="Times New Roman"/>
                      <w:color w:val="auto"/>
                      <w:kern w:val="2"/>
                      <w:sz w:val="21"/>
                      <w:szCs w:val="21"/>
                      <w:vertAlign w:val="subscript"/>
                    </w:rPr>
                    <w:t>4</w:t>
                  </w:r>
                  <w:r>
                    <w:rPr>
                      <w:rFonts w:hint="default" w:ascii="Times New Roman" w:hAnsi="宋体"/>
                      <w:color w:val="auto"/>
                      <w:kern w:val="2"/>
                      <w:sz w:val="21"/>
                      <w:szCs w:val="21"/>
                    </w:rPr>
                    <w:t>）</w:t>
                  </w:r>
                </w:p>
              </w:tc>
              <w:tc>
                <w:tcPr>
                  <w:tcW w:w="1636" w:type="dxa"/>
                  <w:vAlign w:val="center"/>
                </w:tcPr>
                <w:p w14:paraId="3AB0836B">
                  <w:pPr>
                    <w:pStyle w:val="85"/>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宋体"/>
                      <w:color w:val="auto"/>
                      <w:kern w:val="2"/>
                      <w:sz w:val="21"/>
                      <w:szCs w:val="21"/>
                    </w:rPr>
                  </w:pPr>
                  <w:r>
                    <w:rPr>
                      <w:rFonts w:hint="eastAsia" w:ascii="Times New Roman" w:hAnsi="宋体"/>
                      <w:color w:val="auto"/>
                      <w:kern w:val="2"/>
                      <w:sz w:val="21"/>
                      <w:szCs w:val="21"/>
                      <w:lang w:val="en-US" w:eastAsia="zh-CN"/>
                    </w:rPr>
                    <w:t>蒸馏再生</w:t>
                  </w:r>
                </w:p>
              </w:tc>
              <w:tc>
                <w:tcPr>
                  <w:tcW w:w="1276" w:type="dxa"/>
                  <w:vAlign w:val="center"/>
                </w:tcPr>
                <w:p w14:paraId="1BB63343">
                  <w:pPr>
                    <w:pStyle w:val="85"/>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宋体"/>
                      <w:color w:val="auto"/>
                      <w:kern w:val="2"/>
                      <w:sz w:val="21"/>
                      <w:szCs w:val="21"/>
                    </w:rPr>
                  </w:pPr>
                  <w:r>
                    <w:rPr>
                      <w:rFonts w:hint="eastAsia" w:ascii="Times New Roman" w:hAnsi="宋体"/>
                      <w:color w:val="auto"/>
                      <w:kern w:val="2"/>
                      <w:sz w:val="21"/>
                      <w:szCs w:val="21"/>
                    </w:rPr>
                    <w:t>非甲烷总烃</w:t>
                  </w:r>
                </w:p>
              </w:tc>
              <w:tc>
                <w:tcPr>
                  <w:tcW w:w="3739" w:type="dxa"/>
                  <w:vAlign w:val="center"/>
                </w:tcPr>
                <w:p w14:paraId="7EF10933">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宋体"/>
                      <w:color w:val="auto"/>
                      <w:kern w:val="2"/>
                      <w:sz w:val="21"/>
                      <w:szCs w:val="21"/>
                    </w:rPr>
                  </w:pPr>
                  <w:r>
                    <w:rPr>
                      <w:rFonts w:hint="default" w:ascii="Times New Roman" w:hAnsi="宋体"/>
                      <w:color w:val="auto"/>
                      <w:kern w:val="2"/>
                      <w:sz w:val="21"/>
                      <w:szCs w:val="21"/>
                    </w:rPr>
                    <w:t>密闭收集</w:t>
                  </w:r>
                  <w:r>
                    <w:rPr>
                      <w:rFonts w:hint="eastAsia" w:ascii="Times New Roman" w:hAnsi="宋体"/>
                      <w:color w:val="auto"/>
                      <w:kern w:val="2"/>
                      <w:sz w:val="21"/>
                      <w:szCs w:val="21"/>
                    </w:rPr>
                    <w:t>，</w:t>
                  </w:r>
                  <w:r>
                    <w:rPr>
                      <w:rFonts w:hint="default" w:ascii="Times New Roman" w:hAnsi="宋体"/>
                      <w:color w:val="auto"/>
                      <w:kern w:val="2"/>
                      <w:sz w:val="21"/>
                      <w:szCs w:val="21"/>
                    </w:rPr>
                    <w:t>二级活性炭吸附装置处理后</w:t>
                  </w:r>
                  <w:r>
                    <w:rPr>
                      <w:rFonts w:hint="eastAsia" w:ascii="Times New Roman" w:hAnsi="宋体"/>
                      <w:color w:val="auto"/>
                      <w:kern w:val="2"/>
                      <w:sz w:val="21"/>
                      <w:szCs w:val="21"/>
                    </w:rPr>
                    <w:t>通过</w:t>
                  </w:r>
                  <w:r>
                    <w:rPr>
                      <w:rFonts w:hint="default" w:ascii="Times New Roman" w:hAnsi="宋体"/>
                      <w:color w:val="auto"/>
                      <w:kern w:val="2"/>
                      <w:sz w:val="21"/>
                      <w:szCs w:val="21"/>
                    </w:rPr>
                    <w:t>15m高排气筒（DA00</w:t>
                  </w:r>
                  <w:r>
                    <w:rPr>
                      <w:rFonts w:hint="eastAsia" w:ascii="Times New Roman" w:hAnsi="宋体"/>
                      <w:color w:val="auto"/>
                      <w:kern w:val="2"/>
                      <w:sz w:val="21"/>
                      <w:szCs w:val="21"/>
                    </w:rPr>
                    <w:t>1</w:t>
                  </w:r>
                  <w:r>
                    <w:rPr>
                      <w:rFonts w:hint="default" w:ascii="Times New Roman" w:hAnsi="宋体"/>
                      <w:color w:val="auto"/>
                      <w:kern w:val="2"/>
                      <w:sz w:val="21"/>
                      <w:szCs w:val="21"/>
                    </w:rPr>
                    <w:t>）排放</w:t>
                  </w:r>
                </w:p>
              </w:tc>
            </w:tr>
            <w:tr w14:paraId="30BAB0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7" w:type="dxa"/>
                  <w:vMerge w:val="restart"/>
                  <w:vAlign w:val="center"/>
                </w:tcPr>
                <w:p w14:paraId="334060B1">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olor w:val="auto"/>
                      <w:kern w:val="2"/>
                      <w:sz w:val="21"/>
                      <w:szCs w:val="21"/>
                    </w:rPr>
                  </w:pPr>
                  <w:r>
                    <w:rPr>
                      <w:rFonts w:hint="default" w:ascii="Times New Roman" w:hAnsi="宋体"/>
                      <w:color w:val="auto"/>
                      <w:kern w:val="2"/>
                      <w:sz w:val="21"/>
                      <w:szCs w:val="21"/>
                    </w:rPr>
                    <w:t>固废</w:t>
                  </w:r>
                </w:p>
              </w:tc>
              <w:tc>
                <w:tcPr>
                  <w:tcW w:w="1220" w:type="dxa"/>
                  <w:vAlign w:val="center"/>
                </w:tcPr>
                <w:p w14:paraId="7FF3DECA">
                  <w:pPr>
                    <w:pStyle w:val="20"/>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不合格零件</w:t>
                  </w:r>
                </w:p>
              </w:tc>
              <w:tc>
                <w:tcPr>
                  <w:tcW w:w="1636" w:type="dxa"/>
                  <w:vAlign w:val="center"/>
                </w:tcPr>
                <w:p w14:paraId="46544566">
                  <w:pPr>
                    <w:pStyle w:val="20"/>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来料清洗、安规测试、气密检测、EOL测试、视觉测试</w:t>
                  </w:r>
                </w:p>
              </w:tc>
              <w:tc>
                <w:tcPr>
                  <w:tcW w:w="1276" w:type="dxa"/>
                  <w:vAlign w:val="center"/>
                </w:tcPr>
                <w:p w14:paraId="539477CA">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olor w:val="auto"/>
                      <w:kern w:val="2"/>
                      <w:sz w:val="21"/>
                      <w:szCs w:val="21"/>
                    </w:rPr>
                  </w:pPr>
                  <w:r>
                    <w:rPr>
                      <w:rFonts w:hint="eastAsia" w:ascii="Times New Roman" w:hAnsi="宋体"/>
                      <w:color w:val="auto"/>
                      <w:kern w:val="2"/>
                      <w:sz w:val="21"/>
                      <w:szCs w:val="21"/>
                    </w:rPr>
                    <w:t>/</w:t>
                  </w:r>
                </w:p>
              </w:tc>
              <w:tc>
                <w:tcPr>
                  <w:tcW w:w="3739" w:type="dxa"/>
                  <w:vAlign w:val="center"/>
                </w:tcPr>
                <w:p w14:paraId="3010B9D7">
                  <w:pPr>
                    <w:pStyle w:val="85"/>
                    <w:keepNext w:val="0"/>
                    <w:keepLines w:val="0"/>
                    <w:widowControl/>
                    <w:suppressLineNumbers w:val="0"/>
                    <w:spacing w:before="0" w:beforeAutospacing="0" w:after="0" w:afterAutospacing="0" w:line="240" w:lineRule="auto"/>
                    <w:ind w:left="0" w:right="0" w:firstLine="199" w:firstLineChars="95"/>
                    <w:jc w:val="center"/>
                    <w:rPr>
                      <w:rFonts w:hint="default" w:ascii="Times New Roman" w:hAnsi="Times New Roman"/>
                      <w:color w:val="auto"/>
                      <w:kern w:val="2"/>
                      <w:sz w:val="21"/>
                      <w:szCs w:val="21"/>
                    </w:rPr>
                  </w:pPr>
                  <w:r>
                    <w:rPr>
                      <w:rFonts w:hint="default" w:ascii="Times New Roman" w:hAnsi="宋体"/>
                      <w:color w:val="auto"/>
                      <w:kern w:val="2"/>
                      <w:sz w:val="21"/>
                      <w:szCs w:val="21"/>
                    </w:rPr>
                    <w:t>收集后委托零件供应厂家处理</w:t>
                  </w:r>
                </w:p>
              </w:tc>
            </w:tr>
            <w:tr w14:paraId="0AA34B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7" w:type="dxa"/>
                  <w:vMerge w:val="continue"/>
                  <w:vAlign w:val="center"/>
                </w:tcPr>
                <w:p w14:paraId="7668F20B">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宋体"/>
                      <w:color w:val="auto"/>
                      <w:kern w:val="2"/>
                      <w:sz w:val="21"/>
                      <w:szCs w:val="21"/>
                    </w:rPr>
                  </w:pPr>
                </w:p>
              </w:tc>
              <w:tc>
                <w:tcPr>
                  <w:tcW w:w="1220" w:type="dxa"/>
                  <w:vAlign w:val="center"/>
                </w:tcPr>
                <w:p w14:paraId="082DE137">
                  <w:pPr>
                    <w:pStyle w:val="20"/>
                    <w:keepNext w:val="0"/>
                    <w:keepLines w:val="0"/>
                    <w:widowControl w:val="0"/>
                    <w:suppressLineNumbers w:val="0"/>
                    <w:autoSpaceDE w:val="0"/>
                    <w:autoSpaceDN w:val="0"/>
                    <w:spacing w:before="0" w:beforeAutospacing="0" w:after="0" w:afterAutospacing="0"/>
                    <w:ind w:left="0" w:right="0"/>
                    <w:jc w:val="center"/>
                    <w:rPr>
                      <w:rFonts w:hint="eastAsia" w:ascii="Times New Roman" w:hAnsi="Times New Roman"/>
                      <w:color w:val="auto"/>
                      <w:kern w:val="2"/>
                      <w:sz w:val="21"/>
                      <w:szCs w:val="21"/>
                    </w:rPr>
                  </w:pPr>
                  <w:r>
                    <w:rPr>
                      <w:rFonts w:hint="eastAsia" w:ascii="Times New Roman" w:hAnsi="Times New Roman"/>
                      <w:color w:val="auto"/>
                      <w:kern w:val="2"/>
                      <w:sz w:val="21"/>
                      <w:szCs w:val="21"/>
                    </w:rPr>
                    <w:t>蒸馏废液</w:t>
                  </w:r>
                </w:p>
              </w:tc>
              <w:tc>
                <w:tcPr>
                  <w:tcW w:w="1636" w:type="dxa"/>
                  <w:vAlign w:val="center"/>
                </w:tcPr>
                <w:p w14:paraId="3C96B066">
                  <w:pPr>
                    <w:pStyle w:val="20"/>
                    <w:keepNext w:val="0"/>
                    <w:keepLines w:val="0"/>
                    <w:widowControl w:val="0"/>
                    <w:suppressLineNumbers w:val="0"/>
                    <w:autoSpaceDE w:val="0"/>
                    <w:autoSpaceDN w:val="0"/>
                    <w:spacing w:before="0" w:beforeAutospacing="0" w:after="0" w:afterAutospacing="0"/>
                    <w:ind w:left="0" w:right="0"/>
                    <w:jc w:val="center"/>
                    <w:rPr>
                      <w:rFonts w:hint="eastAsia" w:ascii="Times New Roman" w:hAnsi="Times New Roman"/>
                      <w:color w:val="auto"/>
                      <w:kern w:val="2"/>
                      <w:sz w:val="21"/>
                      <w:szCs w:val="21"/>
                    </w:rPr>
                  </w:pPr>
                  <w:r>
                    <w:rPr>
                      <w:rFonts w:hint="eastAsia" w:ascii="Times New Roman" w:hAnsi="Times New Roman"/>
                      <w:color w:val="auto"/>
                      <w:kern w:val="2"/>
                      <w:sz w:val="21"/>
                      <w:szCs w:val="21"/>
                    </w:rPr>
                    <w:t>蒸馏再生</w:t>
                  </w:r>
                </w:p>
              </w:tc>
              <w:tc>
                <w:tcPr>
                  <w:tcW w:w="1276" w:type="dxa"/>
                  <w:vAlign w:val="center"/>
                </w:tcPr>
                <w:p w14:paraId="492BBA5B">
                  <w:pPr>
                    <w:pStyle w:val="85"/>
                    <w:keepNext w:val="0"/>
                    <w:keepLines w:val="0"/>
                    <w:widowControl/>
                    <w:suppressLineNumbers w:val="0"/>
                    <w:spacing w:before="0" w:beforeAutospacing="0" w:after="0" w:afterAutospacing="0" w:line="240" w:lineRule="auto"/>
                    <w:ind w:left="0" w:right="0" w:firstLine="0" w:firstLineChars="0"/>
                    <w:jc w:val="center"/>
                    <w:rPr>
                      <w:rFonts w:hint="eastAsia" w:ascii="Times New Roman" w:hAnsi="宋体" w:eastAsia="宋体"/>
                      <w:color w:val="auto"/>
                      <w:kern w:val="2"/>
                      <w:sz w:val="21"/>
                      <w:szCs w:val="21"/>
                      <w:lang w:val="en-US" w:eastAsia="zh-CN"/>
                    </w:rPr>
                  </w:pPr>
                  <w:r>
                    <w:rPr>
                      <w:rFonts w:hint="eastAsia" w:ascii="Times New Roman" w:hAnsi="宋体"/>
                      <w:color w:val="auto"/>
                      <w:kern w:val="2"/>
                      <w:sz w:val="21"/>
                      <w:szCs w:val="21"/>
                      <w:lang w:val="en-US" w:eastAsia="zh-CN"/>
                    </w:rPr>
                    <w:t>/</w:t>
                  </w:r>
                </w:p>
              </w:tc>
              <w:tc>
                <w:tcPr>
                  <w:tcW w:w="3739" w:type="dxa"/>
                  <w:vMerge w:val="restart"/>
                  <w:vAlign w:val="center"/>
                </w:tcPr>
                <w:p w14:paraId="261F78DC">
                  <w:pPr>
                    <w:pStyle w:val="85"/>
                    <w:keepNext w:val="0"/>
                    <w:keepLines w:val="0"/>
                    <w:widowControl/>
                    <w:suppressLineNumbers w:val="0"/>
                    <w:spacing w:before="0" w:beforeAutospacing="0" w:after="0" w:afterAutospacing="0" w:line="240" w:lineRule="auto"/>
                    <w:ind w:left="0" w:right="0" w:firstLine="199" w:firstLineChars="95"/>
                    <w:jc w:val="center"/>
                    <w:rPr>
                      <w:rFonts w:hint="default" w:ascii="Times New Roman" w:hAnsi="宋体"/>
                      <w:color w:val="auto"/>
                      <w:kern w:val="2"/>
                      <w:sz w:val="21"/>
                      <w:szCs w:val="21"/>
                    </w:rPr>
                  </w:pPr>
                  <w:r>
                    <w:rPr>
                      <w:rFonts w:hint="default" w:ascii="Times New Roman" w:hAnsi="宋体"/>
                      <w:color w:val="auto"/>
                      <w:kern w:val="2"/>
                      <w:sz w:val="21"/>
                      <w:szCs w:val="21"/>
                    </w:rPr>
                    <w:t>收集后委托委托有资质单位</w:t>
                  </w:r>
                  <w:r>
                    <w:rPr>
                      <w:rFonts w:hint="eastAsia" w:ascii="Times New Roman" w:hAnsi="宋体"/>
                      <w:color w:val="auto"/>
                      <w:kern w:val="2"/>
                      <w:sz w:val="21"/>
                      <w:szCs w:val="21"/>
                      <w:lang w:val="en-US" w:eastAsia="zh-CN"/>
                    </w:rPr>
                    <w:t>处理处置</w:t>
                  </w:r>
                </w:p>
              </w:tc>
            </w:tr>
            <w:tr w14:paraId="600034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17" w:type="dxa"/>
                  <w:vMerge w:val="continue"/>
                  <w:vAlign w:val="center"/>
                </w:tcPr>
                <w:p w14:paraId="046F7D2A">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宋体"/>
                      <w:color w:val="auto"/>
                      <w:kern w:val="2"/>
                      <w:sz w:val="21"/>
                      <w:szCs w:val="21"/>
                    </w:rPr>
                  </w:pPr>
                </w:p>
              </w:tc>
              <w:tc>
                <w:tcPr>
                  <w:tcW w:w="1220" w:type="dxa"/>
                  <w:vAlign w:val="center"/>
                </w:tcPr>
                <w:p w14:paraId="6926FABE">
                  <w:pPr>
                    <w:pStyle w:val="20"/>
                    <w:keepNext w:val="0"/>
                    <w:keepLines w:val="0"/>
                    <w:widowControl w:val="0"/>
                    <w:suppressLineNumbers w:val="0"/>
                    <w:autoSpaceDE w:val="0"/>
                    <w:autoSpaceDN w:val="0"/>
                    <w:spacing w:before="0" w:beforeAutospacing="0" w:after="0" w:afterAutospacing="0"/>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eastAsia="zh-CN"/>
                    </w:rPr>
                    <w:t>废</w:t>
                  </w:r>
                  <w:r>
                    <w:rPr>
                      <w:rFonts w:hint="eastAsia" w:ascii="Times New Roman" w:hAnsi="Times New Roman"/>
                      <w:color w:val="auto"/>
                      <w:kern w:val="2"/>
                      <w:sz w:val="21"/>
                      <w:szCs w:val="21"/>
                      <w:lang w:val="en-US" w:eastAsia="zh-CN"/>
                    </w:rPr>
                    <w:t>槽液</w:t>
                  </w:r>
                </w:p>
              </w:tc>
              <w:tc>
                <w:tcPr>
                  <w:tcW w:w="1636" w:type="dxa"/>
                  <w:vAlign w:val="center"/>
                </w:tcPr>
                <w:p w14:paraId="1A75EA4B">
                  <w:pPr>
                    <w:pStyle w:val="20"/>
                    <w:keepNext w:val="0"/>
                    <w:keepLines w:val="0"/>
                    <w:widowControl w:val="0"/>
                    <w:suppressLineNumbers w:val="0"/>
                    <w:autoSpaceDE w:val="0"/>
                    <w:autoSpaceDN w:val="0"/>
                    <w:spacing w:before="0" w:beforeAutospacing="0" w:after="0" w:afterAutospacing="0"/>
                    <w:ind w:left="0" w:right="0"/>
                    <w:jc w:val="center"/>
                    <w:rPr>
                      <w:rFonts w:hint="eastAsia" w:ascii="Times New Roman" w:hAnsi="Times New Roman"/>
                      <w:color w:val="auto"/>
                      <w:kern w:val="2"/>
                      <w:sz w:val="21"/>
                      <w:szCs w:val="21"/>
                    </w:rPr>
                  </w:pPr>
                  <w:r>
                    <w:rPr>
                      <w:rFonts w:hint="eastAsia" w:ascii="Times New Roman" w:hAnsi="Times New Roman"/>
                      <w:color w:val="auto"/>
                      <w:kern w:val="2"/>
                      <w:sz w:val="21"/>
                      <w:szCs w:val="21"/>
                    </w:rPr>
                    <w:t>碳氢清洗</w:t>
                  </w:r>
                </w:p>
              </w:tc>
              <w:tc>
                <w:tcPr>
                  <w:tcW w:w="1276" w:type="dxa"/>
                  <w:vAlign w:val="center"/>
                </w:tcPr>
                <w:p w14:paraId="41156DD0">
                  <w:pPr>
                    <w:pStyle w:val="85"/>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宋体"/>
                      <w:color w:val="auto"/>
                      <w:kern w:val="2"/>
                      <w:sz w:val="21"/>
                      <w:szCs w:val="21"/>
                      <w:lang w:val="en-US" w:eastAsia="zh-CN"/>
                    </w:rPr>
                  </w:pPr>
                  <w:r>
                    <w:rPr>
                      <w:rFonts w:hint="eastAsia" w:ascii="Times New Roman" w:hAnsi="宋体"/>
                      <w:color w:val="auto"/>
                      <w:kern w:val="2"/>
                      <w:sz w:val="21"/>
                      <w:szCs w:val="21"/>
                      <w:lang w:val="en-US" w:eastAsia="zh-CN"/>
                    </w:rPr>
                    <w:t>/</w:t>
                  </w:r>
                </w:p>
              </w:tc>
              <w:tc>
                <w:tcPr>
                  <w:tcW w:w="3739" w:type="dxa"/>
                  <w:vMerge w:val="continue"/>
                  <w:vAlign w:val="center"/>
                </w:tcPr>
                <w:p w14:paraId="22592CBF">
                  <w:pPr>
                    <w:pStyle w:val="85"/>
                    <w:keepNext w:val="0"/>
                    <w:keepLines w:val="0"/>
                    <w:widowControl/>
                    <w:suppressLineNumbers w:val="0"/>
                    <w:spacing w:before="0" w:beforeAutospacing="0" w:after="0" w:afterAutospacing="0" w:line="240" w:lineRule="auto"/>
                    <w:ind w:left="0" w:right="0" w:firstLine="199" w:firstLineChars="95"/>
                    <w:jc w:val="center"/>
                    <w:rPr>
                      <w:rFonts w:hint="default" w:ascii="Times New Roman" w:hAnsi="宋体"/>
                      <w:color w:val="auto"/>
                      <w:kern w:val="2"/>
                      <w:sz w:val="21"/>
                      <w:szCs w:val="21"/>
                    </w:rPr>
                  </w:pPr>
                </w:p>
              </w:tc>
            </w:tr>
          </w:tbl>
          <w:p w14:paraId="543382CF">
            <w:pPr>
              <w:keepNext w:val="0"/>
              <w:keepLines w:val="0"/>
              <w:widowControl/>
              <w:suppressLineNumbers w:val="0"/>
              <w:adjustRightInd w:val="0"/>
              <w:snapToGrid w:val="0"/>
              <w:spacing w:before="0" w:beforeAutospacing="0" w:after="0" w:afterAutospacing="0" w:line="360" w:lineRule="auto"/>
              <w:ind w:left="0" w:right="0" w:firstLine="472" w:firstLineChars="196"/>
              <w:rPr>
                <w:rFonts w:hint="default" w:ascii="Times New Roman" w:hAnsi="Times New Roman" w:eastAsia="宋体" w:cs="Times New Roman"/>
                <w:b/>
                <w:color w:val="auto"/>
                <w:kern w:val="2"/>
                <w:lang w:val="en-US" w:eastAsia="zh-CN"/>
              </w:rPr>
            </w:pPr>
            <w:r>
              <w:rPr>
                <w:rFonts w:hint="eastAsia" w:ascii="Times New Roman" w:hAnsi="Times New Roman" w:cs="Times New Roman"/>
                <w:b/>
                <w:color w:val="auto"/>
                <w:kern w:val="2"/>
                <w:lang w:val="en-US" w:eastAsia="zh-CN"/>
              </w:rPr>
              <w:t>碳氢</w:t>
            </w:r>
            <w:r>
              <w:rPr>
                <w:rFonts w:hint="eastAsia" w:ascii="Times New Roman" w:hAnsi="Times New Roman" w:cs="Times New Roman"/>
                <w:b/>
                <w:color w:val="auto"/>
                <w:kern w:val="2"/>
              </w:rPr>
              <w:t>清洗</w:t>
            </w:r>
            <w:r>
              <w:rPr>
                <w:rFonts w:hint="eastAsia" w:ascii="Times New Roman" w:hAnsi="Times New Roman" w:cs="Times New Roman"/>
                <w:b/>
                <w:color w:val="auto"/>
                <w:kern w:val="2"/>
                <w:lang w:val="en-US" w:eastAsia="zh-CN"/>
              </w:rPr>
              <w:t>剂物料平衡核算</w:t>
            </w:r>
          </w:p>
          <w:p w14:paraId="3D6E02FB">
            <w:pPr>
              <w:keepNext w:val="0"/>
              <w:keepLines w:val="0"/>
              <w:widowControl/>
              <w:suppressLineNumbers w:val="0"/>
              <w:spacing w:before="0" w:beforeAutospacing="0" w:after="0" w:afterAutospacing="0" w:line="360" w:lineRule="auto"/>
              <w:ind w:left="0" w:right="0" w:firstLine="480" w:firstLineChars="200"/>
              <w:jc w:val="center"/>
              <w:rPr>
                <w:rFonts w:hint="default" w:ascii="Times New Roman" w:hAnsi="Times New Roman" w:eastAsia="黑体"/>
                <w:bCs/>
                <w:color w:val="auto"/>
                <w:kern w:val="2"/>
                <w:sz w:val="24"/>
                <w:szCs w:val="24"/>
              </w:rPr>
            </w:pPr>
            <w:r>
              <w:rPr>
                <w:rFonts w:hint="default" w:ascii="Times New Roman" w:hAnsi="黑体" w:eastAsia="黑体"/>
                <w:bCs/>
                <w:color w:val="auto"/>
                <w:kern w:val="2"/>
                <w:sz w:val="24"/>
                <w:szCs w:val="24"/>
              </w:rPr>
              <w:t>表</w:t>
            </w:r>
            <w:r>
              <w:rPr>
                <w:rFonts w:hint="default" w:ascii="Times New Roman" w:hAnsi="Times New Roman" w:eastAsia="黑体"/>
                <w:bCs/>
                <w:color w:val="auto"/>
                <w:kern w:val="2"/>
                <w:sz w:val="24"/>
                <w:szCs w:val="24"/>
              </w:rPr>
              <w:t>2-</w:t>
            </w:r>
            <w:r>
              <w:rPr>
                <w:rFonts w:hint="eastAsia" w:ascii="Times New Roman" w:hAnsi="Times New Roman" w:eastAsia="黑体"/>
                <w:bCs/>
                <w:color w:val="auto"/>
                <w:kern w:val="2"/>
                <w:sz w:val="24"/>
                <w:szCs w:val="24"/>
              </w:rPr>
              <w:t>1</w:t>
            </w:r>
            <w:r>
              <w:rPr>
                <w:rFonts w:hint="eastAsia" w:ascii="Times New Roman" w:hAnsi="Times New Roman" w:eastAsia="黑体"/>
                <w:bCs/>
                <w:color w:val="auto"/>
                <w:kern w:val="2"/>
                <w:sz w:val="24"/>
                <w:szCs w:val="24"/>
                <w:lang w:val="en-US" w:eastAsia="zh-CN"/>
              </w:rPr>
              <w:t>1</w:t>
            </w:r>
            <w:r>
              <w:rPr>
                <w:rFonts w:hint="default" w:ascii="Times New Roman" w:hAnsi="Times New Roman" w:eastAsia="黑体"/>
                <w:bCs/>
                <w:color w:val="auto"/>
                <w:kern w:val="2"/>
                <w:sz w:val="24"/>
                <w:szCs w:val="24"/>
              </w:rPr>
              <w:t xml:space="preserve">  </w:t>
            </w:r>
            <w:r>
              <w:rPr>
                <w:rFonts w:hint="eastAsia" w:ascii="Times New Roman" w:hAnsi="Times New Roman" w:eastAsia="黑体"/>
                <w:bCs/>
                <w:color w:val="auto"/>
                <w:kern w:val="2"/>
                <w:sz w:val="24"/>
                <w:szCs w:val="24"/>
              </w:rPr>
              <w:t>碳氢清洗剂</w:t>
            </w:r>
            <w:r>
              <w:rPr>
                <w:rFonts w:hint="default" w:ascii="Times New Roman" w:hAnsi="黑体" w:eastAsia="黑体"/>
                <w:bCs/>
                <w:color w:val="auto"/>
                <w:kern w:val="2"/>
                <w:sz w:val="24"/>
                <w:szCs w:val="24"/>
              </w:rPr>
              <w:t>物料平衡表</w:t>
            </w:r>
          </w:p>
          <w:tbl>
            <w:tblPr>
              <w:tblStyle w:val="23"/>
              <w:tblW w:w="4998" w:type="pct"/>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672"/>
              <w:gridCol w:w="1672"/>
              <w:gridCol w:w="1682"/>
              <w:gridCol w:w="1676"/>
              <w:gridCol w:w="1683"/>
            </w:tblGrid>
            <w:tr w14:paraId="567B13A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97" w:type="pct"/>
                  <w:vMerge w:val="restart"/>
                  <w:tcBorders>
                    <w:top w:val="single" w:color="auto" w:sz="12" w:space="0"/>
                  </w:tcBorders>
                  <w:noWrap w:val="0"/>
                  <w:vAlign w:val="center"/>
                </w:tcPr>
                <w:p w14:paraId="2545F273">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eastAsia" w:ascii="Times New Roman" w:hAnsi="Times New Roman"/>
                      <w:b/>
                      <w:bCs/>
                      <w:color w:val="auto"/>
                      <w:kern w:val="2"/>
                      <w:sz w:val="21"/>
                      <w:szCs w:val="21"/>
                    </w:rPr>
                    <w:t>序号</w:t>
                  </w:r>
                </w:p>
              </w:tc>
              <w:tc>
                <w:tcPr>
                  <w:tcW w:w="2000" w:type="pct"/>
                  <w:gridSpan w:val="2"/>
                  <w:tcBorders>
                    <w:top w:val="single" w:color="auto" w:sz="12" w:space="0"/>
                  </w:tcBorders>
                  <w:noWrap w:val="0"/>
                  <w:vAlign w:val="center"/>
                </w:tcPr>
                <w:p w14:paraId="1FABD4E0">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eastAsia" w:ascii="Times New Roman" w:hAnsi="Times New Roman"/>
                      <w:b/>
                      <w:bCs/>
                      <w:color w:val="auto"/>
                      <w:kern w:val="2"/>
                      <w:sz w:val="21"/>
                      <w:szCs w:val="21"/>
                    </w:rPr>
                    <w:t>入方</w:t>
                  </w:r>
                </w:p>
              </w:tc>
              <w:tc>
                <w:tcPr>
                  <w:tcW w:w="2002" w:type="pct"/>
                  <w:gridSpan w:val="2"/>
                  <w:tcBorders>
                    <w:top w:val="single" w:color="auto" w:sz="12" w:space="0"/>
                  </w:tcBorders>
                  <w:noWrap w:val="0"/>
                  <w:vAlign w:val="center"/>
                </w:tcPr>
                <w:p w14:paraId="28BAD72E">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eastAsia" w:ascii="Times New Roman" w:hAnsi="Times New Roman"/>
                      <w:b/>
                      <w:bCs/>
                      <w:color w:val="auto"/>
                      <w:kern w:val="2"/>
                      <w:sz w:val="21"/>
                      <w:szCs w:val="21"/>
                    </w:rPr>
                    <w:t>出方</w:t>
                  </w:r>
                </w:p>
              </w:tc>
            </w:tr>
            <w:tr w14:paraId="60F6EE0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97" w:type="pct"/>
                  <w:vMerge w:val="continue"/>
                  <w:noWrap w:val="0"/>
                  <w:vAlign w:val="center"/>
                </w:tcPr>
                <w:p w14:paraId="3EFD891F">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p>
              </w:tc>
              <w:tc>
                <w:tcPr>
                  <w:tcW w:w="997" w:type="pct"/>
                  <w:noWrap w:val="0"/>
                  <w:vAlign w:val="center"/>
                </w:tcPr>
                <w:p w14:paraId="3437EC0D">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eastAsia" w:ascii="Times New Roman" w:hAnsi="Times New Roman"/>
                      <w:b/>
                      <w:bCs/>
                      <w:color w:val="auto"/>
                      <w:kern w:val="2"/>
                      <w:sz w:val="21"/>
                      <w:szCs w:val="21"/>
                    </w:rPr>
                    <w:t>名称</w:t>
                  </w:r>
                </w:p>
              </w:tc>
              <w:tc>
                <w:tcPr>
                  <w:tcW w:w="1003" w:type="pct"/>
                  <w:noWrap w:val="0"/>
                  <w:vAlign w:val="center"/>
                </w:tcPr>
                <w:p w14:paraId="78D0DBB9">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eastAsia" w:ascii="Times New Roman" w:hAnsi="Times New Roman"/>
                      <w:b/>
                      <w:bCs/>
                      <w:color w:val="auto"/>
                      <w:kern w:val="2"/>
                      <w:sz w:val="21"/>
                      <w:szCs w:val="21"/>
                    </w:rPr>
                    <w:t>用量（t/a）</w:t>
                  </w:r>
                </w:p>
              </w:tc>
              <w:tc>
                <w:tcPr>
                  <w:tcW w:w="999" w:type="pct"/>
                  <w:noWrap w:val="0"/>
                  <w:vAlign w:val="center"/>
                </w:tcPr>
                <w:p w14:paraId="74C336B1">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eastAsia" w:ascii="Times New Roman" w:hAnsi="Times New Roman"/>
                      <w:b/>
                      <w:bCs/>
                      <w:color w:val="auto"/>
                      <w:kern w:val="2"/>
                      <w:sz w:val="21"/>
                      <w:szCs w:val="21"/>
                    </w:rPr>
                    <w:t>名称</w:t>
                  </w:r>
                </w:p>
              </w:tc>
              <w:tc>
                <w:tcPr>
                  <w:tcW w:w="1003" w:type="pct"/>
                  <w:noWrap w:val="0"/>
                  <w:vAlign w:val="center"/>
                </w:tcPr>
                <w:p w14:paraId="477333E2">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eastAsia" w:ascii="Times New Roman" w:hAnsi="Times New Roman"/>
                      <w:b/>
                      <w:bCs/>
                      <w:color w:val="auto"/>
                      <w:kern w:val="2"/>
                      <w:sz w:val="21"/>
                      <w:szCs w:val="21"/>
                    </w:rPr>
                    <w:t>产量（t/a）</w:t>
                  </w:r>
                </w:p>
              </w:tc>
            </w:tr>
            <w:tr w14:paraId="5435F9B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97" w:type="pct"/>
                  <w:noWrap w:val="0"/>
                  <w:vAlign w:val="center"/>
                </w:tcPr>
                <w:p w14:paraId="42858405">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1</w:t>
                  </w:r>
                </w:p>
              </w:tc>
              <w:tc>
                <w:tcPr>
                  <w:tcW w:w="997" w:type="pct"/>
                  <w:noWrap w:val="0"/>
                  <w:vAlign w:val="center"/>
                </w:tcPr>
                <w:p w14:paraId="2C3FCD95">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bCs/>
                      <w:color w:val="auto"/>
                      <w:kern w:val="2"/>
                      <w:sz w:val="21"/>
                      <w:szCs w:val="21"/>
                      <w:lang w:eastAsia="zh-CN"/>
                    </w:rPr>
                  </w:pPr>
                  <w:r>
                    <w:rPr>
                      <w:rFonts w:hint="eastAsia" w:ascii="Times New Roman" w:hAnsi="Times New Roman"/>
                      <w:bCs/>
                      <w:color w:val="auto"/>
                      <w:kern w:val="2"/>
                      <w:sz w:val="21"/>
                      <w:szCs w:val="21"/>
                      <w:lang w:val="en-US" w:eastAsia="zh-CN"/>
                    </w:rPr>
                    <w:t>碳氢清洗剂</w:t>
                  </w:r>
                </w:p>
              </w:tc>
              <w:tc>
                <w:tcPr>
                  <w:tcW w:w="1003" w:type="pct"/>
                  <w:noWrap w:val="0"/>
                  <w:vAlign w:val="center"/>
                </w:tcPr>
                <w:p w14:paraId="5F56B108">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bCs/>
                      <w:color w:val="auto"/>
                      <w:kern w:val="2"/>
                      <w:sz w:val="21"/>
                      <w:szCs w:val="21"/>
                      <w:lang w:val="en-US" w:eastAsia="zh-CN"/>
                    </w:rPr>
                  </w:pPr>
                  <w:r>
                    <w:rPr>
                      <w:rFonts w:hint="eastAsia" w:ascii="Times New Roman" w:hAnsi="Times New Roman"/>
                      <w:bCs/>
                      <w:color w:val="auto"/>
                      <w:kern w:val="2"/>
                      <w:sz w:val="21"/>
                      <w:szCs w:val="21"/>
                      <w:lang w:val="en-US" w:eastAsia="zh-CN"/>
                    </w:rPr>
                    <w:t>1.25</w:t>
                  </w:r>
                </w:p>
              </w:tc>
              <w:tc>
                <w:tcPr>
                  <w:tcW w:w="999" w:type="pct"/>
                  <w:shd w:val="clear" w:color="auto" w:fill="auto"/>
                  <w:noWrap w:val="0"/>
                  <w:vAlign w:val="center"/>
                </w:tcPr>
                <w:p w14:paraId="0E969736">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s="宋体"/>
                      <w:bCs/>
                      <w:color w:val="auto"/>
                      <w:kern w:val="2"/>
                      <w:sz w:val="21"/>
                      <w:szCs w:val="21"/>
                      <w:lang w:val="en-US" w:eastAsia="zh-CN" w:bidi="ar-SA"/>
                    </w:rPr>
                  </w:pPr>
                  <w:r>
                    <w:rPr>
                      <w:rFonts w:hint="default" w:ascii="Times New Roman" w:hAnsi="Times New Roman"/>
                      <w:bCs/>
                      <w:color w:val="auto"/>
                      <w:kern w:val="2"/>
                      <w:sz w:val="21"/>
                      <w:szCs w:val="21"/>
                    </w:rPr>
                    <w:t>有组织废气</w:t>
                  </w:r>
                </w:p>
              </w:tc>
              <w:tc>
                <w:tcPr>
                  <w:tcW w:w="1003" w:type="pct"/>
                  <w:shd w:val="clear" w:color="auto" w:fill="auto"/>
                  <w:noWrap w:val="0"/>
                  <w:vAlign w:val="center"/>
                </w:tcPr>
                <w:p w14:paraId="2BC197C5">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bCs/>
                      <w:color w:val="auto"/>
                      <w:kern w:val="2"/>
                      <w:sz w:val="21"/>
                      <w:szCs w:val="21"/>
                      <w:lang w:val="en-US" w:eastAsia="zh-CN"/>
                    </w:rPr>
                    <w:t>0.014</w:t>
                  </w:r>
                </w:p>
              </w:tc>
            </w:tr>
            <w:tr w14:paraId="16D6B1B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97" w:type="pct"/>
                  <w:noWrap w:val="0"/>
                  <w:vAlign w:val="center"/>
                </w:tcPr>
                <w:p w14:paraId="0FDC9B20">
                  <w:pPr>
                    <w:keepNext w:val="0"/>
                    <w:keepLines w:val="0"/>
                    <w:widowControl/>
                    <w:suppressLineNumbers w:val="0"/>
                    <w:spacing w:before="0" w:beforeAutospacing="0" w:after="0" w:afterAutospacing="0" w:line="276" w:lineRule="auto"/>
                    <w:ind w:left="0" w:right="0"/>
                    <w:jc w:val="center"/>
                    <w:rPr>
                      <w:rFonts w:hint="eastAsia" w:ascii="Times New Roman" w:hAnsi="Times New Roman"/>
                      <w:bCs/>
                      <w:color w:val="auto"/>
                      <w:kern w:val="2"/>
                      <w:sz w:val="21"/>
                      <w:szCs w:val="21"/>
                    </w:rPr>
                  </w:pPr>
                </w:p>
              </w:tc>
              <w:tc>
                <w:tcPr>
                  <w:tcW w:w="997" w:type="pct"/>
                  <w:noWrap w:val="0"/>
                  <w:vAlign w:val="center"/>
                </w:tcPr>
                <w:p w14:paraId="7DF15A09">
                  <w:pPr>
                    <w:keepNext w:val="0"/>
                    <w:keepLines w:val="0"/>
                    <w:widowControl/>
                    <w:suppressLineNumbers w:val="0"/>
                    <w:spacing w:before="0" w:beforeAutospacing="0" w:after="0" w:afterAutospacing="0" w:line="276" w:lineRule="auto"/>
                    <w:ind w:left="0" w:right="0"/>
                    <w:jc w:val="center"/>
                    <w:rPr>
                      <w:rFonts w:hint="eastAsia" w:ascii="Times New Roman" w:hAnsi="Times New Roman"/>
                      <w:bCs/>
                      <w:color w:val="auto"/>
                      <w:kern w:val="2"/>
                      <w:sz w:val="21"/>
                      <w:szCs w:val="21"/>
                      <w:lang w:val="en-US" w:eastAsia="zh-CN"/>
                    </w:rPr>
                  </w:pPr>
                </w:p>
              </w:tc>
              <w:tc>
                <w:tcPr>
                  <w:tcW w:w="1003" w:type="pct"/>
                  <w:noWrap w:val="0"/>
                  <w:vAlign w:val="center"/>
                </w:tcPr>
                <w:p w14:paraId="249015DE">
                  <w:pPr>
                    <w:keepNext w:val="0"/>
                    <w:keepLines w:val="0"/>
                    <w:widowControl/>
                    <w:suppressLineNumbers w:val="0"/>
                    <w:spacing w:before="0" w:beforeAutospacing="0" w:after="0" w:afterAutospacing="0" w:line="276" w:lineRule="auto"/>
                    <w:ind w:left="0" w:right="0"/>
                    <w:jc w:val="center"/>
                    <w:rPr>
                      <w:rFonts w:hint="eastAsia" w:ascii="Times New Roman" w:hAnsi="Times New Roman"/>
                      <w:bCs/>
                      <w:color w:val="auto"/>
                      <w:kern w:val="2"/>
                      <w:sz w:val="21"/>
                      <w:szCs w:val="21"/>
                      <w:lang w:val="en-US" w:eastAsia="zh-CN"/>
                    </w:rPr>
                  </w:pPr>
                </w:p>
              </w:tc>
              <w:tc>
                <w:tcPr>
                  <w:tcW w:w="999" w:type="pct"/>
                  <w:shd w:val="clear" w:color="auto" w:fill="auto"/>
                  <w:noWrap w:val="0"/>
                  <w:vAlign w:val="center"/>
                </w:tcPr>
                <w:p w14:paraId="30D75151">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bCs/>
                      <w:color w:val="auto"/>
                      <w:kern w:val="2"/>
                      <w:sz w:val="21"/>
                      <w:szCs w:val="21"/>
                      <w:lang w:val="en-US" w:eastAsia="zh-CN"/>
                    </w:rPr>
                  </w:pPr>
                  <w:r>
                    <w:rPr>
                      <w:rFonts w:hint="eastAsia" w:ascii="Times New Roman" w:hAnsi="Times New Roman"/>
                      <w:bCs/>
                      <w:color w:val="auto"/>
                      <w:kern w:val="2"/>
                      <w:sz w:val="21"/>
                      <w:szCs w:val="21"/>
                      <w:lang w:val="en-US" w:eastAsia="zh-CN"/>
                    </w:rPr>
                    <w:t>活性炭吸附</w:t>
                  </w:r>
                </w:p>
              </w:tc>
              <w:tc>
                <w:tcPr>
                  <w:tcW w:w="1003" w:type="pct"/>
                  <w:shd w:val="clear" w:color="auto" w:fill="auto"/>
                  <w:noWrap w:val="0"/>
                  <w:vAlign w:val="center"/>
                </w:tcPr>
                <w:p w14:paraId="58312E50">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lang w:val="en-US" w:eastAsia="zh-CN"/>
                    </w:rPr>
                  </w:pPr>
                  <w:r>
                    <w:rPr>
                      <w:rFonts w:hint="eastAsia" w:ascii="Times New Roman" w:hAnsi="Times New Roman"/>
                      <w:bCs/>
                      <w:color w:val="auto"/>
                      <w:kern w:val="2"/>
                      <w:sz w:val="21"/>
                      <w:szCs w:val="21"/>
                      <w:lang w:val="en-US" w:eastAsia="zh-CN"/>
                    </w:rPr>
                    <w:t>0.123</w:t>
                  </w:r>
                </w:p>
              </w:tc>
            </w:tr>
            <w:tr w14:paraId="564980B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97" w:type="pct"/>
                  <w:noWrap w:val="0"/>
                  <w:vAlign w:val="center"/>
                </w:tcPr>
                <w:p w14:paraId="0B659FED">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bCs/>
                      <w:color w:val="auto"/>
                      <w:kern w:val="2"/>
                      <w:sz w:val="21"/>
                      <w:szCs w:val="21"/>
                      <w:lang w:eastAsia="zh-CN"/>
                    </w:rPr>
                  </w:pPr>
                  <w:r>
                    <w:rPr>
                      <w:rFonts w:hint="eastAsia" w:ascii="Times New Roman" w:hAnsi="Times New Roman"/>
                      <w:bCs/>
                      <w:color w:val="auto"/>
                      <w:kern w:val="2"/>
                      <w:sz w:val="21"/>
                      <w:szCs w:val="21"/>
                      <w:lang w:val="en-US" w:eastAsia="zh-CN"/>
                    </w:rPr>
                    <w:t>2</w:t>
                  </w:r>
                </w:p>
              </w:tc>
              <w:tc>
                <w:tcPr>
                  <w:tcW w:w="997" w:type="pct"/>
                  <w:noWrap w:val="0"/>
                  <w:vAlign w:val="center"/>
                </w:tcPr>
                <w:p w14:paraId="29133AD2">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w:t>
                  </w:r>
                </w:p>
              </w:tc>
              <w:tc>
                <w:tcPr>
                  <w:tcW w:w="1003" w:type="pct"/>
                  <w:noWrap w:val="0"/>
                  <w:vAlign w:val="center"/>
                </w:tcPr>
                <w:p w14:paraId="0FED88F9">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w:t>
                  </w:r>
                </w:p>
              </w:tc>
              <w:tc>
                <w:tcPr>
                  <w:tcW w:w="999" w:type="pct"/>
                  <w:shd w:val="clear" w:color="auto" w:fill="auto"/>
                  <w:noWrap w:val="0"/>
                  <w:vAlign w:val="center"/>
                </w:tcPr>
                <w:p w14:paraId="21CC02DD">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bCs/>
                      <w:color w:val="auto"/>
                      <w:kern w:val="2"/>
                      <w:sz w:val="21"/>
                      <w:szCs w:val="21"/>
                    </w:rPr>
                    <w:t>废槽液</w:t>
                  </w:r>
                </w:p>
              </w:tc>
              <w:tc>
                <w:tcPr>
                  <w:tcW w:w="1003" w:type="pct"/>
                  <w:shd w:val="clear" w:color="auto" w:fill="auto"/>
                  <w:noWrap w:val="0"/>
                  <w:vAlign w:val="center"/>
                </w:tcPr>
                <w:p w14:paraId="10010379">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lang w:val="en-US" w:eastAsia="zh-CN"/>
                    </w:rPr>
                  </w:pPr>
                  <w:r>
                    <w:rPr>
                      <w:rFonts w:hint="eastAsia" w:ascii="Times New Roman" w:hAnsi="Times New Roman"/>
                      <w:bCs/>
                      <w:color w:val="auto"/>
                      <w:kern w:val="2"/>
                      <w:sz w:val="21"/>
                      <w:szCs w:val="21"/>
                      <w:lang w:val="en-US" w:eastAsia="zh-CN"/>
                    </w:rPr>
                    <w:t>1.054</w:t>
                  </w:r>
                </w:p>
              </w:tc>
            </w:tr>
            <w:tr w14:paraId="08C1109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97" w:type="pct"/>
                  <w:noWrap w:val="0"/>
                  <w:vAlign w:val="center"/>
                </w:tcPr>
                <w:p w14:paraId="011AFDC4">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bCs/>
                      <w:color w:val="auto"/>
                      <w:kern w:val="2"/>
                      <w:sz w:val="21"/>
                      <w:szCs w:val="21"/>
                      <w:lang w:val="en-US" w:eastAsia="zh-CN"/>
                    </w:rPr>
                  </w:pPr>
                  <w:r>
                    <w:rPr>
                      <w:rFonts w:hint="eastAsia" w:ascii="Times New Roman" w:hAnsi="Times New Roman"/>
                      <w:bCs/>
                      <w:color w:val="auto"/>
                      <w:kern w:val="2"/>
                      <w:sz w:val="21"/>
                      <w:szCs w:val="21"/>
                      <w:lang w:val="en-US" w:eastAsia="zh-CN"/>
                    </w:rPr>
                    <w:t>3</w:t>
                  </w:r>
                </w:p>
              </w:tc>
              <w:tc>
                <w:tcPr>
                  <w:tcW w:w="997" w:type="pct"/>
                  <w:noWrap w:val="0"/>
                  <w:vAlign w:val="center"/>
                </w:tcPr>
                <w:p w14:paraId="1EEB52BC">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w:t>
                  </w:r>
                </w:p>
              </w:tc>
              <w:tc>
                <w:tcPr>
                  <w:tcW w:w="1003" w:type="pct"/>
                  <w:noWrap w:val="0"/>
                  <w:vAlign w:val="center"/>
                </w:tcPr>
                <w:p w14:paraId="07C8B1A2">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w:t>
                  </w:r>
                </w:p>
              </w:tc>
              <w:tc>
                <w:tcPr>
                  <w:tcW w:w="999" w:type="pct"/>
                  <w:shd w:val="clear" w:color="auto" w:fill="auto"/>
                  <w:noWrap w:val="0"/>
                  <w:vAlign w:val="center"/>
                </w:tcPr>
                <w:p w14:paraId="7A4361F1">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bCs/>
                      <w:color w:val="auto"/>
                      <w:kern w:val="2"/>
                      <w:sz w:val="21"/>
                      <w:szCs w:val="21"/>
                    </w:rPr>
                    <w:t>蒸馏废液</w:t>
                  </w:r>
                </w:p>
              </w:tc>
              <w:tc>
                <w:tcPr>
                  <w:tcW w:w="1003" w:type="pct"/>
                  <w:shd w:val="clear" w:color="auto" w:fill="auto"/>
                  <w:noWrap w:val="0"/>
                  <w:vAlign w:val="center"/>
                </w:tcPr>
                <w:p w14:paraId="48F6CCD8">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s="宋体"/>
                      <w:bCs/>
                      <w:color w:val="auto"/>
                      <w:kern w:val="2"/>
                      <w:sz w:val="21"/>
                      <w:szCs w:val="21"/>
                      <w:lang w:val="en-US" w:eastAsia="zh-CN" w:bidi="ar-SA"/>
                    </w:rPr>
                  </w:pPr>
                  <w:r>
                    <w:rPr>
                      <w:rFonts w:hint="eastAsia" w:ascii="Times New Roman" w:hAnsi="Times New Roman"/>
                      <w:bCs/>
                      <w:color w:val="auto"/>
                      <w:kern w:val="2"/>
                      <w:sz w:val="21"/>
                      <w:szCs w:val="21"/>
                      <w:lang w:val="en-US" w:eastAsia="zh-CN"/>
                    </w:rPr>
                    <w:t>0.059</w:t>
                  </w:r>
                </w:p>
              </w:tc>
            </w:tr>
            <w:tr w14:paraId="171CFC9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997" w:type="pct"/>
                  <w:tcBorders>
                    <w:bottom w:val="single" w:color="auto" w:sz="12" w:space="0"/>
                  </w:tcBorders>
                  <w:noWrap w:val="0"/>
                  <w:vAlign w:val="center"/>
                </w:tcPr>
                <w:p w14:paraId="067E2F19">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bCs/>
                      <w:color w:val="auto"/>
                      <w:kern w:val="2"/>
                      <w:sz w:val="21"/>
                      <w:szCs w:val="21"/>
                      <w:lang w:val="en-US" w:eastAsia="zh-CN"/>
                    </w:rPr>
                  </w:pPr>
                  <w:r>
                    <w:rPr>
                      <w:rFonts w:hint="eastAsia" w:ascii="Times New Roman" w:hAnsi="Times New Roman"/>
                      <w:bCs/>
                      <w:color w:val="auto"/>
                      <w:kern w:val="2"/>
                      <w:sz w:val="21"/>
                      <w:szCs w:val="21"/>
                      <w:lang w:val="en-US" w:eastAsia="zh-CN"/>
                    </w:rPr>
                    <w:t>4</w:t>
                  </w:r>
                </w:p>
              </w:tc>
              <w:tc>
                <w:tcPr>
                  <w:tcW w:w="997" w:type="pct"/>
                  <w:tcBorders>
                    <w:bottom w:val="single" w:color="auto" w:sz="12" w:space="0"/>
                  </w:tcBorders>
                  <w:noWrap w:val="0"/>
                  <w:vAlign w:val="center"/>
                </w:tcPr>
                <w:p w14:paraId="092A813B">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合计</w:t>
                  </w:r>
                </w:p>
              </w:tc>
              <w:tc>
                <w:tcPr>
                  <w:tcW w:w="1003" w:type="pct"/>
                  <w:tcBorders>
                    <w:bottom w:val="single" w:color="auto" w:sz="12" w:space="0"/>
                  </w:tcBorders>
                  <w:noWrap w:val="0"/>
                  <w:vAlign w:val="center"/>
                </w:tcPr>
                <w:p w14:paraId="082D3AE2">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bCs/>
                      <w:color w:val="auto"/>
                      <w:kern w:val="2"/>
                      <w:sz w:val="21"/>
                      <w:szCs w:val="21"/>
                      <w:lang w:val="en-US" w:eastAsia="zh-CN"/>
                    </w:rPr>
                  </w:pPr>
                  <w:r>
                    <w:rPr>
                      <w:rFonts w:hint="eastAsia" w:ascii="Times New Roman" w:hAnsi="Times New Roman"/>
                      <w:bCs/>
                      <w:color w:val="auto"/>
                      <w:kern w:val="2"/>
                      <w:sz w:val="21"/>
                      <w:szCs w:val="21"/>
                      <w:lang w:val="en-US" w:eastAsia="zh-CN"/>
                    </w:rPr>
                    <w:t>1.25</w:t>
                  </w:r>
                </w:p>
              </w:tc>
              <w:tc>
                <w:tcPr>
                  <w:tcW w:w="999" w:type="pct"/>
                  <w:tcBorders>
                    <w:bottom w:val="single" w:color="auto" w:sz="12" w:space="0"/>
                  </w:tcBorders>
                  <w:noWrap w:val="0"/>
                  <w:vAlign w:val="center"/>
                </w:tcPr>
                <w:p w14:paraId="0A82FCDC">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合计</w:t>
                  </w:r>
                </w:p>
              </w:tc>
              <w:tc>
                <w:tcPr>
                  <w:tcW w:w="1003" w:type="pct"/>
                  <w:tcBorders>
                    <w:bottom w:val="single" w:color="auto" w:sz="12" w:space="0"/>
                  </w:tcBorders>
                  <w:noWrap w:val="0"/>
                  <w:vAlign w:val="center"/>
                </w:tcPr>
                <w:p w14:paraId="3EB61292">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bCs/>
                      <w:color w:val="auto"/>
                      <w:kern w:val="2"/>
                      <w:sz w:val="21"/>
                      <w:szCs w:val="21"/>
                      <w:lang w:val="en-US" w:eastAsia="zh-CN"/>
                    </w:rPr>
                  </w:pPr>
                  <w:r>
                    <w:rPr>
                      <w:rFonts w:hint="eastAsia" w:ascii="Times New Roman" w:hAnsi="Times New Roman"/>
                      <w:bCs/>
                      <w:color w:val="auto"/>
                      <w:kern w:val="2"/>
                      <w:sz w:val="21"/>
                      <w:szCs w:val="21"/>
                      <w:lang w:val="en-US" w:eastAsia="zh-CN"/>
                    </w:rPr>
                    <w:t>1.25</w:t>
                  </w:r>
                </w:p>
              </w:tc>
            </w:tr>
          </w:tbl>
          <w:p w14:paraId="443167F2">
            <w:pPr>
              <w:keepNext w:val="0"/>
              <w:keepLines w:val="0"/>
              <w:widowControl/>
              <w:suppressLineNumbers w:val="0"/>
              <w:spacing w:before="0" w:beforeAutospacing="0" w:after="0" w:afterAutospacing="0" w:line="360" w:lineRule="auto"/>
              <w:ind w:left="0" w:right="0"/>
              <w:jc w:val="center"/>
              <w:rPr>
                <w:rFonts w:hint="default" w:ascii="Times New Roman" w:cs="Times New Roman"/>
                <w:b/>
                <w:bCs/>
                <w:color w:val="auto"/>
                <w:kern w:val="2"/>
                <w:szCs w:val="28"/>
                <w:highlight w:val="red"/>
              </w:rPr>
            </w:pPr>
            <w:r>
              <w:rPr>
                <w:rFonts w:hint="default" w:ascii="Times New Roman" w:hAnsi="黑体" w:eastAsia="黑体"/>
                <w:bCs/>
                <w:color w:val="auto"/>
                <w:kern w:val="2"/>
                <w:sz w:val="24"/>
                <w:szCs w:val="24"/>
              </w:rPr>
              <w:drawing>
                <wp:inline distT="0" distB="0" distL="114300" distR="114300">
                  <wp:extent cx="5328285" cy="2767330"/>
                  <wp:effectExtent l="0" t="0" r="5715" b="13970"/>
                  <wp:docPr id="80" name="E657119C-6982-421D-8BA7-E74DEB70A7D9-4" descr="C:/Users/Administrator/AppData/Local/Temp/wps.TlIOtm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E657119C-6982-421D-8BA7-E74DEB70A7D9-4" descr="C:/Users/Administrator/AppData/Local/Temp/wps.TlIOtmwps"/>
                          <pic:cNvPicPr>
                            <a:picLocks noChangeAspect="1"/>
                          </pic:cNvPicPr>
                        </pic:nvPicPr>
                        <pic:blipFill>
                          <a:blip r:embed="rId13"/>
                          <a:stretch>
                            <a:fillRect/>
                          </a:stretch>
                        </pic:blipFill>
                        <pic:spPr>
                          <a:xfrm>
                            <a:off x="0" y="0"/>
                            <a:ext cx="5328285" cy="2767330"/>
                          </a:xfrm>
                          <a:prstGeom prst="rect">
                            <a:avLst/>
                          </a:prstGeom>
                        </pic:spPr>
                      </pic:pic>
                    </a:graphicData>
                  </a:graphic>
                </wp:inline>
              </w:drawing>
            </w:r>
            <w:r>
              <w:rPr>
                <w:rFonts w:hint="default" w:ascii="Times New Roman" w:hAnsi="黑体" w:eastAsia="黑体"/>
                <w:bCs/>
                <w:color w:val="auto"/>
                <w:kern w:val="2"/>
                <w:sz w:val="24"/>
                <w:szCs w:val="24"/>
              </w:rPr>
              <w:t>图</w:t>
            </w:r>
            <w:r>
              <w:rPr>
                <w:rFonts w:hint="default" w:ascii="Times New Roman" w:hAnsi="Times New Roman" w:eastAsia="黑体"/>
                <w:bCs/>
                <w:color w:val="auto"/>
                <w:kern w:val="2"/>
                <w:sz w:val="24"/>
                <w:szCs w:val="24"/>
                <w:highlight w:val="none"/>
              </w:rPr>
              <w:t>2</w:t>
            </w:r>
            <w:r>
              <w:rPr>
                <w:rFonts w:hint="eastAsia" w:ascii="Times New Roman" w:hAnsi="Times New Roman" w:eastAsia="黑体"/>
                <w:bCs/>
                <w:color w:val="auto"/>
                <w:kern w:val="2"/>
                <w:sz w:val="24"/>
                <w:szCs w:val="24"/>
                <w:highlight w:val="none"/>
              </w:rPr>
              <w:t>-</w:t>
            </w:r>
            <w:r>
              <w:rPr>
                <w:rFonts w:hint="eastAsia" w:ascii="Times New Roman" w:hAnsi="Times New Roman" w:eastAsia="黑体"/>
                <w:bCs/>
                <w:color w:val="auto"/>
                <w:kern w:val="2"/>
                <w:sz w:val="24"/>
                <w:szCs w:val="24"/>
                <w:highlight w:val="none"/>
                <w:lang w:val="en-US" w:eastAsia="zh-CN"/>
              </w:rPr>
              <w:t>5</w:t>
            </w:r>
            <w:r>
              <w:rPr>
                <w:rFonts w:hint="eastAsia" w:ascii="Times New Roman" w:hAnsi="Times New Roman" w:eastAsia="黑体"/>
                <w:bCs/>
                <w:color w:val="auto"/>
                <w:kern w:val="2"/>
                <w:sz w:val="24"/>
                <w:szCs w:val="24"/>
                <w:highlight w:val="none"/>
              </w:rPr>
              <w:t xml:space="preserve">  碳氢清洗剂</w:t>
            </w:r>
            <w:r>
              <w:rPr>
                <w:rFonts w:hint="eastAsia" w:ascii="Times New Roman" w:hAnsi="黑体" w:eastAsia="黑体"/>
                <w:bCs/>
                <w:color w:val="auto"/>
                <w:kern w:val="2"/>
                <w:sz w:val="24"/>
                <w:szCs w:val="24"/>
                <w:highlight w:val="none"/>
              </w:rPr>
              <w:t>物料</w:t>
            </w:r>
            <w:r>
              <w:rPr>
                <w:rFonts w:hint="default" w:ascii="Times New Roman" w:hAnsi="黑体" w:eastAsia="黑体"/>
                <w:bCs/>
                <w:color w:val="auto"/>
                <w:kern w:val="2"/>
                <w:sz w:val="24"/>
                <w:szCs w:val="24"/>
                <w:highlight w:val="none"/>
              </w:rPr>
              <w:t>平衡图</w:t>
            </w:r>
            <w:r>
              <w:rPr>
                <w:rFonts w:hint="eastAsia" w:ascii="Times New Roman" w:hAnsi="黑体" w:eastAsia="黑体"/>
                <w:bCs/>
                <w:color w:val="auto"/>
                <w:kern w:val="2"/>
                <w:sz w:val="24"/>
                <w:szCs w:val="24"/>
                <w:highlight w:val="none"/>
              </w:rPr>
              <w:t xml:space="preserve">  单位：t/a</w:t>
            </w:r>
          </w:p>
          <w:p w14:paraId="06717DE9">
            <w:pPr>
              <w:keepNext w:val="0"/>
              <w:keepLines w:val="0"/>
              <w:widowControl/>
              <w:suppressLineNumbers w:val="0"/>
              <w:spacing w:before="0" w:beforeAutospacing="0" w:after="0" w:afterAutospacing="0" w:line="360" w:lineRule="auto"/>
              <w:ind w:left="0" w:right="0"/>
              <w:rPr>
                <w:rFonts w:hint="default" w:ascii="Times New Roman" w:cs="Times New Roman"/>
                <w:color w:val="auto"/>
                <w:kern w:val="2"/>
                <w:szCs w:val="28"/>
              </w:rPr>
            </w:pPr>
          </w:p>
        </w:tc>
      </w:tr>
    </w:tbl>
    <w:p w14:paraId="27BB07B9">
      <w:pPr>
        <w:rPr>
          <w:rFonts w:ascii="Times New Roman" w:hAnsi="Times New Roman"/>
          <w:color w:val="auto"/>
        </w:rPr>
        <w:sectPr>
          <w:pgSz w:w="11906" w:h="16838"/>
          <w:pgMar w:top="1701" w:right="1531" w:bottom="1701" w:left="1531" w:header="851" w:footer="992" w:gutter="0"/>
          <w:cols w:space="720" w:num="1"/>
          <w:docGrid w:type="lines" w:linePitch="312" w:charSpace="0"/>
        </w:sectPr>
      </w:pP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14:paraId="7BF6B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8" w:hRule="atLeast"/>
          <w:jc w:val="center"/>
        </w:trPr>
        <w:tc>
          <w:tcPr>
            <w:tcW w:w="295" w:type="pct"/>
            <w:vAlign w:val="center"/>
          </w:tcPr>
          <w:p w14:paraId="1E3097C6">
            <w:pPr>
              <w:keepNext w:val="0"/>
              <w:keepLines w:val="0"/>
              <w:widowControl/>
              <w:suppressLineNumbers w:val="0"/>
              <w:spacing w:before="0" w:beforeAutospacing="0" w:after="0" w:afterAutospacing="0" w:line="360" w:lineRule="auto"/>
              <w:ind w:left="0" w:right="0"/>
              <w:jc w:val="center"/>
              <w:rPr>
                <w:rFonts w:hint="default" w:ascii="Times New Roman" w:hAnsi="Times New Roman"/>
                <w:color w:val="auto"/>
                <w:kern w:val="2"/>
              </w:rPr>
            </w:pPr>
            <w:r>
              <w:rPr>
                <w:rFonts w:hint="eastAsia" w:ascii="Times New Roman" w:hAnsi="Times New Roman"/>
                <w:color w:val="auto"/>
                <w:kern w:val="2"/>
              </w:rPr>
              <w:t>与项目有关的原有污染问题</w:t>
            </w:r>
          </w:p>
        </w:tc>
        <w:tc>
          <w:tcPr>
            <w:tcW w:w="4705" w:type="pct"/>
          </w:tcPr>
          <w:p w14:paraId="6CCD14F7">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eastAsia" w:ascii="Times New Roman" w:hAnsi="Times New Roman" w:cs="Times New Roman"/>
                <w:color w:val="auto"/>
                <w:kern w:val="2"/>
              </w:rPr>
              <w:t>1、现有工程环保手续履行情况</w:t>
            </w:r>
          </w:p>
          <w:p w14:paraId="65F764ED">
            <w:pPr>
              <w:keepNext w:val="0"/>
              <w:keepLines w:val="0"/>
              <w:widowControl/>
              <w:suppressLineNumbers w:val="0"/>
              <w:wordWrap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eastAsia" w:ascii="Times New Roman" w:cs="Times New Roman"/>
                <w:color w:val="auto"/>
                <w:kern w:val="2"/>
              </w:rPr>
              <w:t>安徽坤泰车辆动力科技有限公司位于</w:t>
            </w:r>
            <w:r>
              <w:rPr>
                <w:rFonts w:hint="default" w:ascii="Times New Roman" w:hAnsi="Times New Roman" w:cs="Times New Roman"/>
                <w:color w:val="auto"/>
                <w:kern w:val="2"/>
                <w:szCs w:val="21"/>
              </w:rPr>
              <w:t>淮南市凤台县凤台经济开发区凤凰产业园电子智造园</w:t>
            </w:r>
            <w:r>
              <w:rPr>
                <w:rFonts w:hint="eastAsia" w:ascii="Times New Roman" w:cs="Times New Roman"/>
                <w:color w:val="auto"/>
                <w:kern w:val="2"/>
              </w:rPr>
              <w:t>，主要从事汽车零部件制造，2023年公司拟建设凤台坤泰车辆动力科技有限公司集成式双电机混合动力系统（DHT）项目</w:t>
            </w:r>
            <w:r>
              <w:rPr>
                <w:rFonts w:hint="eastAsia" w:ascii="Times New Roman" w:hAnsi="Times New Roman" w:cs="Times New Roman"/>
                <w:color w:val="auto"/>
                <w:kern w:val="2"/>
              </w:rPr>
              <w:t>，委托安徽博环环保科技有限公司编制完成该项目环境影响报告表，并于2023年2月15日通过淮南市凤台县生态环境分局审批</w:t>
            </w:r>
            <w:r>
              <w:rPr>
                <w:rFonts w:hint="eastAsia" w:ascii="Times New Roman" w:hAnsi="Times New Roman" w:cs="Times New Roman"/>
                <w:color w:val="auto"/>
                <w:kern w:val="2"/>
                <w:lang w:eastAsia="zh-CN"/>
              </w:rPr>
              <w:t>，</w:t>
            </w:r>
            <w:r>
              <w:rPr>
                <w:rFonts w:hint="eastAsia" w:ascii="Times New Roman" w:hAnsi="Times New Roman" w:cs="Times New Roman"/>
                <w:color w:val="auto"/>
                <w:kern w:val="2"/>
                <w:lang w:val="en-US" w:eastAsia="zh-CN"/>
              </w:rPr>
              <w:t>项目于2024年4月通过了年产DHT变速器6万套生产能力的阶段性竣工环保验收，于2024年1月24日首次进行了排污许可登记，于2024年4月28日进行了重新登记（登记管理，登记编号为：91340421MA8PDARW6L001W）。</w:t>
            </w:r>
          </w:p>
          <w:p w14:paraId="3E142853">
            <w:pPr>
              <w:keepNext w:val="0"/>
              <w:keepLines w:val="0"/>
              <w:widowControl w:val="0"/>
              <w:suppressLineNumbers w:val="0"/>
              <w:spacing w:before="0" w:beforeAutospacing="0" w:after="0" w:afterAutospacing="0" w:line="360" w:lineRule="auto"/>
              <w:ind w:left="0" w:right="0"/>
              <w:jc w:val="center"/>
              <w:rPr>
                <w:rFonts w:hint="default" w:ascii="黑体" w:hAnsi="黑体" w:eastAsia="黑体" w:cs="Times New Roman"/>
                <w:color w:val="auto"/>
                <w:kern w:val="2"/>
              </w:rPr>
            </w:pPr>
            <w:r>
              <w:rPr>
                <w:rFonts w:hint="eastAsia" w:ascii="黑体" w:hAnsi="黑体" w:eastAsia="黑体" w:cs="Times New Roman"/>
                <w:color w:val="auto"/>
                <w:kern w:val="2"/>
              </w:rPr>
              <w:t>表</w:t>
            </w:r>
            <w:r>
              <w:rPr>
                <w:rFonts w:hint="eastAsia" w:ascii="Times New Roman" w:hAnsi="Times New Roman" w:cs="Times New Roman"/>
                <w:color w:val="auto"/>
                <w:kern w:val="2"/>
              </w:rPr>
              <w:t>2-1</w:t>
            </w:r>
            <w:r>
              <w:rPr>
                <w:rFonts w:hint="eastAsia" w:ascii="Times New Roman" w:hAnsi="Times New Roman" w:cs="Times New Roman"/>
                <w:color w:val="auto"/>
                <w:kern w:val="2"/>
                <w:lang w:val="en-US" w:eastAsia="zh-CN"/>
              </w:rPr>
              <w:t>2</w:t>
            </w:r>
            <w:r>
              <w:rPr>
                <w:rFonts w:hint="eastAsia" w:ascii="Times New Roman" w:hAnsi="Times New Roman" w:cs="Times New Roman"/>
                <w:color w:val="auto"/>
                <w:kern w:val="2"/>
              </w:rPr>
              <w:t xml:space="preserve">  </w:t>
            </w:r>
            <w:r>
              <w:rPr>
                <w:rFonts w:hint="eastAsia" w:ascii="黑体" w:hAnsi="黑体" w:eastAsia="黑体" w:cs="Times New Roman"/>
                <w:color w:val="auto"/>
                <w:kern w:val="2"/>
              </w:rPr>
              <w:t>现有工程环保手续履行情况一览表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3"/>
              <w:gridCol w:w="894"/>
              <w:gridCol w:w="1211"/>
              <w:gridCol w:w="653"/>
              <w:gridCol w:w="889"/>
              <w:gridCol w:w="3435"/>
            </w:tblGrid>
            <w:tr w14:paraId="73ED1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vMerge w:val="restart"/>
                  <w:vAlign w:val="center"/>
                </w:tcPr>
                <w:p w14:paraId="7FA80B20">
                  <w:pPr>
                    <w:keepNext w:val="0"/>
                    <w:keepLines w:val="0"/>
                    <w:widowControl w:val="0"/>
                    <w:suppressLineNumbers w:val="0"/>
                    <w:adjustRightInd w:val="0"/>
                    <w:snapToGrid w:val="0"/>
                    <w:spacing w:before="0" w:beforeAutospacing="0" w:after="0" w:afterAutospacing="0" w:line="276" w:lineRule="auto"/>
                    <w:ind w:left="0" w:right="0"/>
                    <w:jc w:val="center"/>
                    <w:rPr>
                      <w:rFonts w:hint="default" w:ascii="Calibri" w:hAnsi="Calibri" w:cs="Times New Roman"/>
                      <w:b/>
                      <w:color w:val="auto"/>
                      <w:kern w:val="2"/>
                      <w:sz w:val="21"/>
                      <w:szCs w:val="21"/>
                    </w:rPr>
                  </w:pPr>
                  <w:r>
                    <w:rPr>
                      <w:rFonts w:hint="default" w:ascii="Calibri" w:hAnsi="Calibri" w:cs="Times New Roman"/>
                      <w:b/>
                      <w:color w:val="auto"/>
                      <w:kern w:val="2"/>
                      <w:sz w:val="21"/>
                      <w:szCs w:val="21"/>
                    </w:rPr>
                    <w:t>项目名称</w:t>
                  </w:r>
                </w:p>
              </w:tc>
              <w:tc>
                <w:tcPr>
                  <w:tcW w:w="1255" w:type="pct"/>
                  <w:gridSpan w:val="2"/>
                  <w:vAlign w:val="center"/>
                </w:tcPr>
                <w:p w14:paraId="2848D6A3">
                  <w:pPr>
                    <w:keepNext w:val="0"/>
                    <w:keepLines w:val="0"/>
                    <w:widowControl w:val="0"/>
                    <w:suppressLineNumbers w:val="0"/>
                    <w:adjustRightInd w:val="0"/>
                    <w:snapToGrid w:val="0"/>
                    <w:spacing w:before="0" w:beforeAutospacing="0" w:after="0" w:afterAutospacing="0" w:line="276" w:lineRule="auto"/>
                    <w:ind w:left="0" w:right="0"/>
                    <w:jc w:val="center"/>
                    <w:rPr>
                      <w:rFonts w:hint="default" w:ascii="Calibri" w:hAnsi="Calibri" w:cs="Times New Roman"/>
                      <w:b/>
                      <w:color w:val="auto"/>
                      <w:kern w:val="2"/>
                      <w:sz w:val="21"/>
                      <w:szCs w:val="21"/>
                    </w:rPr>
                  </w:pPr>
                  <w:r>
                    <w:rPr>
                      <w:rFonts w:hint="default" w:ascii="Calibri" w:hAnsi="Calibri" w:cs="Times New Roman"/>
                      <w:b/>
                      <w:color w:val="auto"/>
                      <w:kern w:val="2"/>
                      <w:sz w:val="21"/>
                      <w:szCs w:val="21"/>
                    </w:rPr>
                    <w:t>环评情况</w:t>
                  </w:r>
                </w:p>
              </w:tc>
              <w:tc>
                <w:tcPr>
                  <w:tcW w:w="919" w:type="pct"/>
                  <w:gridSpan w:val="2"/>
                  <w:vAlign w:val="center"/>
                </w:tcPr>
                <w:p w14:paraId="03991DB7">
                  <w:pPr>
                    <w:keepNext w:val="0"/>
                    <w:keepLines w:val="0"/>
                    <w:widowControl w:val="0"/>
                    <w:suppressLineNumbers w:val="0"/>
                    <w:adjustRightInd w:val="0"/>
                    <w:snapToGrid w:val="0"/>
                    <w:spacing w:before="0" w:beforeAutospacing="0" w:after="0" w:afterAutospacing="0" w:line="276" w:lineRule="auto"/>
                    <w:ind w:left="0" w:right="0"/>
                    <w:jc w:val="center"/>
                    <w:rPr>
                      <w:rFonts w:hint="default" w:ascii="Calibri" w:hAnsi="Calibri" w:cs="Times New Roman"/>
                      <w:b/>
                      <w:color w:val="auto"/>
                      <w:kern w:val="2"/>
                      <w:sz w:val="21"/>
                      <w:szCs w:val="21"/>
                    </w:rPr>
                  </w:pPr>
                  <w:r>
                    <w:rPr>
                      <w:rFonts w:hint="eastAsia" w:ascii="Calibri" w:hAnsi="Calibri" w:eastAsia="宋体" w:cs="Times New Roman"/>
                      <w:b/>
                      <w:bCs w:val="0"/>
                      <w:color w:val="auto"/>
                      <w:kern w:val="2"/>
                      <w:sz w:val="21"/>
                      <w:szCs w:val="21"/>
                      <w:lang w:val="en-US" w:eastAsia="zh-CN" w:bidi="ar"/>
                    </w:rPr>
                    <w:t>验收情况</w:t>
                  </w:r>
                </w:p>
              </w:tc>
              <w:tc>
                <w:tcPr>
                  <w:tcW w:w="2047" w:type="pct"/>
                  <w:vMerge w:val="restart"/>
                  <w:vAlign w:val="center"/>
                </w:tcPr>
                <w:p w14:paraId="500CB360">
                  <w:pPr>
                    <w:keepNext w:val="0"/>
                    <w:keepLines w:val="0"/>
                    <w:widowControl w:val="0"/>
                    <w:suppressLineNumbers w:val="0"/>
                    <w:adjustRightInd w:val="0"/>
                    <w:snapToGrid w:val="0"/>
                    <w:spacing w:before="0" w:beforeAutospacing="0" w:after="0" w:afterAutospacing="0" w:line="276" w:lineRule="auto"/>
                    <w:ind w:left="0" w:right="0"/>
                    <w:jc w:val="center"/>
                    <w:rPr>
                      <w:rFonts w:hint="default" w:ascii="Calibri" w:hAnsi="Calibri" w:eastAsia="宋体" w:cs="Times New Roman"/>
                      <w:b/>
                      <w:bCs w:val="0"/>
                      <w:color w:val="auto"/>
                      <w:kern w:val="2"/>
                      <w:sz w:val="21"/>
                      <w:szCs w:val="21"/>
                      <w:lang w:val="en-US" w:eastAsia="zh-CN" w:bidi="ar"/>
                    </w:rPr>
                  </w:pPr>
                  <w:r>
                    <w:rPr>
                      <w:rFonts w:hint="eastAsia" w:ascii="Calibri" w:hAnsi="Calibri" w:eastAsia="宋体" w:cs="Times New Roman"/>
                      <w:b/>
                      <w:bCs w:val="0"/>
                      <w:color w:val="auto"/>
                      <w:kern w:val="2"/>
                      <w:sz w:val="21"/>
                      <w:szCs w:val="21"/>
                      <w:lang w:val="en-US" w:eastAsia="zh-CN" w:bidi="ar"/>
                    </w:rPr>
                    <w:t>排污许可申领情况</w:t>
                  </w:r>
                </w:p>
              </w:tc>
            </w:tr>
            <w:tr w14:paraId="682A21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vMerge w:val="continue"/>
                  <w:vAlign w:val="center"/>
                </w:tcPr>
                <w:p w14:paraId="23DD589C">
                  <w:pPr>
                    <w:keepNext w:val="0"/>
                    <w:keepLines w:val="0"/>
                    <w:widowControl w:val="0"/>
                    <w:suppressLineNumbers w:val="0"/>
                    <w:adjustRightInd w:val="0"/>
                    <w:snapToGrid w:val="0"/>
                    <w:spacing w:before="0" w:beforeAutospacing="0" w:after="0" w:afterAutospacing="0" w:line="276" w:lineRule="auto"/>
                    <w:ind w:left="0" w:right="0"/>
                    <w:jc w:val="center"/>
                    <w:rPr>
                      <w:rFonts w:hint="default" w:ascii="Calibri" w:hAnsi="Calibri" w:cs="Times New Roman"/>
                      <w:color w:val="auto"/>
                      <w:kern w:val="2"/>
                      <w:sz w:val="21"/>
                      <w:szCs w:val="21"/>
                    </w:rPr>
                  </w:pPr>
                </w:p>
              </w:tc>
              <w:tc>
                <w:tcPr>
                  <w:tcW w:w="533" w:type="pct"/>
                  <w:vAlign w:val="center"/>
                </w:tcPr>
                <w:p w14:paraId="168FD2E4">
                  <w:pPr>
                    <w:keepNext w:val="0"/>
                    <w:keepLines w:val="0"/>
                    <w:widowControl w:val="0"/>
                    <w:suppressLineNumbers w:val="0"/>
                    <w:adjustRightInd w:val="0"/>
                    <w:snapToGrid w:val="0"/>
                    <w:spacing w:before="0" w:beforeAutospacing="0" w:after="0" w:afterAutospacing="0" w:line="276" w:lineRule="auto"/>
                    <w:ind w:left="0" w:right="0"/>
                    <w:jc w:val="center"/>
                    <w:rPr>
                      <w:rFonts w:hint="default" w:ascii="Calibri" w:hAnsi="Calibri" w:cs="Times New Roman"/>
                      <w:b/>
                      <w:color w:val="auto"/>
                      <w:kern w:val="2"/>
                      <w:sz w:val="21"/>
                      <w:szCs w:val="21"/>
                    </w:rPr>
                  </w:pPr>
                  <w:r>
                    <w:rPr>
                      <w:rFonts w:hint="default" w:ascii="Calibri" w:hAnsi="Calibri" w:cs="Times New Roman"/>
                      <w:b/>
                      <w:color w:val="auto"/>
                      <w:kern w:val="2"/>
                      <w:sz w:val="21"/>
                      <w:szCs w:val="21"/>
                    </w:rPr>
                    <w:t>审批单位</w:t>
                  </w:r>
                </w:p>
              </w:tc>
              <w:tc>
                <w:tcPr>
                  <w:tcW w:w="722" w:type="pct"/>
                  <w:vAlign w:val="center"/>
                </w:tcPr>
                <w:p w14:paraId="61B2F6F4">
                  <w:pPr>
                    <w:keepNext w:val="0"/>
                    <w:keepLines w:val="0"/>
                    <w:widowControl w:val="0"/>
                    <w:suppressLineNumbers w:val="0"/>
                    <w:adjustRightInd w:val="0"/>
                    <w:snapToGrid w:val="0"/>
                    <w:spacing w:before="0" w:beforeAutospacing="0" w:after="0" w:afterAutospacing="0" w:line="276" w:lineRule="auto"/>
                    <w:ind w:left="0" w:right="0"/>
                    <w:jc w:val="center"/>
                    <w:rPr>
                      <w:rFonts w:hint="default" w:ascii="Calibri" w:hAnsi="Calibri" w:cs="Times New Roman"/>
                      <w:b/>
                      <w:color w:val="auto"/>
                      <w:kern w:val="2"/>
                      <w:sz w:val="21"/>
                      <w:szCs w:val="21"/>
                    </w:rPr>
                  </w:pPr>
                  <w:r>
                    <w:rPr>
                      <w:rFonts w:hint="default" w:ascii="Calibri" w:hAnsi="Calibri" w:cs="Times New Roman"/>
                      <w:b/>
                      <w:color w:val="auto"/>
                      <w:kern w:val="2"/>
                      <w:sz w:val="21"/>
                      <w:szCs w:val="21"/>
                    </w:rPr>
                    <w:t>审批文号</w:t>
                  </w:r>
                </w:p>
              </w:tc>
              <w:tc>
                <w:tcPr>
                  <w:tcW w:w="389" w:type="pct"/>
                  <w:vAlign w:val="center"/>
                </w:tcPr>
                <w:p w14:paraId="1B8B96E5">
                  <w:pPr>
                    <w:keepNext w:val="0"/>
                    <w:keepLines w:val="0"/>
                    <w:widowControl w:val="0"/>
                    <w:suppressLineNumbers w:val="0"/>
                    <w:adjustRightInd w:val="0"/>
                    <w:snapToGrid w:val="0"/>
                    <w:spacing w:before="0" w:beforeAutospacing="0" w:after="0" w:afterAutospacing="0" w:line="276" w:lineRule="auto"/>
                    <w:ind w:left="0" w:right="0"/>
                    <w:jc w:val="center"/>
                    <w:rPr>
                      <w:rFonts w:hint="default" w:ascii="Calibri" w:hAnsi="Calibri" w:cs="Times New Roman"/>
                      <w:b/>
                      <w:color w:val="auto"/>
                      <w:kern w:val="2"/>
                      <w:sz w:val="21"/>
                      <w:szCs w:val="21"/>
                    </w:rPr>
                  </w:pPr>
                  <w:r>
                    <w:rPr>
                      <w:rFonts w:hint="eastAsia" w:ascii="Calibri" w:hAnsi="Calibri" w:eastAsia="宋体" w:cs="Times New Roman"/>
                      <w:b/>
                      <w:bCs w:val="0"/>
                      <w:color w:val="auto"/>
                      <w:kern w:val="2"/>
                      <w:sz w:val="21"/>
                      <w:szCs w:val="21"/>
                      <w:lang w:val="en-US" w:eastAsia="zh-CN" w:bidi="ar"/>
                    </w:rPr>
                    <w:t>验收单位</w:t>
                  </w:r>
                </w:p>
              </w:tc>
              <w:tc>
                <w:tcPr>
                  <w:tcW w:w="530" w:type="pct"/>
                  <w:vAlign w:val="center"/>
                </w:tcPr>
                <w:p w14:paraId="04CC8146">
                  <w:pPr>
                    <w:keepNext w:val="0"/>
                    <w:keepLines w:val="0"/>
                    <w:widowControl w:val="0"/>
                    <w:suppressLineNumbers w:val="0"/>
                    <w:adjustRightInd w:val="0"/>
                    <w:snapToGrid w:val="0"/>
                    <w:spacing w:before="0" w:beforeAutospacing="0" w:after="0" w:afterAutospacing="0" w:line="276" w:lineRule="auto"/>
                    <w:ind w:left="0" w:right="0"/>
                    <w:jc w:val="center"/>
                    <w:rPr>
                      <w:rFonts w:hint="default" w:ascii="Calibri" w:hAnsi="Calibri" w:cs="Times New Roman"/>
                      <w:b/>
                      <w:color w:val="auto"/>
                      <w:kern w:val="2"/>
                      <w:sz w:val="21"/>
                      <w:szCs w:val="21"/>
                    </w:rPr>
                  </w:pPr>
                  <w:r>
                    <w:rPr>
                      <w:rFonts w:hint="eastAsia" w:ascii="Calibri" w:hAnsi="Calibri" w:eastAsia="宋体" w:cs="Times New Roman"/>
                      <w:b/>
                      <w:bCs w:val="0"/>
                      <w:color w:val="auto"/>
                      <w:kern w:val="2"/>
                      <w:sz w:val="21"/>
                      <w:szCs w:val="21"/>
                      <w:lang w:val="en-US" w:eastAsia="zh-CN" w:bidi="ar"/>
                    </w:rPr>
                    <w:t>验收内容</w:t>
                  </w:r>
                </w:p>
              </w:tc>
              <w:tc>
                <w:tcPr>
                  <w:tcW w:w="2047" w:type="pct"/>
                  <w:vMerge w:val="continue"/>
                  <w:vAlign w:val="center"/>
                </w:tcPr>
                <w:p w14:paraId="47A34705">
                  <w:pPr>
                    <w:keepNext w:val="0"/>
                    <w:keepLines w:val="0"/>
                    <w:widowControl w:val="0"/>
                    <w:suppressLineNumbers w:val="0"/>
                    <w:adjustRightInd w:val="0"/>
                    <w:snapToGrid w:val="0"/>
                    <w:spacing w:before="0" w:beforeAutospacing="0" w:after="0" w:afterAutospacing="0" w:line="276" w:lineRule="auto"/>
                    <w:ind w:left="0" w:right="0"/>
                    <w:jc w:val="center"/>
                    <w:rPr>
                      <w:rFonts w:hint="eastAsia" w:ascii="Calibri" w:hAnsi="Calibri" w:eastAsia="宋体" w:cs="Times New Roman"/>
                      <w:b/>
                      <w:bCs w:val="0"/>
                      <w:color w:val="auto"/>
                      <w:kern w:val="2"/>
                      <w:sz w:val="21"/>
                      <w:szCs w:val="21"/>
                      <w:lang w:val="en-US" w:eastAsia="zh-CN" w:bidi="ar"/>
                    </w:rPr>
                  </w:pPr>
                </w:p>
              </w:tc>
            </w:tr>
            <w:tr w14:paraId="702814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7" w:type="pct"/>
                  <w:vAlign w:val="center"/>
                </w:tcPr>
                <w:p w14:paraId="703596CD">
                  <w:pPr>
                    <w:keepNext w:val="0"/>
                    <w:keepLines w:val="0"/>
                    <w:widowControl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凤台坤泰车辆动力科技有限公司集成式双电机混合动力系统（DHT）项目</w:t>
                  </w:r>
                </w:p>
              </w:tc>
              <w:tc>
                <w:tcPr>
                  <w:tcW w:w="533" w:type="pct"/>
                  <w:vAlign w:val="center"/>
                </w:tcPr>
                <w:p w14:paraId="0C165432">
                  <w:pPr>
                    <w:keepNext w:val="0"/>
                    <w:keepLines w:val="0"/>
                    <w:widowControl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淮南市凤台县生态环境分局</w:t>
                  </w:r>
                </w:p>
              </w:tc>
              <w:tc>
                <w:tcPr>
                  <w:tcW w:w="722" w:type="pct"/>
                  <w:vAlign w:val="center"/>
                </w:tcPr>
                <w:p w14:paraId="3A2A78FE">
                  <w:pPr>
                    <w:keepNext w:val="0"/>
                    <w:keepLines w:val="0"/>
                    <w:widowControl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凤环表批〔2023〕2号</w:t>
                  </w:r>
                </w:p>
              </w:tc>
              <w:tc>
                <w:tcPr>
                  <w:tcW w:w="919" w:type="pct"/>
                  <w:gridSpan w:val="2"/>
                  <w:vAlign w:val="center"/>
                </w:tcPr>
                <w:p w14:paraId="677DF690">
                  <w:pPr>
                    <w:keepNext w:val="0"/>
                    <w:keepLines w:val="0"/>
                    <w:widowControl w:val="0"/>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color w:val="auto"/>
                      <w:kern w:val="2"/>
                      <w:sz w:val="21"/>
                      <w:szCs w:val="21"/>
                      <w:lang w:val="en-US"/>
                    </w:rPr>
                  </w:pPr>
                  <w:r>
                    <w:rPr>
                      <w:rFonts w:hint="eastAsia" w:ascii="Calibri" w:hAnsi="Calibri" w:eastAsia="宋体" w:cs="Times New Roman"/>
                      <w:b w:val="0"/>
                      <w:bCs/>
                      <w:color w:val="auto"/>
                      <w:kern w:val="2"/>
                      <w:sz w:val="21"/>
                      <w:szCs w:val="21"/>
                      <w:lang w:val="en-US" w:eastAsia="zh-CN" w:bidi="ar"/>
                    </w:rPr>
                    <w:t>自主验收，阶段性验收</w:t>
                  </w:r>
                </w:p>
              </w:tc>
              <w:tc>
                <w:tcPr>
                  <w:tcW w:w="2047" w:type="pct"/>
                  <w:vAlign w:val="center"/>
                </w:tcPr>
                <w:p w14:paraId="7FC40642">
                  <w:pPr>
                    <w:keepNext w:val="0"/>
                    <w:keepLines w:val="0"/>
                    <w:widowControl w:val="0"/>
                    <w:suppressLineNumbers w:val="0"/>
                    <w:adjustRightInd w:val="0"/>
                    <w:snapToGrid w:val="0"/>
                    <w:spacing w:before="0" w:beforeAutospacing="0" w:after="0" w:afterAutospacing="0" w:line="276" w:lineRule="auto"/>
                    <w:ind w:left="0" w:right="0"/>
                    <w:jc w:val="center"/>
                    <w:rPr>
                      <w:rFonts w:hint="default" w:ascii="Times New Roman" w:hAnsi="Times New Roman" w:eastAsia="宋体" w:cs="Times New Roman"/>
                      <w:b w:val="0"/>
                      <w:bCs/>
                      <w:color w:val="auto"/>
                      <w:kern w:val="2"/>
                      <w:sz w:val="21"/>
                      <w:szCs w:val="21"/>
                      <w:lang w:val="en-US" w:eastAsia="zh-CN" w:bidi="ar"/>
                    </w:rPr>
                  </w:pPr>
                  <w:r>
                    <w:rPr>
                      <w:rFonts w:hint="default" w:ascii="Times New Roman" w:hAnsi="Times New Roman" w:eastAsia="宋体" w:cs="Times New Roman"/>
                      <w:b w:val="0"/>
                      <w:bCs/>
                      <w:color w:val="auto"/>
                      <w:kern w:val="2"/>
                      <w:sz w:val="21"/>
                      <w:szCs w:val="21"/>
                      <w:lang w:val="en-US" w:eastAsia="zh-CN" w:bidi="ar"/>
                    </w:rPr>
                    <w:t>91340421MA8PDARW6L001W</w:t>
                  </w:r>
                </w:p>
              </w:tc>
            </w:tr>
          </w:tbl>
          <w:p w14:paraId="1DF27200">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eastAsia" w:ascii="Times New Roman" w:hAnsi="Times New Roman" w:cs="Times New Roman"/>
                <w:color w:val="auto"/>
                <w:kern w:val="2"/>
              </w:rPr>
              <w:t>2、现有项目产排污环节分析</w:t>
            </w:r>
          </w:p>
          <w:p w14:paraId="620B6063">
            <w:pPr>
              <w:keepNext w:val="0"/>
              <w:keepLines w:val="0"/>
              <w:widowControl/>
              <w:suppressLineNumbers w:val="0"/>
              <w:autoSpaceDE w:val="0"/>
              <w:autoSpaceDN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eastAsia="黑体" w:cs="Times New Roman"/>
                <w:bCs/>
                <w:color w:val="auto"/>
                <w:kern w:val="2"/>
              </w:rPr>
              <w:t>表2-</w:t>
            </w:r>
            <w:r>
              <w:rPr>
                <w:rFonts w:hint="eastAsia" w:ascii="Times New Roman" w:hAnsi="Times New Roman" w:eastAsia="黑体" w:cs="Times New Roman"/>
                <w:bCs/>
                <w:color w:val="auto"/>
                <w:kern w:val="2"/>
              </w:rPr>
              <w:t>1</w:t>
            </w:r>
            <w:r>
              <w:rPr>
                <w:rFonts w:hint="eastAsia" w:ascii="Times New Roman" w:hAnsi="Times New Roman" w:eastAsia="黑体" w:cs="Times New Roman"/>
                <w:bCs/>
                <w:color w:val="auto"/>
                <w:kern w:val="2"/>
                <w:lang w:val="en-US" w:eastAsia="zh-CN"/>
              </w:rPr>
              <w:t>3</w:t>
            </w:r>
            <w:r>
              <w:rPr>
                <w:rFonts w:hint="eastAsia" w:ascii="Times New Roman" w:hAnsi="Times New Roman" w:eastAsia="黑体" w:cs="Times New Roman"/>
                <w:bCs/>
                <w:color w:val="auto"/>
                <w:kern w:val="2"/>
              </w:rPr>
              <w:t xml:space="preserve">  </w:t>
            </w:r>
            <w:r>
              <w:rPr>
                <w:rFonts w:hint="default" w:ascii="Times New Roman" w:hAnsi="黑体" w:eastAsia="黑体" w:cs="Times New Roman"/>
                <w:bCs/>
                <w:color w:val="auto"/>
                <w:kern w:val="2"/>
              </w:rPr>
              <w:t>产污环节分析表</w:t>
            </w:r>
          </w:p>
          <w:tbl>
            <w:tblPr>
              <w:tblStyle w:val="9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15"/>
              <w:gridCol w:w="426"/>
              <w:gridCol w:w="1433"/>
              <w:gridCol w:w="1101"/>
              <w:gridCol w:w="1511"/>
              <w:gridCol w:w="2902"/>
            </w:tblGrid>
            <w:tr w14:paraId="243BF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8" w:type="pct"/>
                  <w:gridSpan w:val="2"/>
                  <w:vAlign w:val="center"/>
                </w:tcPr>
                <w:p w14:paraId="2CDB4726">
                  <w:pPr>
                    <w:pStyle w:val="7"/>
                    <w:keepNext w:val="0"/>
                    <w:keepLines w:val="0"/>
                    <w:widowControl/>
                    <w:suppressLineNumbers w:val="0"/>
                    <w:spacing w:before="0" w:beforeAutospacing="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项目</w:t>
                  </w:r>
                </w:p>
              </w:tc>
              <w:tc>
                <w:tcPr>
                  <w:tcW w:w="854" w:type="pct"/>
                  <w:vAlign w:val="center"/>
                </w:tcPr>
                <w:p w14:paraId="3AF9FDA5">
                  <w:pPr>
                    <w:pStyle w:val="7"/>
                    <w:keepNext w:val="0"/>
                    <w:keepLines w:val="0"/>
                    <w:widowControl/>
                    <w:suppressLineNumbers w:val="0"/>
                    <w:spacing w:before="0" w:beforeAutospacing="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污染物来源</w:t>
                  </w:r>
                </w:p>
              </w:tc>
              <w:tc>
                <w:tcPr>
                  <w:tcW w:w="656" w:type="pct"/>
                  <w:vAlign w:val="center"/>
                </w:tcPr>
                <w:p w14:paraId="7C57FF39">
                  <w:pPr>
                    <w:pStyle w:val="7"/>
                    <w:keepNext w:val="0"/>
                    <w:keepLines w:val="0"/>
                    <w:widowControl/>
                    <w:suppressLineNumbers w:val="0"/>
                    <w:spacing w:before="0" w:beforeAutospacing="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产污环节</w:t>
                  </w:r>
                </w:p>
              </w:tc>
              <w:tc>
                <w:tcPr>
                  <w:tcW w:w="900" w:type="pct"/>
                  <w:vAlign w:val="center"/>
                </w:tcPr>
                <w:p w14:paraId="2789C908">
                  <w:pPr>
                    <w:pStyle w:val="7"/>
                    <w:keepNext w:val="0"/>
                    <w:keepLines w:val="0"/>
                    <w:widowControl/>
                    <w:suppressLineNumbers w:val="0"/>
                    <w:spacing w:before="0" w:beforeAutospacing="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主要污染因子</w:t>
                  </w:r>
                </w:p>
              </w:tc>
              <w:tc>
                <w:tcPr>
                  <w:tcW w:w="1729" w:type="pct"/>
                  <w:vAlign w:val="center"/>
                </w:tcPr>
                <w:p w14:paraId="7A6A2ABE">
                  <w:pPr>
                    <w:pStyle w:val="7"/>
                    <w:keepNext w:val="0"/>
                    <w:keepLines w:val="0"/>
                    <w:widowControl/>
                    <w:suppressLineNumbers w:val="0"/>
                    <w:spacing w:before="0" w:beforeAutospacing="0" w:afterAutospacing="0"/>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处理措施</w:t>
                  </w:r>
                </w:p>
              </w:tc>
            </w:tr>
            <w:tr w14:paraId="295262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8" w:type="pct"/>
                  <w:gridSpan w:val="2"/>
                  <w:vMerge w:val="restart"/>
                  <w:vAlign w:val="center"/>
                </w:tcPr>
                <w:p w14:paraId="272C5CF0">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废气</w:t>
                  </w:r>
                </w:p>
              </w:tc>
              <w:tc>
                <w:tcPr>
                  <w:tcW w:w="854" w:type="pct"/>
                  <w:vAlign w:val="center"/>
                </w:tcPr>
                <w:p w14:paraId="2314AED3">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涂胶、烘干废气</w:t>
                  </w:r>
                </w:p>
              </w:tc>
              <w:tc>
                <w:tcPr>
                  <w:tcW w:w="656" w:type="pct"/>
                  <w:vAlign w:val="center"/>
                </w:tcPr>
                <w:p w14:paraId="527F746B">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涂胶</w:t>
                  </w:r>
                </w:p>
              </w:tc>
              <w:tc>
                <w:tcPr>
                  <w:tcW w:w="900" w:type="pct"/>
                  <w:vAlign w:val="center"/>
                </w:tcPr>
                <w:p w14:paraId="457CFDA9">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非甲烷总烃</w:t>
                  </w:r>
                </w:p>
              </w:tc>
              <w:tc>
                <w:tcPr>
                  <w:tcW w:w="1729" w:type="pct"/>
                  <w:vAlign w:val="center"/>
                </w:tcPr>
                <w:p w14:paraId="7398E222">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无组织</w:t>
                  </w:r>
                  <w:r>
                    <w:rPr>
                      <w:rFonts w:hint="default" w:ascii="Times New Roman" w:hAnsi="Times New Roman" w:cs="Times New Roman"/>
                      <w:color w:val="auto"/>
                      <w:kern w:val="2"/>
                      <w:sz w:val="21"/>
                      <w:szCs w:val="21"/>
                    </w:rPr>
                    <w:t>排放</w:t>
                  </w:r>
                </w:p>
              </w:tc>
            </w:tr>
            <w:tr w14:paraId="6246E8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8" w:type="pct"/>
                  <w:gridSpan w:val="2"/>
                  <w:vMerge w:val="continue"/>
                  <w:vAlign w:val="center"/>
                </w:tcPr>
                <w:p w14:paraId="78A0675A">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c>
                <w:tcPr>
                  <w:tcW w:w="854" w:type="pct"/>
                  <w:vAlign w:val="center"/>
                </w:tcPr>
                <w:p w14:paraId="6D177B33">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打标废气</w:t>
                  </w:r>
                </w:p>
              </w:tc>
              <w:tc>
                <w:tcPr>
                  <w:tcW w:w="656" w:type="pct"/>
                  <w:vAlign w:val="center"/>
                </w:tcPr>
                <w:p w14:paraId="00AD1B63">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激光打标</w:t>
                  </w:r>
                </w:p>
              </w:tc>
              <w:tc>
                <w:tcPr>
                  <w:tcW w:w="900" w:type="pct"/>
                  <w:vAlign w:val="center"/>
                </w:tcPr>
                <w:p w14:paraId="6882BDAE">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颗粒物</w:t>
                  </w:r>
                </w:p>
              </w:tc>
              <w:tc>
                <w:tcPr>
                  <w:tcW w:w="1729" w:type="pct"/>
                  <w:vAlign w:val="center"/>
                </w:tcPr>
                <w:p w14:paraId="712C6409">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无组织</w:t>
                  </w:r>
                  <w:r>
                    <w:rPr>
                      <w:rFonts w:hint="default" w:ascii="Times New Roman" w:hAnsi="Times New Roman" w:cs="Times New Roman"/>
                      <w:color w:val="auto"/>
                      <w:kern w:val="2"/>
                      <w:sz w:val="21"/>
                      <w:szCs w:val="21"/>
                    </w:rPr>
                    <w:t>排放</w:t>
                  </w:r>
                </w:p>
              </w:tc>
            </w:tr>
            <w:tr w14:paraId="5C8311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8" w:type="pct"/>
                  <w:gridSpan w:val="2"/>
                  <w:vMerge w:val="continue"/>
                  <w:vAlign w:val="center"/>
                </w:tcPr>
                <w:p w14:paraId="54EB7B32">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c>
                <w:tcPr>
                  <w:tcW w:w="854" w:type="pct"/>
                  <w:vAlign w:val="center"/>
                </w:tcPr>
                <w:p w14:paraId="4E7E4052">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加油、抽油废气</w:t>
                  </w:r>
                </w:p>
              </w:tc>
              <w:tc>
                <w:tcPr>
                  <w:tcW w:w="656" w:type="pct"/>
                  <w:vAlign w:val="center"/>
                </w:tcPr>
                <w:p w14:paraId="333E692B">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加油、抽油</w:t>
                  </w:r>
                </w:p>
              </w:tc>
              <w:tc>
                <w:tcPr>
                  <w:tcW w:w="900" w:type="pct"/>
                  <w:vAlign w:val="center"/>
                </w:tcPr>
                <w:p w14:paraId="75DA2EB3">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油雾（非甲烷总烃）</w:t>
                  </w:r>
                </w:p>
              </w:tc>
              <w:tc>
                <w:tcPr>
                  <w:tcW w:w="1729" w:type="pct"/>
                  <w:vAlign w:val="center"/>
                </w:tcPr>
                <w:p w14:paraId="079DAD5F">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无组织</w:t>
                  </w:r>
                  <w:r>
                    <w:rPr>
                      <w:rFonts w:hint="default" w:ascii="Times New Roman" w:hAnsi="Times New Roman" w:cs="Times New Roman"/>
                      <w:color w:val="auto"/>
                      <w:kern w:val="2"/>
                      <w:sz w:val="21"/>
                      <w:szCs w:val="21"/>
                    </w:rPr>
                    <w:t>排放</w:t>
                  </w:r>
                </w:p>
              </w:tc>
            </w:tr>
            <w:tr w14:paraId="13444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8" w:type="pct"/>
                  <w:gridSpan w:val="2"/>
                  <w:vMerge w:val="continue"/>
                  <w:vAlign w:val="center"/>
                </w:tcPr>
                <w:p w14:paraId="04F9058A">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c>
                <w:tcPr>
                  <w:tcW w:w="854" w:type="pct"/>
                  <w:vAlign w:val="center"/>
                </w:tcPr>
                <w:p w14:paraId="3BB5655D">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碳氢清洗机废气</w:t>
                  </w:r>
                </w:p>
              </w:tc>
              <w:tc>
                <w:tcPr>
                  <w:tcW w:w="656" w:type="pct"/>
                  <w:vAlign w:val="center"/>
                </w:tcPr>
                <w:p w14:paraId="52CC406E">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清洗</w:t>
                  </w:r>
                </w:p>
              </w:tc>
              <w:tc>
                <w:tcPr>
                  <w:tcW w:w="900" w:type="pct"/>
                  <w:vAlign w:val="center"/>
                </w:tcPr>
                <w:p w14:paraId="794A1026">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非甲烷总烃</w:t>
                  </w:r>
                </w:p>
              </w:tc>
              <w:tc>
                <w:tcPr>
                  <w:tcW w:w="1729" w:type="pct"/>
                  <w:vAlign w:val="center"/>
                </w:tcPr>
                <w:p w14:paraId="747CA8B2">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通过密闭收集+二级活性炭吸附装置+15m排气筒（DA00</w:t>
                  </w:r>
                  <w:r>
                    <w:rPr>
                      <w:rFonts w:hint="eastAsia" w:ascii="Times New Roman" w:hAnsi="Times New Roman" w:cs="Times New Roman"/>
                      <w:color w:val="auto"/>
                      <w:kern w:val="2"/>
                      <w:sz w:val="21"/>
                      <w:szCs w:val="21"/>
                    </w:rPr>
                    <w:t>1</w:t>
                  </w:r>
                  <w:r>
                    <w:rPr>
                      <w:rFonts w:hint="default" w:ascii="Times New Roman" w:hAnsi="Times New Roman" w:cs="Times New Roman"/>
                      <w:color w:val="auto"/>
                      <w:kern w:val="2"/>
                      <w:sz w:val="21"/>
                      <w:szCs w:val="21"/>
                    </w:rPr>
                    <w:t>）排放</w:t>
                  </w:r>
                </w:p>
              </w:tc>
            </w:tr>
            <w:tr w14:paraId="44E0B6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8" w:type="pct"/>
                  <w:gridSpan w:val="2"/>
                  <w:vAlign w:val="center"/>
                </w:tcPr>
                <w:p w14:paraId="2B605472">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废水</w:t>
                  </w:r>
                </w:p>
              </w:tc>
              <w:tc>
                <w:tcPr>
                  <w:tcW w:w="854" w:type="pct"/>
                  <w:vAlign w:val="center"/>
                </w:tcPr>
                <w:p w14:paraId="19661D2A">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生活污水</w:t>
                  </w:r>
                </w:p>
              </w:tc>
              <w:tc>
                <w:tcPr>
                  <w:tcW w:w="656" w:type="pct"/>
                  <w:vAlign w:val="center"/>
                </w:tcPr>
                <w:p w14:paraId="65FBE32E">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生活办公</w:t>
                  </w:r>
                </w:p>
              </w:tc>
              <w:tc>
                <w:tcPr>
                  <w:tcW w:w="900" w:type="pct"/>
                  <w:vAlign w:val="center"/>
                </w:tcPr>
                <w:p w14:paraId="3D1FB921">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pH、CODcr、BOD</w:t>
                  </w:r>
                  <w:r>
                    <w:rPr>
                      <w:rFonts w:hint="default" w:ascii="Times New Roman" w:hAnsi="Times New Roman" w:cs="Times New Roman"/>
                      <w:color w:val="auto"/>
                      <w:kern w:val="2"/>
                      <w:sz w:val="21"/>
                      <w:szCs w:val="21"/>
                      <w:vertAlign w:val="subscript"/>
                    </w:rPr>
                    <w:t>5</w:t>
                  </w:r>
                  <w:r>
                    <w:rPr>
                      <w:rFonts w:hint="default" w:ascii="Times New Roman" w:hAnsi="Times New Roman" w:cs="Times New Roman"/>
                      <w:color w:val="auto"/>
                      <w:kern w:val="2"/>
                      <w:sz w:val="21"/>
                      <w:szCs w:val="21"/>
                    </w:rPr>
                    <w:t>、SS、氨氮等</w:t>
                  </w:r>
                </w:p>
              </w:tc>
              <w:tc>
                <w:tcPr>
                  <w:tcW w:w="1729" w:type="pct"/>
                  <w:vAlign w:val="center"/>
                </w:tcPr>
                <w:p w14:paraId="1B365DC9">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收集进入厂区化粪池处理达标后通过市政管网进入凤台县经济开发区凤凰湖园区污水处理厂</w:t>
                  </w:r>
                </w:p>
              </w:tc>
            </w:tr>
            <w:tr w14:paraId="7A233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8" w:type="pct"/>
                  <w:gridSpan w:val="2"/>
                  <w:vMerge w:val="restart"/>
                  <w:vAlign w:val="center"/>
                </w:tcPr>
                <w:p w14:paraId="1CBB5324">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噪声</w:t>
                  </w:r>
                </w:p>
              </w:tc>
              <w:tc>
                <w:tcPr>
                  <w:tcW w:w="854" w:type="pct"/>
                  <w:vAlign w:val="center"/>
                </w:tcPr>
                <w:p w14:paraId="1947CE47">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打标机</w:t>
                  </w:r>
                </w:p>
              </w:tc>
              <w:tc>
                <w:tcPr>
                  <w:tcW w:w="656" w:type="pct"/>
                  <w:vAlign w:val="center"/>
                </w:tcPr>
                <w:p w14:paraId="34401BED">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激光打标</w:t>
                  </w:r>
                </w:p>
              </w:tc>
              <w:tc>
                <w:tcPr>
                  <w:tcW w:w="900" w:type="pct"/>
                  <w:vAlign w:val="center"/>
                </w:tcPr>
                <w:p w14:paraId="4015E764">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噪声</w:t>
                  </w:r>
                </w:p>
              </w:tc>
              <w:tc>
                <w:tcPr>
                  <w:tcW w:w="1729" w:type="pct"/>
                  <w:vMerge w:val="restart"/>
                  <w:vAlign w:val="center"/>
                </w:tcPr>
                <w:p w14:paraId="56897BC6">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选用低噪声设备，车间内布置隔声减震等设施</w:t>
                  </w:r>
                </w:p>
              </w:tc>
            </w:tr>
            <w:tr w14:paraId="56089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8" w:type="pct"/>
                  <w:gridSpan w:val="2"/>
                  <w:vMerge w:val="continue"/>
                  <w:vAlign w:val="center"/>
                </w:tcPr>
                <w:p w14:paraId="795C089B">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c>
                <w:tcPr>
                  <w:tcW w:w="854" w:type="pct"/>
                  <w:vAlign w:val="center"/>
                </w:tcPr>
                <w:p w14:paraId="4F40C775">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注油设备</w:t>
                  </w:r>
                </w:p>
              </w:tc>
              <w:tc>
                <w:tcPr>
                  <w:tcW w:w="656" w:type="pct"/>
                  <w:vAlign w:val="center"/>
                </w:tcPr>
                <w:p w14:paraId="204A6B35">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加油、抽油</w:t>
                  </w:r>
                </w:p>
              </w:tc>
              <w:tc>
                <w:tcPr>
                  <w:tcW w:w="900" w:type="pct"/>
                  <w:vAlign w:val="center"/>
                </w:tcPr>
                <w:p w14:paraId="4B98B4F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噪声</w:t>
                  </w:r>
                </w:p>
              </w:tc>
              <w:tc>
                <w:tcPr>
                  <w:tcW w:w="1729" w:type="pct"/>
                  <w:vMerge w:val="continue"/>
                  <w:vAlign w:val="center"/>
                </w:tcPr>
                <w:p w14:paraId="7A0B2A2F">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r>
            <w:tr w14:paraId="7F9B84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8" w:type="pct"/>
                  <w:gridSpan w:val="2"/>
                  <w:vMerge w:val="continue"/>
                  <w:vAlign w:val="center"/>
                </w:tcPr>
                <w:p w14:paraId="66F21FD1">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c>
                <w:tcPr>
                  <w:tcW w:w="854" w:type="pct"/>
                  <w:vAlign w:val="center"/>
                </w:tcPr>
                <w:p w14:paraId="3406D93B">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冷却塔</w:t>
                  </w:r>
                </w:p>
              </w:tc>
              <w:tc>
                <w:tcPr>
                  <w:tcW w:w="656" w:type="pct"/>
                  <w:vAlign w:val="center"/>
                </w:tcPr>
                <w:p w14:paraId="395DA2AD">
                  <w:pPr>
                    <w:pStyle w:val="7"/>
                    <w:keepNext w:val="0"/>
                    <w:keepLines w:val="0"/>
                    <w:widowControl/>
                    <w:suppressLineNumbers w:val="0"/>
                    <w:spacing w:before="0" w:beforeAutospacing="0" w:afterAutospacing="0"/>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冷凝循环</w:t>
                  </w:r>
                </w:p>
              </w:tc>
              <w:tc>
                <w:tcPr>
                  <w:tcW w:w="900" w:type="pct"/>
                  <w:vAlign w:val="center"/>
                </w:tcPr>
                <w:p w14:paraId="0CCFCF5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噪声</w:t>
                  </w:r>
                </w:p>
              </w:tc>
              <w:tc>
                <w:tcPr>
                  <w:tcW w:w="1729" w:type="pct"/>
                  <w:vMerge w:val="continue"/>
                  <w:vAlign w:val="center"/>
                </w:tcPr>
                <w:p w14:paraId="49C32084">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r>
            <w:tr w14:paraId="62511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8" w:type="pct"/>
                  <w:gridSpan w:val="2"/>
                  <w:vMerge w:val="continue"/>
                  <w:vAlign w:val="center"/>
                </w:tcPr>
                <w:p w14:paraId="36A2B837">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c>
                <w:tcPr>
                  <w:tcW w:w="854" w:type="pct"/>
                  <w:vAlign w:val="center"/>
                </w:tcPr>
                <w:p w14:paraId="5BB8F126">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空压机</w:t>
                  </w:r>
                </w:p>
              </w:tc>
              <w:tc>
                <w:tcPr>
                  <w:tcW w:w="656" w:type="pct"/>
                  <w:vAlign w:val="center"/>
                </w:tcPr>
                <w:p w14:paraId="43D1EF9E">
                  <w:pPr>
                    <w:pStyle w:val="7"/>
                    <w:keepNext w:val="0"/>
                    <w:keepLines w:val="0"/>
                    <w:widowControl/>
                    <w:suppressLineNumbers w:val="0"/>
                    <w:spacing w:before="0" w:beforeAutospacing="0" w:afterAutospacing="0"/>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空气压缩</w:t>
                  </w:r>
                </w:p>
              </w:tc>
              <w:tc>
                <w:tcPr>
                  <w:tcW w:w="900" w:type="pct"/>
                  <w:vAlign w:val="center"/>
                </w:tcPr>
                <w:p w14:paraId="6A58C38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噪声</w:t>
                  </w:r>
                </w:p>
              </w:tc>
              <w:tc>
                <w:tcPr>
                  <w:tcW w:w="1729" w:type="pct"/>
                  <w:vMerge w:val="continue"/>
                  <w:vAlign w:val="center"/>
                </w:tcPr>
                <w:p w14:paraId="49F21200">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r>
            <w:tr w14:paraId="458757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58" w:type="pct"/>
                  <w:gridSpan w:val="2"/>
                  <w:vMerge w:val="continue"/>
                  <w:vAlign w:val="center"/>
                </w:tcPr>
                <w:p w14:paraId="38830A74">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c>
                <w:tcPr>
                  <w:tcW w:w="854" w:type="pct"/>
                  <w:vAlign w:val="center"/>
                </w:tcPr>
                <w:p w14:paraId="1BDA9ED9">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风机</w:t>
                  </w:r>
                </w:p>
              </w:tc>
              <w:tc>
                <w:tcPr>
                  <w:tcW w:w="656" w:type="pct"/>
                  <w:vAlign w:val="center"/>
                </w:tcPr>
                <w:p w14:paraId="4C1CEBBF">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废气治理</w:t>
                  </w:r>
                </w:p>
              </w:tc>
              <w:tc>
                <w:tcPr>
                  <w:tcW w:w="900" w:type="pct"/>
                  <w:vAlign w:val="center"/>
                </w:tcPr>
                <w:p w14:paraId="5E2F84A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噪声</w:t>
                  </w:r>
                </w:p>
              </w:tc>
              <w:tc>
                <w:tcPr>
                  <w:tcW w:w="1729" w:type="pct"/>
                  <w:vMerge w:val="continue"/>
                  <w:vAlign w:val="center"/>
                </w:tcPr>
                <w:p w14:paraId="3FA7A162">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r>
            <w:tr w14:paraId="1E2582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restart"/>
                  <w:vAlign w:val="center"/>
                </w:tcPr>
                <w:p w14:paraId="6441DDDD">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固废</w:t>
                  </w:r>
                </w:p>
              </w:tc>
              <w:tc>
                <w:tcPr>
                  <w:tcW w:w="253" w:type="pct"/>
                  <w:vAlign w:val="center"/>
                </w:tcPr>
                <w:p w14:paraId="649EC199">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854" w:type="pct"/>
                  <w:vAlign w:val="center"/>
                </w:tcPr>
                <w:p w14:paraId="206C42A4">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生活垃圾</w:t>
                  </w:r>
                </w:p>
              </w:tc>
              <w:tc>
                <w:tcPr>
                  <w:tcW w:w="656" w:type="pct"/>
                  <w:vAlign w:val="center"/>
                </w:tcPr>
                <w:p w14:paraId="0F5B0924">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职工生活</w:t>
                  </w:r>
                </w:p>
              </w:tc>
              <w:tc>
                <w:tcPr>
                  <w:tcW w:w="900" w:type="pct"/>
                  <w:vAlign w:val="center"/>
                </w:tcPr>
                <w:p w14:paraId="4EF4502A">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1729" w:type="pct"/>
                  <w:vAlign w:val="center"/>
                </w:tcPr>
                <w:p w14:paraId="35A35E67">
                  <w:pPr>
                    <w:pStyle w:val="68"/>
                    <w:keepNext w:val="0"/>
                    <w:keepLines w:val="0"/>
                    <w:widowControl/>
                    <w:suppressLineNumbers w:val="0"/>
                    <w:spacing w:beforeAutospacing="0" w:afterAutospacing="0" w:line="240" w:lineRule="auto"/>
                    <w:ind w:left="0" w:right="0"/>
                    <w:rPr>
                      <w:rFonts w:hint="default" w:ascii="Times New Roman" w:hAnsi="Times New Roman" w:eastAsia="宋体"/>
                      <w:b w:val="0"/>
                      <w:color w:val="auto"/>
                      <w:kern w:val="2"/>
                      <w:sz w:val="21"/>
                      <w:szCs w:val="21"/>
                    </w:rPr>
                  </w:pPr>
                  <w:r>
                    <w:rPr>
                      <w:rFonts w:hint="default" w:ascii="Times New Roman" w:hAnsi="Times New Roman" w:eastAsia="宋体"/>
                      <w:b w:val="0"/>
                      <w:color w:val="auto"/>
                      <w:kern w:val="2"/>
                      <w:sz w:val="21"/>
                      <w:szCs w:val="21"/>
                    </w:rPr>
                    <w:t>委托当地环卫部门进行清运处理</w:t>
                  </w:r>
                </w:p>
              </w:tc>
            </w:tr>
            <w:tr w14:paraId="0D3CB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vAlign w:val="center"/>
                </w:tcPr>
                <w:p w14:paraId="262FE6B7">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c>
                <w:tcPr>
                  <w:tcW w:w="253" w:type="pct"/>
                  <w:vMerge w:val="restart"/>
                  <w:vAlign w:val="center"/>
                </w:tcPr>
                <w:p w14:paraId="6E6CA9A4">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一般固废</w:t>
                  </w:r>
                </w:p>
              </w:tc>
              <w:tc>
                <w:tcPr>
                  <w:tcW w:w="854" w:type="pct"/>
                  <w:vAlign w:val="center"/>
                </w:tcPr>
                <w:p w14:paraId="35606E27">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不合格零件</w:t>
                  </w:r>
                </w:p>
              </w:tc>
              <w:tc>
                <w:tcPr>
                  <w:tcW w:w="656" w:type="pct"/>
                  <w:vAlign w:val="center"/>
                </w:tcPr>
                <w:p w14:paraId="640B0AE5">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来料清洗、气密性测试、过预测台</w:t>
                  </w:r>
                </w:p>
              </w:tc>
              <w:tc>
                <w:tcPr>
                  <w:tcW w:w="900" w:type="pct"/>
                  <w:vAlign w:val="center"/>
                </w:tcPr>
                <w:p w14:paraId="49AF77E8">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1729" w:type="pct"/>
                  <w:vAlign w:val="center"/>
                </w:tcPr>
                <w:p w14:paraId="64119822">
                  <w:pPr>
                    <w:pStyle w:val="68"/>
                    <w:keepNext w:val="0"/>
                    <w:keepLines w:val="0"/>
                    <w:widowControl/>
                    <w:suppressLineNumbers w:val="0"/>
                    <w:spacing w:beforeAutospacing="0" w:afterAutospacing="0" w:line="240" w:lineRule="auto"/>
                    <w:ind w:left="0" w:right="0"/>
                    <w:rPr>
                      <w:rFonts w:hint="default" w:ascii="Times New Roman" w:hAnsi="Times New Roman" w:eastAsia="宋体"/>
                      <w:b w:val="0"/>
                      <w:color w:val="auto"/>
                      <w:kern w:val="2"/>
                      <w:sz w:val="21"/>
                      <w:szCs w:val="21"/>
                    </w:rPr>
                  </w:pPr>
                  <w:r>
                    <w:rPr>
                      <w:rFonts w:hint="default" w:ascii="Times New Roman" w:hAnsi="Times New Roman" w:eastAsia="宋体"/>
                      <w:b w:val="0"/>
                      <w:color w:val="auto"/>
                      <w:kern w:val="2"/>
                      <w:sz w:val="21"/>
                      <w:szCs w:val="21"/>
                    </w:rPr>
                    <w:t>统</w:t>
                  </w:r>
                </w:p>
                <w:p w14:paraId="14B05E2C">
                  <w:pPr>
                    <w:pStyle w:val="68"/>
                    <w:keepNext w:val="0"/>
                    <w:keepLines w:val="0"/>
                    <w:widowControl/>
                    <w:suppressLineNumbers w:val="0"/>
                    <w:spacing w:beforeAutospacing="0" w:afterAutospacing="0" w:line="240" w:lineRule="auto"/>
                    <w:ind w:left="0" w:right="0"/>
                    <w:rPr>
                      <w:rFonts w:hint="default" w:ascii="Times New Roman" w:hAnsi="Times New Roman" w:eastAsia="宋体"/>
                      <w:b w:val="0"/>
                      <w:color w:val="auto"/>
                      <w:kern w:val="2"/>
                      <w:sz w:val="21"/>
                      <w:szCs w:val="21"/>
                    </w:rPr>
                  </w:pPr>
                  <w:r>
                    <w:rPr>
                      <w:rFonts w:hint="default" w:ascii="Times New Roman" w:hAnsi="Times New Roman" w:eastAsia="宋体"/>
                      <w:b w:val="0"/>
                      <w:color w:val="auto"/>
                      <w:kern w:val="2"/>
                      <w:sz w:val="21"/>
                      <w:szCs w:val="21"/>
                    </w:rPr>
                    <w:t>一收集后委托厂家处理</w:t>
                  </w:r>
                </w:p>
              </w:tc>
            </w:tr>
            <w:tr w14:paraId="2D781E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vAlign w:val="center"/>
                </w:tcPr>
                <w:p w14:paraId="7786624E">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c>
                <w:tcPr>
                  <w:tcW w:w="253" w:type="pct"/>
                  <w:vMerge w:val="continue"/>
                  <w:vAlign w:val="center"/>
                </w:tcPr>
                <w:p w14:paraId="78EB1CC7">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c>
                <w:tcPr>
                  <w:tcW w:w="854" w:type="pct"/>
                  <w:vAlign w:val="center"/>
                </w:tcPr>
                <w:p w14:paraId="0DC40DA0">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废包装材料</w:t>
                  </w:r>
                </w:p>
              </w:tc>
              <w:tc>
                <w:tcPr>
                  <w:tcW w:w="656" w:type="pct"/>
                  <w:vAlign w:val="center"/>
                </w:tcPr>
                <w:p w14:paraId="6F0956ED">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出库包装</w:t>
                  </w:r>
                </w:p>
              </w:tc>
              <w:tc>
                <w:tcPr>
                  <w:tcW w:w="900" w:type="pct"/>
                  <w:vAlign w:val="center"/>
                </w:tcPr>
                <w:p w14:paraId="6288E8D6">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1729" w:type="pct"/>
                  <w:vAlign w:val="center"/>
                </w:tcPr>
                <w:p w14:paraId="0B7776EE">
                  <w:pPr>
                    <w:pStyle w:val="68"/>
                    <w:keepNext w:val="0"/>
                    <w:keepLines w:val="0"/>
                    <w:widowControl/>
                    <w:suppressLineNumbers w:val="0"/>
                    <w:spacing w:beforeAutospacing="0" w:afterAutospacing="0" w:line="240" w:lineRule="auto"/>
                    <w:ind w:left="0" w:right="0"/>
                    <w:rPr>
                      <w:rFonts w:hint="default" w:ascii="Times New Roman" w:hAnsi="Times New Roman" w:eastAsia="宋体"/>
                      <w:b w:val="0"/>
                      <w:color w:val="auto"/>
                      <w:kern w:val="2"/>
                      <w:sz w:val="21"/>
                      <w:szCs w:val="21"/>
                    </w:rPr>
                  </w:pPr>
                  <w:r>
                    <w:rPr>
                      <w:rFonts w:hint="default" w:ascii="Times New Roman" w:hAnsi="Times New Roman" w:eastAsia="宋体"/>
                      <w:b w:val="0"/>
                      <w:color w:val="auto"/>
                      <w:kern w:val="2"/>
                      <w:sz w:val="21"/>
                      <w:szCs w:val="21"/>
                    </w:rPr>
                    <w:t>统一收集后，外售至废品收购站</w:t>
                  </w:r>
                </w:p>
              </w:tc>
            </w:tr>
            <w:tr w14:paraId="45188F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vAlign w:val="center"/>
                </w:tcPr>
                <w:p w14:paraId="33F08691">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c>
                <w:tcPr>
                  <w:tcW w:w="253" w:type="pct"/>
                  <w:vMerge w:val="restart"/>
                  <w:vAlign w:val="center"/>
                </w:tcPr>
                <w:p w14:paraId="5754995C">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危险废物</w:t>
                  </w:r>
                </w:p>
              </w:tc>
              <w:tc>
                <w:tcPr>
                  <w:tcW w:w="854" w:type="pct"/>
                  <w:vAlign w:val="center"/>
                </w:tcPr>
                <w:p w14:paraId="1A22C5A2">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废活性炭</w:t>
                  </w:r>
                </w:p>
              </w:tc>
              <w:tc>
                <w:tcPr>
                  <w:tcW w:w="656" w:type="pct"/>
                  <w:vAlign w:val="center"/>
                </w:tcPr>
                <w:p w14:paraId="33105374">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废气治理</w:t>
                  </w:r>
                </w:p>
              </w:tc>
              <w:tc>
                <w:tcPr>
                  <w:tcW w:w="900" w:type="pct"/>
                  <w:vAlign w:val="center"/>
                </w:tcPr>
                <w:p w14:paraId="2E0E9425">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1729" w:type="pct"/>
                  <w:vMerge w:val="restart"/>
                  <w:vAlign w:val="center"/>
                </w:tcPr>
                <w:p w14:paraId="4744E6D9">
                  <w:pPr>
                    <w:pStyle w:val="22"/>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经专门的收集桶收集后放置在危废暂存间中暂存，</w:t>
                  </w:r>
                  <w:r>
                    <w:rPr>
                      <w:rFonts w:hint="eastAsia" w:ascii="Times New Roman" w:hAnsi="Times New Roman" w:cs="Times New Roman"/>
                      <w:color w:val="auto"/>
                      <w:kern w:val="2"/>
                      <w:sz w:val="21"/>
                      <w:szCs w:val="21"/>
                      <w:highlight w:val="none"/>
                      <w:lang w:val="en-US" w:eastAsia="zh-CN"/>
                    </w:rPr>
                    <w:t>定期</w:t>
                  </w:r>
                  <w:r>
                    <w:rPr>
                      <w:rFonts w:hint="default" w:ascii="Times New Roman" w:hAnsi="Times New Roman" w:cs="Times New Roman"/>
                      <w:color w:val="auto"/>
                      <w:kern w:val="2"/>
                      <w:sz w:val="21"/>
                      <w:szCs w:val="21"/>
                    </w:rPr>
                    <w:t>送至</w:t>
                  </w:r>
                  <w:r>
                    <w:rPr>
                      <w:rFonts w:hint="eastAsia" w:ascii="Times New Roman" w:hAnsi="宋体"/>
                      <w:color w:val="auto"/>
                      <w:kern w:val="2"/>
                      <w:sz w:val="21"/>
                      <w:szCs w:val="21"/>
                      <w:lang w:val="en-US" w:eastAsia="zh-CN"/>
                    </w:rPr>
                    <w:t>蚌埠市康城医疗废物集中处置有限公司</w:t>
                  </w:r>
                  <w:r>
                    <w:rPr>
                      <w:rFonts w:hint="default" w:ascii="Times New Roman" w:hAnsi="Times New Roman" w:cs="Times New Roman"/>
                      <w:color w:val="auto"/>
                      <w:kern w:val="2"/>
                      <w:sz w:val="21"/>
                      <w:szCs w:val="21"/>
                    </w:rPr>
                    <w:t>进行无害化处理。</w:t>
                  </w:r>
                </w:p>
              </w:tc>
            </w:tr>
            <w:tr w14:paraId="67704C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vAlign w:val="center"/>
                </w:tcPr>
                <w:p w14:paraId="3D77A146">
                  <w:pPr>
                    <w:pStyle w:val="7"/>
                    <w:keepNext w:val="0"/>
                    <w:keepLines w:val="0"/>
                    <w:widowControl/>
                    <w:suppressLineNumbers w:val="0"/>
                    <w:spacing w:before="0" w:beforeAutospacing="0" w:afterAutospacing="0"/>
                    <w:ind w:left="0" w:right="0"/>
                    <w:jc w:val="center"/>
                    <w:rPr>
                      <w:rFonts w:hint="default" w:ascii="Times New Roman" w:hAnsi="Times New Roman" w:cs="Times New Roman"/>
                      <w:b/>
                      <w:bCs/>
                      <w:color w:val="auto"/>
                      <w:kern w:val="2"/>
                      <w:sz w:val="21"/>
                      <w:szCs w:val="21"/>
                    </w:rPr>
                  </w:pPr>
                </w:p>
              </w:tc>
              <w:tc>
                <w:tcPr>
                  <w:tcW w:w="253" w:type="pct"/>
                  <w:vMerge w:val="continue"/>
                  <w:vAlign w:val="center"/>
                </w:tcPr>
                <w:p w14:paraId="7298FE5E">
                  <w:pPr>
                    <w:pStyle w:val="7"/>
                    <w:keepNext w:val="0"/>
                    <w:keepLines w:val="0"/>
                    <w:widowControl/>
                    <w:suppressLineNumbers w:val="0"/>
                    <w:spacing w:before="0" w:beforeAutospacing="0" w:afterAutospacing="0"/>
                    <w:ind w:left="0" w:right="0"/>
                    <w:jc w:val="center"/>
                    <w:rPr>
                      <w:rFonts w:hint="default" w:ascii="Times New Roman" w:hAnsi="Times New Roman" w:cs="Times New Roman"/>
                      <w:b/>
                      <w:bCs/>
                      <w:color w:val="auto"/>
                      <w:kern w:val="2"/>
                      <w:sz w:val="21"/>
                      <w:szCs w:val="21"/>
                    </w:rPr>
                  </w:pPr>
                </w:p>
              </w:tc>
              <w:tc>
                <w:tcPr>
                  <w:tcW w:w="854" w:type="pct"/>
                  <w:vAlign w:val="center"/>
                </w:tcPr>
                <w:p w14:paraId="25334241">
                  <w:pPr>
                    <w:pStyle w:val="7"/>
                    <w:keepNext w:val="0"/>
                    <w:keepLines w:val="0"/>
                    <w:widowControl/>
                    <w:suppressLineNumbers w:val="0"/>
                    <w:spacing w:before="0" w:beforeAutospacing="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废润滑油</w:t>
                  </w:r>
                </w:p>
              </w:tc>
              <w:tc>
                <w:tcPr>
                  <w:tcW w:w="656" w:type="pct"/>
                  <w:vAlign w:val="center"/>
                </w:tcPr>
                <w:p w14:paraId="26ED7012">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设备维修</w:t>
                  </w:r>
                </w:p>
              </w:tc>
              <w:tc>
                <w:tcPr>
                  <w:tcW w:w="900" w:type="pct"/>
                  <w:vAlign w:val="center"/>
                </w:tcPr>
                <w:p w14:paraId="39FA1232">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1729" w:type="pct"/>
                  <w:vMerge w:val="continue"/>
                  <w:vAlign w:val="center"/>
                </w:tcPr>
                <w:p w14:paraId="3AADBE8E">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r>
            <w:tr w14:paraId="527FD6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vAlign w:val="center"/>
                </w:tcPr>
                <w:p w14:paraId="49672256">
                  <w:pPr>
                    <w:pStyle w:val="7"/>
                    <w:keepNext w:val="0"/>
                    <w:keepLines w:val="0"/>
                    <w:widowControl/>
                    <w:suppressLineNumbers w:val="0"/>
                    <w:spacing w:before="0" w:beforeAutospacing="0" w:afterAutospacing="0"/>
                    <w:ind w:left="0" w:right="0"/>
                    <w:jc w:val="center"/>
                    <w:rPr>
                      <w:rFonts w:hint="default" w:ascii="Times New Roman" w:hAnsi="Times New Roman" w:cs="Times New Roman"/>
                      <w:b/>
                      <w:bCs/>
                      <w:color w:val="auto"/>
                      <w:kern w:val="2"/>
                      <w:sz w:val="21"/>
                      <w:szCs w:val="21"/>
                    </w:rPr>
                  </w:pPr>
                </w:p>
              </w:tc>
              <w:tc>
                <w:tcPr>
                  <w:tcW w:w="253" w:type="pct"/>
                  <w:vMerge w:val="continue"/>
                  <w:vAlign w:val="center"/>
                </w:tcPr>
                <w:p w14:paraId="2607F6E1">
                  <w:pPr>
                    <w:pStyle w:val="7"/>
                    <w:keepNext w:val="0"/>
                    <w:keepLines w:val="0"/>
                    <w:widowControl/>
                    <w:suppressLineNumbers w:val="0"/>
                    <w:spacing w:before="0" w:beforeAutospacing="0" w:afterAutospacing="0"/>
                    <w:ind w:left="0" w:right="0"/>
                    <w:jc w:val="center"/>
                    <w:rPr>
                      <w:rFonts w:hint="default" w:ascii="Times New Roman" w:hAnsi="Times New Roman" w:cs="Times New Roman"/>
                      <w:b/>
                      <w:bCs/>
                      <w:color w:val="auto"/>
                      <w:kern w:val="2"/>
                      <w:sz w:val="21"/>
                      <w:szCs w:val="21"/>
                    </w:rPr>
                  </w:pPr>
                </w:p>
              </w:tc>
              <w:tc>
                <w:tcPr>
                  <w:tcW w:w="854" w:type="pct"/>
                  <w:vAlign w:val="center"/>
                </w:tcPr>
                <w:p w14:paraId="738C70B7">
                  <w:pPr>
                    <w:pStyle w:val="7"/>
                    <w:keepNext w:val="0"/>
                    <w:keepLines w:val="0"/>
                    <w:widowControl/>
                    <w:suppressLineNumbers w:val="0"/>
                    <w:spacing w:before="0" w:beforeAutospacing="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含油抹布</w:t>
                  </w:r>
                </w:p>
              </w:tc>
              <w:tc>
                <w:tcPr>
                  <w:tcW w:w="656" w:type="pct"/>
                  <w:vAlign w:val="center"/>
                </w:tcPr>
                <w:p w14:paraId="77686882">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打包出库</w:t>
                  </w:r>
                </w:p>
              </w:tc>
              <w:tc>
                <w:tcPr>
                  <w:tcW w:w="900" w:type="pct"/>
                  <w:vAlign w:val="center"/>
                </w:tcPr>
                <w:p w14:paraId="40A0EEE3">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1729" w:type="pct"/>
                  <w:vMerge w:val="continue"/>
                  <w:vAlign w:val="center"/>
                </w:tcPr>
                <w:p w14:paraId="1F4D6442">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r>
            <w:tr w14:paraId="09BB7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vAlign w:val="center"/>
                </w:tcPr>
                <w:p w14:paraId="66D6916C">
                  <w:pPr>
                    <w:pStyle w:val="7"/>
                    <w:keepNext w:val="0"/>
                    <w:keepLines w:val="0"/>
                    <w:widowControl/>
                    <w:suppressLineNumbers w:val="0"/>
                    <w:spacing w:before="0" w:beforeAutospacing="0" w:afterAutospacing="0"/>
                    <w:ind w:left="0" w:right="0"/>
                    <w:jc w:val="center"/>
                    <w:rPr>
                      <w:rFonts w:hint="default" w:ascii="Times New Roman" w:hAnsi="Times New Roman" w:cs="Times New Roman"/>
                      <w:b/>
                      <w:bCs/>
                      <w:color w:val="auto"/>
                      <w:kern w:val="2"/>
                      <w:sz w:val="21"/>
                      <w:szCs w:val="21"/>
                    </w:rPr>
                  </w:pPr>
                </w:p>
              </w:tc>
              <w:tc>
                <w:tcPr>
                  <w:tcW w:w="253" w:type="pct"/>
                  <w:vMerge w:val="continue"/>
                  <w:vAlign w:val="center"/>
                </w:tcPr>
                <w:p w14:paraId="3C6C5AFF">
                  <w:pPr>
                    <w:pStyle w:val="7"/>
                    <w:keepNext w:val="0"/>
                    <w:keepLines w:val="0"/>
                    <w:widowControl/>
                    <w:suppressLineNumbers w:val="0"/>
                    <w:spacing w:before="0" w:beforeAutospacing="0" w:afterAutospacing="0"/>
                    <w:ind w:left="0" w:right="0"/>
                    <w:jc w:val="center"/>
                    <w:rPr>
                      <w:rFonts w:hint="default" w:ascii="Times New Roman" w:hAnsi="Times New Roman" w:cs="Times New Roman"/>
                      <w:b/>
                      <w:bCs/>
                      <w:color w:val="auto"/>
                      <w:kern w:val="2"/>
                      <w:sz w:val="21"/>
                      <w:szCs w:val="21"/>
                    </w:rPr>
                  </w:pPr>
                </w:p>
              </w:tc>
              <w:tc>
                <w:tcPr>
                  <w:tcW w:w="854" w:type="pct"/>
                  <w:vAlign w:val="center"/>
                </w:tcPr>
                <w:p w14:paraId="61AF2A9E">
                  <w:pPr>
                    <w:pStyle w:val="7"/>
                    <w:keepNext w:val="0"/>
                    <w:keepLines w:val="0"/>
                    <w:widowControl/>
                    <w:suppressLineNumbers w:val="0"/>
                    <w:spacing w:before="0" w:beforeAutospacing="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废包装桶</w:t>
                  </w:r>
                </w:p>
              </w:tc>
              <w:tc>
                <w:tcPr>
                  <w:tcW w:w="656" w:type="pct"/>
                  <w:vAlign w:val="center"/>
                </w:tcPr>
                <w:p w14:paraId="153B0DA5">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原辅材料</w:t>
                  </w:r>
                </w:p>
              </w:tc>
              <w:tc>
                <w:tcPr>
                  <w:tcW w:w="900" w:type="pct"/>
                  <w:vAlign w:val="center"/>
                </w:tcPr>
                <w:p w14:paraId="11721E7D">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1729" w:type="pct"/>
                  <w:vMerge w:val="continue"/>
                  <w:vAlign w:val="center"/>
                </w:tcPr>
                <w:p w14:paraId="0348D44B">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r>
            <w:tr w14:paraId="3AF873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vAlign w:val="center"/>
                </w:tcPr>
                <w:p w14:paraId="1266C6F6">
                  <w:pPr>
                    <w:pStyle w:val="7"/>
                    <w:keepNext w:val="0"/>
                    <w:keepLines w:val="0"/>
                    <w:widowControl/>
                    <w:suppressLineNumbers w:val="0"/>
                    <w:spacing w:before="0" w:beforeAutospacing="0" w:afterAutospacing="0"/>
                    <w:ind w:left="0" w:right="0"/>
                    <w:jc w:val="center"/>
                    <w:rPr>
                      <w:rFonts w:hint="default" w:ascii="Times New Roman" w:hAnsi="Times New Roman" w:cs="Times New Roman"/>
                      <w:b/>
                      <w:bCs/>
                      <w:color w:val="auto"/>
                      <w:kern w:val="2"/>
                      <w:sz w:val="21"/>
                      <w:szCs w:val="21"/>
                    </w:rPr>
                  </w:pPr>
                </w:p>
              </w:tc>
              <w:tc>
                <w:tcPr>
                  <w:tcW w:w="253" w:type="pct"/>
                  <w:vMerge w:val="continue"/>
                  <w:vAlign w:val="center"/>
                </w:tcPr>
                <w:p w14:paraId="76EF0891">
                  <w:pPr>
                    <w:pStyle w:val="7"/>
                    <w:keepNext w:val="0"/>
                    <w:keepLines w:val="0"/>
                    <w:widowControl/>
                    <w:suppressLineNumbers w:val="0"/>
                    <w:spacing w:before="0" w:beforeAutospacing="0" w:afterAutospacing="0"/>
                    <w:ind w:left="0" w:right="0"/>
                    <w:jc w:val="center"/>
                    <w:rPr>
                      <w:rFonts w:hint="default" w:ascii="Times New Roman" w:hAnsi="Times New Roman" w:cs="Times New Roman"/>
                      <w:b/>
                      <w:bCs/>
                      <w:color w:val="auto"/>
                      <w:kern w:val="2"/>
                      <w:sz w:val="21"/>
                      <w:szCs w:val="21"/>
                    </w:rPr>
                  </w:pPr>
                </w:p>
              </w:tc>
              <w:tc>
                <w:tcPr>
                  <w:tcW w:w="854" w:type="pct"/>
                  <w:vAlign w:val="center"/>
                </w:tcPr>
                <w:p w14:paraId="6254544C">
                  <w:pPr>
                    <w:pStyle w:val="7"/>
                    <w:keepNext w:val="0"/>
                    <w:keepLines w:val="0"/>
                    <w:widowControl/>
                    <w:suppressLineNumbers w:val="0"/>
                    <w:spacing w:before="0" w:beforeAutospacing="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废胶管</w:t>
                  </w:r>
                </w:p>
              </w:tc>
              <w:tc>
                <w:tcPr>
                  <w:tcW w:w="656" w:type="pct"/>
                  <w:vAlign w:val="center"/>
                </w:tcPr>
                <w:p w14:paraId="4D13AAFE">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原辅材料</w:t>
                  </w:r>
                </w:p>
              </w:tc>
              <w:tc>
                <w:tcPr>
                  <w:tcW w:w="900" w:type="pct"/>
                  <w:vAlign w:val="center"/>
                </w:tcPr>
                <w:p w14:paraId="7BACD396">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1729" w:type="pct"/>
                  <w:vMerge w:val="continue"/>
                  <w:vAlign w:val="center"/>
                </w:tcPr>
                <w:p w14:paraId="26768CE8">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r>
            <w:tr w14:paraId="059FF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605" w:type="pct"/>
                  <w:vMerge w:val="continue"/>
                  <w:vAlign w:val="center"/>
                </w:tcPr>
                <w:p w14:paraId="5BC99230">
                  <w:pPr>
                    <w:pStyle w:val="7"/>
                    <w:keepNext w:val="0"/>
                    <w:keepLines w:val="0"/>
                    <w:widowControl/>
                    <w:suppressLineNumbers w:val="0"/>
                    <w:spacing w:before="0" w:beforeAutospacing="0" w:afterAutospacing="0"/>
                    <w:ind w:left="0" w:right="0"/>
                    <w:jc w:val="center"/>
                    <w:rPr>
                      <w:rFonts w:hint="default" w:ascii="Times New Roman" w:hAnsi="Times New Roman" w:cs="Times New Roman"/>
                      <w:b/>
                      <w:bCs/>
                      <w:color w:val="auto"/>
                      <w:kern w:val="2"/>
                      <w:sz w:val="21"/>
                      <w:szCs w:val="21"/>
                    </w:rPr>
                  </w:pPr>
                </w:p>
              </w:tc>
              <w:tc>
                <w:tcPr>
                  <w:tcW w:w="253" w:type="pct"/>
                  <w:vMerge w:val="continue"/>
                  <w:vAlign w:val="center"/>
                </w:tcPr>
                <w:p w14:paraId="7C12CA92">
                  <w:pPr>
                    <w:pStyle w:val="7"/>
                    <w:keepNext w:val="0"/>
                    <w:keepLines w:val="0"/>
                    <w:widowControl/>
                    <w:suppressLineNumbers w:val="0"/>
                    <w:spacing w:before="0" w:beforeAutospacing="0" w:afterAutospacing="0"/>
                    <w:ind w:left="0" w:right="0"/>
                    <w:jc w:val="center"/>
                    <w:rPr>
                      <w:rFonts w:hint="default" w:ascii="Times New Roman" w:hAnsi="Times New Roman" w:cs="Times New Roman"/>
                      <w:b/>
                      <w:bCs/>
                      <w:color w:val="auto"/>
                      <w:kern w:val="2"/>
                      <w:sz w:val="21"/>
                      <w:szCs w:val="21"/>
                    </w:rPr>
                  </w:pPr>
                </w:p>
              </w:tc>
              <w:tc>
                <w:tcPr>
                  <w:tcW w:w="854" w:type="pct"/>
                  <w:vAlign w:val="center"/>
                </w:tcPr>
                <w:p w14:paraId="482CBEE6">
                  <w:pPr>
                    <w:pStyle w:val="7"/>
                    <w:keepNext w:val="0"/>
                    <w:keepLines w:val="0"/>
                    <w:widowControl/>
                    <w:suppressLineNumbers w:val="0"/>
                    <w:spacing w:before="0" w:beforeAutospacing="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碳氢清洗蒸馏废液</w:t>
                  </w:r>
                </w:p>
              </w:tc>
              <w:tc>
                <w:tcPr>
                  <w:tcW w:w="656" w:type="pct"/>
                  <w:vAlign w:val="center"/>
                </w:tcPr>
                <w:p w14:paraId="16B9228C">
                  <w:pPr>
                    <w:pStyle w:val="7"/>
                    <w:keepNext w:val="0"/>
                    <w:keepLines w:val="0"/>
                    <w:widowControl/>
                    <w:suppressLineNumbers w:val="0"/>
                    <w:spacing w:before="0" w:beforeAutospacing="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1"/>
                      <w:szCs w:val="21"/>
                    </w:rPr>
                    <w:t>碳氢清洗</w:t>
                  </w:r>
                </w:p>
              </w:tc>
              <w:tc>
                <w:tcPr>
                  <w:tcW w:w="900" w:type="pct"/>
                  <w:vAlign w:val="center"/>
                </w:tcPr>
                <w:p w14:paraId="5D6E9B0C">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烷烃</w:t>
                  </w:r>
                </w:p>
              </w:tc>
              <w:tc>
                <w:tcPr>
                  <w:tcW w:w="1729" w:type="pct"/>
                  <w:vMerge w:val="continue"/>
                  <w:vAlign w:val="center"/>
                </w:tcPr>
                <w:p w14:paraId="00C5EA93">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r>
            <w:tr w14:paraId="1E8CB7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vAlign w:val="center"/>
                </w:tcPr>
                <w:p w14:paraId="526DD5C7">
                  <w:pPr>
                    <w:pStyle w:val="7"/>
                    <w:keepNext w:val="0"/>
                    <w:keepLines w:val="0"/>
                    <w:widowControl/>
                    <w:suppressLineNumbers w:val="0"/>
                    <w:spacing w:before="0" w:beforeAutospacing="0" w:afterAutospacing="0"/>
                    <w:ind w:left="0" w:right="0"/>
                    <w:jc w:val="center"/>
                    <w:rPr>
                      <w:rFonts w:hint="default" w:ascii="Times New Roman" w:hAnsi="Times New Roman" w:cs="Times New Roman"/>
                      <w:b/>
                      <w:bCs/>
                      <w:color w:val="auto"/>
                      <w:kern w:val="2"/>
                      <w:sz w:val="21"/>
                      <w:szCs w:val="21"/>
                    </w:rPr>
                  </w:pPr>
                </w:p>
              </w:tc>
              <w:tc>
                <w:tcPr>
                  <w:tcW w:w="253" w:type="pct"/>
                  <w:vMerge w:val="continue"/>
                  <w:vAlign w:val="center"/>
                </w:tcPr>
                <w:p w14:paraId="2E72B72B">
                  <w:pPr>
                    <w:pStyle w:val="7"/>
                    <w:keepNext w:val="0"/>
                    <w:keepLines w:val="0"/>
                    <w:widowControl/>
                    <w:suppressLineNumbers w:val="0"/>
                    <w:spacing w:before="0" w:beforeAutospacing="0" w:afterAutospacing="0"/>
                    <w:ind w:left="0" w:right="0"/>
                    <w:jc w:val="center"/>
                    <w:rPr>
                      <w:rFonts w:hint="default" w:ascii="Times New Roman" w:hAnsi="Times New Roman" w:cs="Times New Roman"/>
                      <w:b/>
                      <w:bCs/>
                      <w:color w:val="auto"/>
                      <w:kern w:val="2"/>
                      <w:sz w:val="21"/>
                      <w:szCs w:val="21"/>
                    </w:rPr>
                  </w:pPr>
                </w:p>
              </w:tc>
              <w:tc>
                <w:tcPr>
                  <w:tcW w:w="854" w:type="pct"/>
                  <w:vAlign w:val="center"/>
                </w:tcPr>
                <w:p w14:paraId="5B3B40CD">
                  <w:pPr>
                    <w:pStyle w:val="7"/>
                    <w:keepNext w:val="0"/>
                    <w:keepLines w:val="0"/>
                    <w:widowControl/>
                    <w:suppressLineNumbers w:val="0"/>
                    <w:spacing w:before="0" w:beforeAutospacing="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废槽液</w:t>
                  </w:r>
                </w:p>
              </w:tc>
              <w:tc>
                <w:tcPr>
                  <w:tcW w:w="656" w:type="pct"/>
                  <w:vAlign w:val="center"/>
                </w:tcPr>
                <w:p w14:paraId="5A4B763A">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碳氢清洗</w:t>
                  </w:r>
                </w:p>
              </w:tc>
              <w:tc>
                <w:tcPr>
                  <w:tcW w:w="900" w:type="pct"/>
                  <w:vAlign w:val="center"/>
                </w:tcPr>
                <w:p w14:paraId="14E83E5C">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烷烃</w:t>
                  </w:r>
                </w:p>
              </w:tc>
              <w:tc>
                <w:tcPr>
                  <w:tcW w:w="1729" w:type="pct"/>
                  <w:vMerge w:val="continue"/>
                  <w:vAlign w:val="center"/>
                </w:tcPr>
                <w:p w14:paraId="3FAE97C0">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r>
            <w:tr w14:paraId="647B5A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05" w:type="pct"/>
                  <w:vMerge w:val="continue"/>
                  <w:vAlign w:val="center"/>
                </w:tcPr>
                <w:p w14:paraId="47082E6C">
                  <w:pPr>
                    <w:pStyle w:val="7"/>
                    <w:keepNext w:val="0"/>
                    <w:keepLines w:val="0"/>
                    <w:widowControl/>
                    <w:suppressLineNumbers w:val="0"/>
                    <w:spacing w:before="0" w:beforeAutospacing="0" w:afterAutospacing="0"/>
                    <w:ind w:left="0" w:right="0"/>
                    <w:jc w:val="center"/>
                    <w:rPr>
                      <w:rFonts w:hint="default" w:ascii="Times New Roman" w:hAnsi="Times New Roman" w:cs="Times New Roman"/>
                      <w:b/>
                      <w:bCs/>
                      <w:color w:val="auto"/>
                      <w:kern w:val="2"/>
                      <w:sz w:val="21"/>
                      <w:szCs w:val="21"/>
                    </w:rPr>
                  </w:pPr>
                </w:p>
              </w:tc>
              <w:tc>
                <w:tcPr>
                  <w:tcW w:w="253" w:type="pct"/>
                  <w:vMerge w:val="continue"/>
                  <w:vAlign w:val="center"/>
                </w:tcPr>
                <w:p w14:paraId="49A834F0">
                  <w:pPr>
                    <w:pStyle w:val="7"/>
                    <w:keepNext w:val="0"/>
                    <w:keepLines w:val="0"/>
                    <w:widowControl/>
                    <w:suppressLineNumbers w:val="0"/>
                    <w:spacing w:before="0" w:beforeAutospacing="0" w:afterAutospacing="0"/>
                    <w:ind w:left="0" w:right="0"/>
                    <w:jc w:val="center"/>
                    <w:rPr>
                      <w:rFonts w:hint="default" w:ascii="Times New Roman" w:hAnsi="Times New Roman" w:cs="Times New Roman"/>
                      <w:b/>
                      <w:bCs/>
                      <w:color w:val="auto"/>
                      <w:kern w:val="2"/>
                      <w:sz w:val="21"/>
                      <w:szCs w:val="21"/>
                    </w:rPr>
                  </w:pPr>
                </w:p>
              </w:tc>
              <w:tc>
                <w:tcPr>
                  <w:tcW w:w="854" w:type="pct"/>
                  <w:vAlign w:val="center"/>
                </w:tcPr>
                <w:p w14:paraId="6168CE3F">
                  <w:pPr>
                    <w:pStyle w:val="7"/>
                    <w:keepNext w:val="0"/>
                    <w:keepLines w:val="0"/>
                    <w:widowControl/>
                    <w:suppressLineNumbers w:val="0"/>
                    <w:spacing w:before="0" w:beforeAutospacing="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废滤芯</w:t>
                  </w:r>
                </w:p>
              </w:tc>
              <w:tc>
                <w:tcPr>
                  <w:tcW w:w="656" w:type="pct"/>
                  <w:vAlign w:val="center"/>
                </w:tcPr>
                <w:p w14:paraId="76A112D4">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碳氢清洗</w:t>
                  </w:r>
                </w:p>
              </w:tc>
              <w:tc>
                <w:tcPr>
                  <w:tcW w:w="900" w:type="pct"/>
                  <w:vAlign w:val="center"/>
                </w:tcPr>
                <w:p w14:paraId="6D963A93">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烷烃</w:t>
                  </w:r>
                </w:p>
              </w:tc>
              <w:tc>
                <w:tcPr>
                  <w:tcW w:w="1729" w:type="pct"/>
                  <w:vMerge w:val="continue"/>
                  <w:vAlign w:val="center"/>
                </w:tcPr>
                <w:p w14:paraId="772B1A0A">
                  <w:pPr>
                    <w:pStyle w:val="7"/>
                    <w:keepNext w:val="0"/>
                    <w:keepLines w:val="0"/>
                    <w:widowControl/>
                    <w:suppressLineNumbers w:val="0"/>
                    <w:spacing w:before="0" w:beforeAutospacing="0" w:afterAutospacing="0"/>
                    <w:ind w:left="0" w:right="0"/>
                    <w:jc w:val="center"/>
                    <w:rPr>
                      <w:rFonts w:hint="default" w:ascii="Times New Roman" w:hAnsi="Times New Roman" w:cs="Times New Roman"/>
                      <w:color w:val="auto"/>
                      <w:kern w:val="2"/>
                      <w:sz w:val="21"/>
                      <w:szCs w:val="21"/>
                    </w:rPr>
                  </w:pPr>
                </w:p>
              </w:tc>
            </w:tr>
          </w:tbl>
          <w:p w14:paraId="55D321E8">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eastAsia" w:ascii="Times New Roman" w:hAnsi="Times New Roman" w:cs="Times New Roman"/>
                <w:color w:val="auto"/>
                <w:kern w:val="2"/>
              </w:rPr>
              <w:t>3、现有工程污染物排放情况</w:t>
            </w:r>
          </w:p>
          <w:p w14:paraId="7FBD875F">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eastAsia" w:ascii="Times New Roman" w:hAnsi="Times New Roman" w:cs="Times New Roman"/>
                <w:color w:val="auto"/>
                <w:kern w:val="2"/>
              </w:rPr>
              <w:t>（1）废水</w:t>
            </w:r>
          </w:p>
          <w:p w14:paraId="4120A48A">
            <w:pPr>
              <w:keepNext w:val="0"/>
              <w:keepLines w:val="0"/>
              <w:widowControl w:val="0"/>
              <w:suppressLineNumbers w:val="0"/>
              <w:spacing w:before="0" w:beforeAutospacing="0" w:after="0" w:afterAutospacing="0" w:line="360" w:lineRule="auto"/>
              <w:ind w:left="0" w:right="0" w:firstLine="480" w:firstLineChars="200"/>
              <w:rPr>
                <w:rFonts w:hint="eastAsia" w:ascii="Times New Roman" w:hAnsi="Times New Roman" w:cs="Times New Roman"/>
                <w:color w:val="auto"/>
                <w:kern w:val="2"/>
              </w:rPr>
            </w:pPr>
            <w:r>
              <w:rPr>
                <w:rFonts w:hint="eastAsia" w:ascii="Times New Roman" w:hAnsi="Times New Roman" w:cs="Times New Roman"/>
                <w:color w:val="auto"/>
                <w:kern w:val="2"/>
              </w:rPr>
              <w:t>企业现有用水主要为</w:t>
            </w:r>
            <w:r>
              <w:rPr>
                <w:rFonts w:hint="default" w:ascii="Times New Roman" w:hAnsi="Times New Roman" w:cs="Times New Roman"/>
                <w:color w:val="auto"/>
                <w:kern w:val="2"/>
              </w:rPr>
              <w:t>生活用水、冷却塔用水</w:t>
            </w:r>
            <w:r>
              <w:rPr>
                <w:rFonts w:hint="eastAsia" w:ascii="Times New Roman" w:hAnsi="Times New Roman" w:cs="Times New Roman"/>
                <w:color w:val="auto"/>
                <w:kern w:val="2"/>
              </w:rPr>
              <w:t>。产生的废水为生活污水，</w:t>
            </w:r>
            <w:r>
              <w:rPr>
                <w:rFonts w:hint="default" w:ascii="Times New Roman" w:hAnsi="Times New Roman"/>
                <w:color w:val="auto"/>
                <w:kern w:val="2"/>
              </w:rPr>
              <w:t>生活污水经园区化粪池预处理后接入市政污水管网排入凤台县经济开发区凤凰湖园区污水处理厂</w:t>
            </w:r>
            <w:r>
              <w:rPr>
                <w:rFonts w:hint="eastAsia" w:ascii="Times New Roman" w:hAnsi="Times New Roman" w:cs="Times New Roman"/>
                <w:color w:val="auto"/>
                <w:kern w:val="2"/>
              </w:rPr>
              <w:t>。厂区现有工程水平衡图如下</w:t>
            </w:r>
          </w:p>
          <w:p w14:paraId="79F0A639">
            <w:pPr>
              <w:pStyle w:val="12"/>
              <w:keepNext w:val="0"/>
              <w:keepLines w:val="0"/>
              <w:widowControl/>
              <w:suppressLineNumbers w:val="0"/>
              <w:spacing w:before="0" w:beforeAutospacing="0" w:after="0" w:afterAutospacing="0"/>
              <w:ind w:left="0" w:right="0"/>
              <w:rPr>
                <w:rFonts w:hint="default"/>
                <w:color w:val="auto"/>
                <w:kern w:val="2"/>
              </w:rPr>
            </w:pPr>
          </w:p>
          <w:p w14:paraId="267B2BCF">
            <w:pPr>
              <w:keepNext w:val="0"/>
              <w:keepLines w:val="0"/>
              <w:widowControl w:val="0"/>
              <w:suppressLineNumbers w:val="0"/>
              <w:spacing w:before="0" w:beforeAutospacing="0" w:after="0" w:afterAutospacing="0" w:line="360" w:lineRule="auto"/>
              <w:ind w:left="0" w:right="0"/>
              <w:rPr>
                <w:rFonts w:hint="default" w:ascii="Times New Roman" w:hAnsi="Times New Roman" w:cs="Times New Roman"/>
                <w:color w:val="auto"/>
                <w:kern w:val="2"/>
              </w:rPr>
            </w:pPr>
            <w:r>
              <w:rPr>
                <w:rFonts w:hint="default" w:ascii="Times New Roman" w:hAnsi="Times New Roman"/>
                <w:color w:val="auto"/>
                <w:kern w:val="2"/>
              </w:rPr>
              <mc:AlternateContent>
                <mc:Choice Requires="wpc">
                  <w:drawing>
                    <wp:inline distT="0" distB="0" distL="114300" distR="114300">
                      <wp:extent cx="5219700" cy="1933575"/>
                      <wp:effectExtent l="0" t="0" r="0" b="0"/>
                      <wp:docPr id="106" name="画布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7" name="Text Box 27"/>
                              <wps:cNvSpPr txBox="1"/>
                              <wps:spPr>
                                <a:xfrm>
                                  <a:off x="2448107" y="273241"/>
                                  <a:ext cx="451764" cy="265668"/>
                                </a:xfrm>
                                <a:prstGeom prst="rect">
                                  <a:avLst/>
                                </a:prstGeom>
                                <a:noFill/>
                                <a:ln>
                                  <a:noFill/>
                                </a:ln>
                              </wps:spPr>
                              <wps:txbx>
                                <w:txbxContent>
                                  <w:p w14:paraId="187D6874">
                                    <w:pPr>
                                      <w:rPr>
                                        <w:rFonts w:hint="default" w:ascii="Times New Roman" w:hAnsi="Times New Roman" w:eastAsia="黑体"/>
                                        <w:sz w:val="18"/>
                                        <w:szCs w:val="18"/>
                                        <w:lang w:val="en-US" w:eastAsia="zh-CN"/>
                                      </w:rPr>
                                    </w:pPr>
                                    <w:r>
                                      <w:rPr>
                                        <w:rFonts w:hint="eastAsia" w:ascii="Times New Roman" w:hAnsi="Times New Roman" w:eastAsia="黑体"/>
                                        <w:sz w:val="18"/>
                                        <w:szCs w:val="18"/>
                                        <w:lang w:val="en-US" w:eastAsia="zh-CN"/>
                                      </w:rPr>
                                      <w:t>14.4</w:t>
                                    </w:r>
                                  </w:p>
                                </w:txbxContent>
                              </wps:txbx>
                              <wps:bodyPr upright="1"/>
                            </wps:wsp>
                            <wps:wsp>
                              <wps:cNvPr id="108" name="Text Box 28"/>
                              <wps:cNvSpPr txBox="1"/>
                              <wps:spPr>
                                <a:xfrm>
                                  <a:off x="4202163" y="249261"/>
                                  <a:ext cx="452395" cy="266299"/>
                                </a:xfrm>
                                <a:prstGeom prst="rect">
                                  <a:avLst/>
                                </a:prstGeom>
                                <a:noFill/>
                                <a:ln>
                                  <a:noFill/>
                                </a:ln>
                              </wps:spPr>
                              <wps:txbx>
                                <w:txbxContent>
                                  <w:p w14:paraId="35399535">
                                    <w:pPr>
                                      <w:rPr>
                                        <w:rFonts w:hint="default" w:ascii="Times New Roman" w:hAnsi="Times New Roman" w:eastAsia="黑体"/>
                                        <w:sz w:val="18"/>
                                        <w:szCs w:val="18"/>
                                        <w:lang w:val="en-US" w:eastAsia="zh-CN"/>
                                      </w:rPr>
                                    </w:pPr>
                                    <w:r>
                                      <w:rPr>
                                        <w:rFonts w:hint="eastAsia" w:ascii="Times New Roman" w:hAnsi="Times New Roman" w:eastAsia="黑体"/>
                                        <w:sz w:val="18"/>
                                        <w:szCs w:val="18"/>
                                        <w:lang w:val="en-US" w:eastAsia="zh-CN"/>
                                      </w:rPr>
                                      <w:t>14.4</w:t>
                                    </w:r>
                                  </w:p>
                                </w:txbxContent>
                              </wps:txbx>
                              <wps:bodyPr upright="1"/>
                            </wps:wsp>
                            <wps:wsp>
                              <wps:cNvPr id="109" name="AutoShape 18"/>
                              <wps:cNvCnPr/>
                              <wps:spPr>
                                <a:xfrm flipV="1">
                                  <a:off x="1564769" y="465077"/>
                                  <a:ext cx="364062" cy="631"/>
                                </a:xfrm>
                                <a:prstGeom prst="straightConnector1">
                                  <a:avLst/>
                                </a:prstGeom>
                                <a:ln w="9525" cap="flat" cmpd="sng">
                                  <a:solidFill>
                                    <a:srgbClr val="000000"/>
                                  </a:solidFill>
                                  <a:prstDash val="solid"/>
                                  <a:headEnd type="none" w="med" len="med"/>
                                  <a:tailEnd type="triangle" w="sm" len="med"/>
                                </a:ln>
                              </wps:spPr>
                              <wps:bodyPr/>
                            </wps:wsp>
                            <wps:wsp>
                              <wps:cNvPr id="110" name="Text Box 10"/>
                              <wps:cNvSpPr txBox="1"/>
                              <wps:spPr>
                                <a:xfrm>
                                  <a:off x="1917700" y="314325"/>
                                  <a:ext cx="568325"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C8CBDD">
                                    <w:pPr>
                                      <w:jc w:val="center"/>
                                      <w:rPr>
                                        <w:rFonts w:ascii="Times New Roman" w:hAnsi="Times New Roman" w:eastAsia="黑体"/>
                                        <w:sz w:val="18"/>
                                        <w:szCs w:val="18"/>
                                      </w:rPr>
                                    </w:pPr>
                                    <w:r>
                                      <w:rPr>
                                        <w:rFonts w:ascii="Times New Roman" w:hAnsi="黑体" w:eastAsia="黑体"/>
                                        <w:sz w:val="18"/>
                                        <w:szCs w:val="18"/>
                                      </w:rPr>
                                      <w:t>化粪池</w:t>
                                    </w:r>
                                  </w:p>
                                </w:txbxContent>
                              </wps:txbx>
                              <wps:bodyPr upright="1"/>
                            </wps:wsp>
                            <wps:wsp>
                              <wps:cNvPr id="111" name="Text Box 12"/>
                              <wps:cNvSpPr txBox="1"/>
                              <wps:spPr>
                                <a:xfrm>
                                  <a:off x="2864538" y="314258"/>
                                  <a:ext cx="1369804" cy="295958"/>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45E1C8">
                                    <w:pPr>
                                      <w:jc w:val="center"/>
                                      <w:rPr>
                                        <w:rFonts w:ascii="Times New Roman" w:hAnsi="Times New Roman" w:eastAsia="黑体"/>
                                        <w:sz w:val="18"/>
                                        <w:szCs w:val="18"/>
                                      </w:rPr>
                                    </w:pPr>
                                    <w:r>
                                      <w:rPr>
                                        <w:rFonts w:hint="eastAsia" w:ascii="Times New Roman" w:hAnsi="黑体" w:eastAsia="黑体"/>
                                        <w:sz w:val="18"/>
                                        <w:szCs w:val="18"/>
                                      </w:rPr>
                                      <w:t>凤凰湖园区污水处理厂</w:t>
                                    </w:r>
                                  </w:p>
                                </w:txbxContent>
                              </wps:txbx>
                              <wps:bodyPr upright="1"/>
                            </wps:wsp>
                            <wps:wsp>
                              <wps:cNvPr id="112" name="Text Box 26"/>
                              <wps:cNvSpPr txBox="1"/>
                              <wps:spPr>
                                <a:xfrm>
                                  <a:off x="1511300" y="255905"/>
                                  <a:ext cx="453390" cy="266065"/>
                                </a:xfrm>
                                <a:prstGeom prst="rect">
                                  <a:avLst/>
                                </a:prstGeom>
                                <a:noFill/>
                                <a:ln>
                                  <a:noFill/>
                                </a:ln>
                              </wps:spPr>
                              <wps:txbx>
                                <w:txbxContent>
                                  <w:p w14:paraId="32189B6A">
                                    <w:pPr>
                                      <w:rPr>
                                        <w:rFonts w:hint="default" w:ascii="Times New Roman" w:hAnsi="Times New Roman" w:eastAsia="黑体"/>
                                        <w:sz w:val="18"/>
                                        <w:szCs w:val="18"/>
                                        <w:lang w:val="en-US" w:eastAsia="zh-CN"/>
                                      </w:rPr>
                                    </w:pPr>
                                    <w:r>
                                      <w:rPr>
                                        <w:rFonts w:hint="eastAsia" w:ascii="Times New Roman" w:hAnsi="Times New Roman" w:eastAsia="黑体"/>
                                        <w:sz w:val="18"/>
                                        <w:szCs w:val="18"/>
                                        <w:lang w:val="en-US" w:eastAsia="zh-CN"/>
                                      </w:rPr>
                                      <w:t>14.4</w:t>
                                    </w:r>
                                  </w:p>
                                </w:txbxContent>
                              </wps:txbx>
                              <wps:bodyPr upright="1"/>
                            </wps:wsp>
                            <wps:wsp>
                              <wps:cNvPr id="113" name="AutoShape 21"/>
                              <wps:cNvCnPr/>
                              <wps:spPr>
                                <a:xfrm flipV="1">
                                  <a:off x="4265259" y="464446"/>
                                  <a:ext cx="367847" cy="631"/>
                                </a:xfrm>
                                <a:prstGeom prst="straightConnector1">
                                  <a:avLst/>
                                </a:prstGeom>
                                <a:ln w="9525" cap="flat" cmpd="sng">
                                  <a:solidFill>
                                    <a:srgbClr val="000000"/>
                                  </a:solidFill>
                                  <a:prstDash val="solid"/>
                                  <a:headEnd type="none" w="med" len="med"/>
                                  <a:tailEnd type="triangle" w="sm" len="med"/>
                                </a:ln>
                              </wps:spPr>
                              <wps:bodyPr/>
                            </wps:wsp>
                            <wps:wsp>
                              <wps:cNvPr id="114" name="Text Box 7"/>
                              <wps:cNvSpPr txBox="1"/>
                              <wps:spPr>
                                <a:xfrm>
                                  <a:off x="818515" y="313690"/>
                                  <a:ext cx="737235"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FBB4F5">
                                    <w:pPr>
                                      <w:jc w:val="center"/>
                                      <w:rPr>
                                        <w:rFonts w:ascii="黑体" w:hAnsi="黑体" w:eastAsia="黑体"/>
                                        <w:sz w:val="18"/>
                                        <w:szCs w:val="18"/>
                                      </w:rPr>
                                    </w:pPr>
                                    <w:r>
                                      <w:rPr>
                                        <w:rFonts w:hint="eastAsia" w:ascii="Times New Roman" w:hAnsi="黑体" w:eastAsia="黑体"/>
                                        <w:sz w:val="18"/>
                                        <w:szCs w:val="18"/>
                                      </w:rPr>
                                      <w:t>生活污水</w:t>
                                    </w:r>
                                    <w:r>
                                      <w:rPr>
                                        <w:rFonts w:ascii="黑体" w:hAnsi="黑体" w:eastAsia="黑体"/>
                                        <w:sz w:val="18"/>
                                        <w:szCs w:val="18"/>
                                      </w:rPr>
                                      <w:t>生活污水</w:t>
                                    </w:r>
                                  </w:p>
                                </w:txbxContent>
                              </wps:txbx>
                              <wps:bodyPr upright="1"/>
                            </wps:wsp>
                            <wps:wsp>
                              <wps:cNvPr id="115" name="Freeform 13"/>
                              <wps:cNvSpPr>
                                <a:spLocks noChangeAspect="1"/>
                              </wps:cNvSpPr>
                              <wps:spPr>
                                <a:xfrm rot="-1396062">
                                  <a:off x="1287149" y="191836"/>
                                  <a:ext cx="280144" cy="74463"/>
                                </a:xfrm>
                                <a:custGeom>
                                  <a:avLst/>
                                  <a:gdLst>
                                    <a:gd name="A1" fmla="val 0"/>
                                    <a:gd name="A2" fmla="val 0"/>
                                    <a:gd name="A3" fmla="val 5400"/>
                                    <a:gd name="txL" fmla="*/ 3163 w 360"/>
                                    <a:gd name="txT" fmla="*/ 3163 h 156"/>
                                    <a:gd name="txR" fmla="*/ 18437 w 360"/>
                                    <a:gd name="txB" fmla="*/ 18437 h 156"/>
                                  </a:gdLst>
                                  <a:ahLst/>
                                  <a:cxnLst>
                                    <a:cxn ang="0">
                                      <a:pos x="0" y="2147483646"/>
                                    </a:cxn>
                                    <a:cxn ang="0">
                                      <a:pos x="2147483646" y="0"/>
                                    </a:cxn>
                                    <a:cxn ang="0">
                                      <a:pos x="2147483646" y="2147483646"/>
                                    </a:cxn>
                                    <a:cxn ang="0">
                                      <a:pos x="2147483646" y="0"/>
                                    </a:cxn>
                                  </a:cxnLst>
                                  <a:rect l="txL" t="txT" r="txR" b="txB"/>
                                  <a:pathLst>
                                    <a:path w="360" h="156">
                                      <a:moveTo>
                                        <a:pt x="0" y="156"/>
                                      </a:moveTo>
                                      <a:cubicBezTo>
                                        <a:pt x="75" y="78"/>
                                        <a:pt x="150" y="0"/>
                                        <a:pt x="180" y="0"/>
                                      </a:cubicBezTo>
                                      <a:cubicBezTo>
                                        <a:pt x="210" y="0"/>
                                        <a:pt x="150" y="156"/>
                                        <a:pt x="180" y="156"/>
                                      </a:cubicBezTo>
                                      <a:cubicBezTo>
                                        <a:pt x="210" y="156"/>
                                        <a:pt x="285" y="78"/>
                                        <a:pt x="360" y="0"/>
                                      </a:cubicBezTo>
                                    </a:path>
                                  </a:pathLst>
                                </a:custGeom>
                                <a:noFill/>
                                <a:ln w="9525" cap="flat" cmpd="sng">
                                  <a:solidFill>
                                    <a:srgbClr val="000000"/>
                                  </a:solidFill>
                                  <a:prstDash val="solid"/>
                                  <a:round/>
                                  <a:headEnd type="none" w="med" len="med"/>
                                  <a:tailEnd type="stealth" w="sm" len="med"/>
                                </a:ln>
                              </wps:spPr>
                              <wps:bodyPr upright="1"/>
                            </wps:wsp>
                            <wps:wsp>
                              <wps:cNvPr id="116" name="AutoShape 14"/>
                              <wps:cNvCnPr/>
                              <wps:spPr>
                                <a:xfrm>
                                  <a:off x="567055" y="472440"/>
                                  <a:ext cx="252095" cy="1270"/>
                                </a:xfrm>
                                <a:prstGeom prst="straightConnector1">
                                  <a:avLst/>
                                </a:prstGeom>
                                <a:ln w="9525" cap="flat" cmpd="sng">
                                  <a:solidFill>
                                    <a:srgbClr val="000000"/>
                                  </a:solidFill>
                                  <a:prstDash val="solid"/>
                                  <a:headEnd type="none" w="med" len="med"/>
                                  <a:tailEnd type="triangle" w="sm" len="med"/>
                                </a:ln>
                              </wps:spPr>
                              <wps:bodyPr/>
                            </wps:wsp>
                            <wps:wsp>
                              <wps:cNvPr id="117" name="AutoShape 18"/>
                              <wps:cNvCnPr/>
                              <wps:spPr>
                                <a:xfrm flipV="1">
                                  <a:off x="2498583" y="472018"/>
                                  <a:ext cx="367216" cy="631"/>
                                </a:xfrm>
                                <a:prstGeom prst="straightConnector1">
                                  <a:avLst/>
                                </a:prstGeom>
                                <a:ln w="9525" cap="flat" cmpd="sng">
                                  <a:solidFill>
                                    <a:srgbClr val="000000"/>
                                  </a:solidFill>
                                  <a:prstDash val="solid"/>
                                  <a:headEnd type="none" w="med" len="med"/>
                                  <a:tailEnd type="triangle" w="sm" len="med"/>
                                </a:ln>
                              </wps:spPr>
                              <wps:bodyPr/>
                            </wps:wsp>
                            <wps:wsp>
                              <wps:cNvPr id="118" name="AutoShape 14"/>
                              <wps:cNvCnPr/>
                              <wps:spPr>
                                <a:xfrm>
                                  <a:off x="567690" y="1459230"/>
                                  <a:ext cx="288290" cy="1270"/>
                                </a:xfrm>
                                <a:prstGeom prst="straightConnector1">
                                  <a:avLst/>
                                </a:prstGeom>
                                <a:ln w="9525" cap="flat" cmpd="sng">
                                  <a:solidFill>
                                    <a:srgbClr val="000000"/>
                                  </a:solidFill>
                                  <a:prstDash val="solid"/>
                                  <a:headEnd type="none" w="med" len="med"/>
                                  <a:tailEnd type="triangle" w="sm" len="med"/>
                                </a:ln>
                              </wps:spPr>
                              <wps:bodyPr/>
                            </wps:wsp>
                            <wps:wsp>
                              <wps:cNvPr id="119" name="Text Box 7"/>
                              <wps:cNvSpPr txBox="1"/>
                              <wps:spPr>
                                <a:xfrm>
                                  <a:off x="852170" y="1315720"/>
                                  <a:ext cx="833120" cy="2901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D6E533">
                                    <w:pPr>
                                      <w:jc w:val="center"/>
                                      <w:rPr>
                                        <w:rFonts w:ascii="Times New Roman" w:hAnsi="Times New Roman" w:eastAsia="黑体"/>
                                        <w:sz w:val="18"/>
                                        <w:szCs w:val="18"/>
                                      </w:rPr>
                                    </w:pPr>
                                    <w:r>
                                      <w:rPr>
                                        <w:rFonts w:hint="eastAsia" w:ascii="Times New Roman" w:hAnsi="黑体" w:eastAsia="黑体"/>
                                        <w:sz w:val="18"/>
                                        <w:szCs w:val="18"/>
                                      </w:rPr>
                                      <w:t>冷却循环</w:t>
                                    </w:r>
                                  </w:p>
                                </w:txbxContent>
                              </wps:txbx>
                              <wps:bodyPr upright="1"/>
                            </wps:wsp>
                            <wps:wsp>
                              <wps:cNvPr id="120" name="Freeform 13"/>
                              <wps:cNvSpPr>
                                <a:spLocks noChangeAspect="1"/>
                              </wps:cNvSpPr>
                              <wps:spPr>
                                <a:xfrm rot="-1396062">
                                  <a:off x="1299768" y="1186987"/>
                                  <a:ext cx="280775" cy="73832"/>
                                </a:xfrm>
                                <a:custGeom>
                                  <a:avLst/>
                                  <a:gdLst>
                                    <a:gd name="A1" fmla="val 0"/>
                                    <a:gd name="A2" fmla="val 0"/>
                                    <a:gd name="A3" fmla="val 5400"/>
                                    <a:gd name="txL" fmla="*/ 3163 w 360"/>
                                    <a:gd name="txT" fmla="*/ 3163 h 156"/>
                                    <a:gd name="txR" fmla="*/ 18437 w 360"/>
                                    <a:gd name="txB" fmla="*/ 18437 h 156"/>
                                  </a:gdLst>
                                  <a:ahLst/>
                                  <a:cxnLst>
                                    <a:cxn ang="0">
                                      <a:pos x="0" y="2147483646"/>
                                    </a:cxn>
                                    <a:cxn ang="0">
                                      <a:pos x="2147483646" y="0"/>
                                    </a:cxn>
                                    <a:cxn ang="0">
                                      <a:pos x="2147483646" y="2147483646"/>
                                    </a:cxn>
                                    <a:cxn ang="0">
                                      <a:pos x="2147483646" y="0"/>
                                    </a:cxn>
                                  </a:cxnLst>
                                  <a:rect l="txL" t="txT" r="txR" b="txB"/>
                                  <a:pathLst>
                                    <a:path w="360" h="156">
                                      <a:moveTo>
                                        <a:pt x="0" y="156"/>
                                      </a:moveTo>
                                      <a:cubicBezTo>
                                        <a:pt x="75" y="78"/>
                                        <a:pt x="150" y="0"/>
                                        <a:pt x="180" y="0"/>
                                      </a:cubicBezTo>
                                      <a:cubicBezTo>
                                        <a:pt x="210" y="0"/>
                                        <a:pt x="150" y="156"/>
                                        <a:pt x="180" y="156"/>
                                      </a:cubicBezTo>
                                      <a:cubicBezTo>
                                        <a:pt x="210" y="156"/>
                                        <a:pt x="285" y="78"/>
                                        <a:pt x="360" y="0"/>
                                      </a:cubicBezTo>
                                    </a:path>
                                  </a:pathLst>
                                </a:custGeom>
                                <a:noFill/>
                                <a:ln w="9525" cap="flat" cmpd="sng">
                                  <a:solidFill>
                                    <a:srgbClr val="000000"/>
                                  </a:solidFill>
                                  <a:prstDash val="solid"/>
                                  <a:round/>
                                  <a:headEnd type="none" w="med" len="med"/>
                                  <a:tailEnd type="stealth" w="sm" len="med"/>
                                </a:ln>
                              </wps:spPr>
                              <wps:bodyPr upright="1"/>
                            </wps:wsp>
                            <wps:wsp>
                              <wps:cNvPr id="121" name="文本框 6789"/>
                              <wps:cNvSpPr txBox="1"/>
                              <wps:spPr>
                                <a:xfrm>
                                  <a:off x="1463817" y="969909"/>
                                  <a:ext cx="450502" cy="266299"/>
                                </a:xfrm>
                                <a:prstGeom prst="rect">
                                  <a:avLst/>
                                </a:prstGeom>
                                <a:noFill/>
                                <a:ln>
                                  <a:noFill/>
                                </a:ln>
                              </wps:spPr>
                              <wps:txbx>
                                <w:txbxContent>
                                  <w:p w14:paraId="069661EA">
                                    <w:pPr>
                                      <w:rPr>
                                        <w:rFonts w:hint="default" w:ascii="Times New Roman" w:hAnsi="Times New Roman" w:eastAsia="黑体"/>
                                        <w:sz w:val="18"/>
                                        <w:szCs w:val="18"/>
                                        <w:lang w:val="en-US" w:eastAsia="zh-CN"/>
                                      </w:rPr>
                                    </w:pPr>
                                    <w:r>
                                      <w:rPr>
                                        <w:rFonts w:hint="eastAsia" w:ascii="Times New Roman" w:hAnsi="Times New Roman" w:eastAsia="黑体"/>
                                        <w:sz w:val="18"/>
                                        <w:szCs w:val="18"/>
                                        <w:lang w:val="en-US" w:eastAsia="zh-CN"/>
                                      </w:rPr>
                                      <w:t>1.66</w:t>
                                    </w:r>
                                  </w:p>
                                </w:txbxContent>
                              </wps:txbx>
                              <wps:bodyPr upright="1"/>
                            </wps:wsp>
                            <wps:wsp>
                              <wps:cNvPr id="122" name="AutoShape 14"/>
                              <wps:cNvCnPr/>
                              <wps:spPr>
                                <a:xfrm>
                                  <a:off x="127000" y="901700"/>
                                  <a:ext cx="437515" cy="1270"/>
                                </a:xfrm>
                                <a:prstGeom prst="straightConnector1">
                                  <a:avLst/>
                                </a:prstGeom>
                                <a:ln w="9525" cap="flat" cmpd="sng">
                                  <a:solidFill>
                                    <a:srgbClr val="000000"/>
                                  </a:solidFill>
                                  <a:prstDash val="solid"/>
                                  <a:headEnd type="none" w="med" len="med"/>
                                  <a:tailEnd type="triangle" w="sm" len="med"/>
                                </a:ln>
                              </wps:spPr>
                              <wps:bodyPr/>
                            </wps:wsp>
                            <wps:wsp>
                              <wps:cNvPr id="123" name="Text Box 26"/>
                              <wps:cNvSpPr txBox="1"/>
                              <wps:spPr>
                                <a:xfrm>
                                  <a:off x="521335" y="241300"/>
                                  <a:ext cx="452755" cy="266700"/>
                                </a:xfrm>
                                <a:prstGeom prst="rect">
                                  <a:avLst/>
                                </a:prstGeom>
                                <a:noFill/>
                                <a:ln>
                                  <a:noFill/>
                                </a:ln>
                              </wps:spPr>
                              <wps:txbx>
                                <w:txbxContent>
                                  <w:p w14:paraId="3B557945">
                                    <w:pPr>
                                      <w:rPr>
                                        <w:rFonts w:hint="default" w:ascii="Times New Roman" w:hAnsi="Times New Roman" w:eastAsia="黑体"/>
                                        <w:sz w:val="18"/>
                                        <w:szCs w:val="18"/>
                                        <w:lang w:val="en-US" w:eastAsia="zh-CN"/>
                                      </w:rPr>
                                    </w:pPr>
                                    <w:r>
                                      <w:rPr>
                                        <w:rFonts w:hint="eastAsia" w:ascii="Times New Roman" w:hAnsi="Times New Roman" w:eastAsia="黑体"/>
                                        <w:sz w:val="18"/>
                                        <w:szCs w:val="18"/>
                                        <w:lang w:val="en-US" w:eastAsia="zh-CN"/>
                                      </w:rPr>
                                      <w:t>18</w:t>
                                    </w:r>
                                  </w:p>
                                </w:txbxContent>
                              </wps:txbx>
                              <wps:bodyPr upright="1"/>
                            </wps:wsp>
                            <wps:wsp>
                              <wps:cNvPr id="124" name="Text Box 26"/>
                              <wps:cNvSpPr txBox="1"/>
                              <wps:spPr>
                                <a:xfrm>
                                  <a:off x="476250" y="1241425"/>
                                  <a:ext cx="454025" cy="266065"/>
                                </a:xfrm>
                                <a:prstGeom prst="rect">
                                  <a:avLst/>
                                </a:prstGeom>
                                <a:noFill/>
                                <a:ln>
                                  <a:noFill/>
                                </a:ln>
                              </wps:spPr>
                              <wps:txbx>
                                <w:txbxContent>
                                  <w:p w14:paraId="5A3921FA">
                                    <w:pPr>
                                      <w:rPr>
                                        <w:rFonts w:hint="default" w:ascii="Times New Roman" w:hAnsi="Times New Roman" w:eastAsia="黑体"/>
                                        <w:sz w:val="18"/>
                                        <w:szCs w:val="18"/>
                                        <w:lang w:val="en-US" w:eastAsia="zh-CN"/>
                                      </w:rPr>
                                    </w:pPr>
                                    <w:r>
                                      <w:rPr>
                                        <w:rFonts w:hint="eastAsia" w:ascii="Times New Roman" w:hAnsi="Times New Roman" w:eastAsia="黑体"/>
                                        <w:sz w:val="18"/>
                                        <w:szCs w:val="18"/>
                                        <w:lang w:val="en-US" w:eastAsia="zh-CN"/>
                                      </w:rPr>
                                      <w:t>1.66</w:t>
                                    </w:r>
                                  </w:p>
                                </w:txbxContent>
                              </wps:txbx>
                              <wps:bodyPr upright="1"/>
                            </wps:wsp>
                            <wps:wsp>
                              <wps:cNvPr id="125" name="直接连接符 99"/>
                              <wps:cNvCnPr/>
                              <wps:spPr>
                                <a:xfrm flipH="1">
                                  <a:off x="554990" y="466090"/>
                                  <a:ext cx="3175" cy="99758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26" name="Text Box 23"/>
                              <wps:cNvSpPr txBox="1"/>
                              <wps:spPr>
                                <a:xfrm>
                                  <a:off x="0" y="650240"/>
                                  <a:ext cx="656590" cy="510540"/>
                                </a:xfrm>
                                <a:prstGeom prst="rect">
                                  <a:avLst/>
                                </a:prstGeom>
                                <a:noFill/>
                                <a:ln>
                                  <a:noFill/>
                                </a:ln>
                                <a:effectLst/>
                              </wps:spPr>
                              <wps:txbx>
                                <w:txbxContent>
                                  <w:p w14:paraId="28D13745">
                                    <w:pPr>
                                      <w:jc w:val="left"/>
                                      <w:rPr>
                                        <w:rFonts w:ascii="Times New Roman" w:hAnsi="黑体" w:eastAsia="黑体"/>
                                        <w:sz w:val="18"/>
                                        <w:szCs w:val="18"/>
                                      </w:rPr>
                                    </w:pPr>
                                    <w:r>
                                      <w:rPr>
                                        <w:rFonts w:hint="eastAsia" w:ascii="Times New Roman" w:hAnsi="黑体" w:eastAsia="黑体"/>
                                        <w:sz w:val="18"/>
                                        <w:szCs w:val="18"/>
                                      </w:rPr>
                                      <w:t>市政</w:t>
                                    </w:r>
                                    <w:r>
                                      <w:rPr>
                                        <w:rFonts w:ascii="Times New Roman" w:hAnsi="黑体" w:eastAsia="黑体"/>
                                        <w:sz w:val="18"/>
                                        <w:szCs w:val="18"/>
                                      </w:rPr>
                                      <w:t>供水</w:t>
                                    </w:r>
                                  </w:p>
                                  <w:p w14:paraId="0F00A091">
                                    <w:pPr>
                                      <w:ind w:firstLine="180" w:firstLineChars="100"/>
                                      <w:jc w:val="left"/>
                                      <w:rPr>
                                        <w:rFonts w:hint="default" w:ascii="Times New Roman" w:hAnsi="Times New Roman" w:eastAsia="黑体"/>
                                        <w:sz w:val="18"/>
                                        <w:szCs w:val="18"/>
                                        <w:lang w:val="en-US" w:eastAsia="zh-CN"/>
                                      </w:rPr>
                                    </w:pPr>
                                    <w:r>
                                      <w:rPr>
                                        <w:rFonts w:hint="eastAsia" w:ascii="Times New Roman" w:hAnsi="Times New Roman" w:eastAsia="黑体"/>
                                        <w:sz w:val="18"/>
                                        <w:szCs w:val="18"/>
                                        <w:lang w:val="en-US" w:eastAsia="zh-CN"/>
                                      </w:rPr>
                                      <w:t>19.66</w:t>
                                    </w:r>
                                  </w:p>
                                </w:txbxContent>
                              </wps:txbx>
                              <wps:bodyPr upright="1"/>
                            </wps:wsp>
                            <wps:wsp>
                              <wps:cNvPr id="127" name="直接连接符 514"/>
                              <wps:cNvCnPr/>
                              <wps:spPr>
                                <a:xfrm>
                                  <a:off x="1684020" y="1608455"/>
                                  <a:ext cx="0" cy="251460"/>
                                </a:xfrm>
                                <a:prstGeom prst="line">
                                  <a:avLst/>
                                </a:prstGeom>
                                <a:ln w="12700">
                                  <a:solidFill>
                                    <a:schemeClr val="tx1"/>
                                  </a:solidFill>
                                </a:ln>
                              </wps:spPr>
                              <wps:style>
                                <a:lnRef idx="2">
                                  <a:schemeClr val="accent1"/>
                                </a:lnRef>
                                <a:fillRef idx="0">
                                  <a:srgbClr val="FFFFFF"/>
                                </a:fillRef>
                                <a:effectRef idx="0">
                                  <a:srgbClr val="FFFFFF"/>
                                </a:effectRef>
                                <a:fontRef idx="minor">
                                  <a:schemeClr val="tx1"/>
                                </a:fontRef>
                              </wps:style>
                              <wps:bodyPr/>
                            </wps:wsp>
                            <wps:wsp>
                              <wps:cNvPr id="128" name="直接连接符 515"/>
                              <wps:cNvCnPr/>
                              <wps:spPr>
                                <a:xfrm>
                                  <a:off x="996910" y="1609153"/>
                                  <a:ext cx="0" cy="251154"/>
                                </a:xfrm>
                                <a:prstGeom prst="line">
                                  <a:avLst/>
                                </a:prstGeom>
                                <a:ln w="12700">
                                  <a:solidFill>
                                    <a:schemeClr val="tx1"/>
                                  </a:solidFill>
                                  <a:headEnd type="triangle" w="sm" len="med"/>
                                  <a:tailEnd type="none"/>
                                </a:ln>
                              </wps:spPr>
                              <wps:style>
                                <a:lnRef idx="2">
                                  <a:schemeClr val="accent1"/>
                                </a:lnRef>
                                <a:fillRef idx="0">
                                  <a:srgbClr val="FFFFFF"/>
                                </a:fillRef>
                                <a:effectRef idx="0">
                                  <a:srgbClr val="FFFFFF"/>
                                </a:effectRef>
                                <a:fontRef idx="minor">
                                  <a:schemeClr val="tx1"/>
                                </a:fontRef>
                              </wps:style>
                              <wps:bodyPr/>
                            </wps:wsp>
                            <wps:wsp>
                              <wps:cNvPr id="129" name="直接箭头连接符 516"/>
                              <wps:cNvCnPr/>
                              <wps:spPr>
                                <a:xfrm>
                                  <a:off x="996910" y="1856521"/>
                                  <a:ext cx="692789" cy="1262"/>
                                </a:xfrm>
                                <a:prstGeom prst="straightConnector1">
                                  <a:avLst/>
                                </a:prstGeom>
                                <a:ln w="12700" cap="flat" cmpd="sng">
                                  <a:solidFill>
                                    <a:srgbClr val="000000"/>
                                  </a:solidFill>
                                  <a:prstDash val="solid"/>
                                  <a:headEnd type="none" w="med" len="med"/>
                                  <a:tailEnd type="none" w="sm" len="med"/>
                                </a:ln>
                              </wps:spPr>
                              <wps:bodyPr/>
                            </wps:wsp>
                            <wps:wsp>
                              <wps:cNvPr id="130" name="Text Box 26"/>
                              <wps:cNvSpPr txBox="1"/>
                              <wps:spPr>
                                <a:xfrm>
                                  <a:off x="1110482" y="1643860"/>
                                  <a:ext cx="368477" cy="266299"/>
                                </a:xfrm>
                                <a:prstGeom prst="rect">
                                  <a:avLst/>
                                </a:prstGeom>
                                <a:noFill/>
                                <a:ln>
                                  <a:noFill/>
                                </a:ln>
                              </wps:spPr>
                              <wps:txbx>
                                <w:txbxContent>
                                  <w:p w14:paraId="464E3FCC">
                                    <w:pPr>
                                      <w:rPr>
                                        <w:rFonts w:hint="default" w:ascii="Times New Roman" w:hAnsi="Times New Roman" w:eastAsia="黑体"/>
                                        <w:sz w:val="18"/>
                                        <w:szCs w:val="18"/>
                                        <w:lang w:val="en-US" w:eastAsia="zh-CN"/>
                                      </w:rPr>
                                    </w:pPr>
                                    <w:r>
                                      <w:rPr>
                                        <w:rFonts w:hint="eastAsia" w:ascii="Times New Roman" w:hAnsi="Times New Roman" w:eastAsia="黑体"/>
                                        <w:sz w:val="18"/>
                                        <w:szCs w:val="18"/>
                                        <w:lang w:val="en-US" w:eastAsia="zh-CN"/>
                                      </w:rPr>
                                      <w:t>500</w:t>
                                    </w:r>
                                  </w:p>
                                </w:txbxContent>
                              </wps:txbx>
                              <wps:bodyPr upright="1"/>
                            </wps:wsp>
                            <wps:wsp>
                              <wps:cNvPr id="131" name="Text Box 26"/>
                              <wps:cNvSpPr txBox="1"/>
                              <wps:spPr>
                                <a:xfrm>
                                  <a:off x="1451197" y="0"/>
                                  <a:ext cx="450503" cy="266299"/>
                                </a:xfrm>
                                <a:prstGeom prst="rect">
                                  <a:avLst/>
                                </a:prstGeom>
                                <a:noFill/>
                                <a:ln>
                                  <a:noFill/>
                                </a:ln>
                              </wps:spPr>
                              <wps:txbx>
                                <w:txbxContent>
                                  <w:p w14:paraId="1E41C95C">
                                    <w:pPr>
                                      <w:rPr>
                                        <w:rFonts w:hint="default" w:ascii="Times New Roman" w:hAnsi="Times New Roman" w:eastAsia="黑体"/>
                                        <w:sz w:val="18"/>
                                        <w:szCs w:val="18"/>
                                        <w:lang w:val="en-US" w:eastAsia="zh-CN"/>
                                      </w:rPr>
                                    </w:pPr>
                                    <w:r>
                                      <w:rPr>
                                        <w:rFonts w:hint="eastAsia" w:ascii="Times New Roman" w:hAnsi="Times New Roman" w:eastAsia="黑体"/>
                                        <w:sz w:val="18"/>
                                        <w:szCs w:val="18"/>
                                        <w:lang w:val="en-US" w:eastAsia="zh-CN"/>
                                      </w:rPr>
                                      <w:t>3.6</w:t>
                                    </w:r>
                                  </w:p>
                                </w:txbxContent>
                              </wps:txbx>
                              <wps:bodyPr upright="1"/>
                            </wps:wsp>
                            <wps:wsp>
                              <wps:cNvPr id="132" name="Text Box 22"/>
                              <wps:cNvSpPr txBox="1"/>
                              <wps:spPr>
                                <a:xfrm>
                                  <a:off x="4479783" y="302899"/>
                                  <a:ext cx="542622" cy="284600"/>
                                </a:xfrm>
                                <a:prstGeom prst="rect">
                                  <a:avLst/>
                                </a:prstGeom>
                                <a:noFill/>
                                <a:ln>
                                  <a:noFill/>
                                </a:ln>
                                <a:effectLst/>
                              </wps:spPr>
                              <wps:txbx>
                                <w:txbxContent>
                                  <w:p w14:paraId="21C66E58">
                                    <w:pPr>
                                      <w:jc w:val="center"/>
                                      <w:rPr>
                                        <w:rFonts w:ascii="Times New Roman" w:hAnsi="Times New Roman" w:eastAsia="黑体"/>
                                        <w:sz w:val="18"/>
                                        <w:szCs w:val="18"/>
                                      </w:rPr>
                                    </w:pPr>
                                    <w:r>
                                      <w:rPr>
                                        <w:rFonts w:hint="eastAsia" w:ascii="Times New Roman" w:hAnsi="黑体" w:eastAsia="黑体"/>
                                        <w:sz w:val="18"/>
                                        <w:szCs w:val="18"/>
                                      </w:rPr>
                                      <w:t>架河</w:t>
                                    </w:r>
                                  </w:p>
                                </w:txbxContent>
                              </wps:txbx>
                              <wps:bodyPr upright="1"/>
                            </wps:wsp>
                          </wpc:wpc>
                        </a:graphicData>
                      </a:graphic>
                    </wp:inline>
                  </w:drawing>
                </mc:Choice>
                <mc:Fallback>
                  <w:pict>
                    <v:group id="画布 4" o:spid="_x0000_s1026" o:spt="203" style="height:152.25pt;width:411pt;" coordsize="5219700,1933575" editas="canvas" o:gfxdata="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">
                      <o:lock v:ext="edit" aspectratio="f"/>
                      <v:shape id="画布 4" o:spid="_x0000_s1026" style="position:absolute;left:0;top:0;height:1933575;width:5219700;" filled="f" stroked="f" coordsize="21600,21600" o:gfxdata="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">
                        <v:fill on="f" focussize="0,0"/>
                        <v:stroke on="f"/>
                        <v:imagedata o:title=""/>
                        <o:lock v:ext="edit" aspectratio="t"/>
                      </v:shape>
                      <v:shape id="Text Box 27" o:spid="_x0000_s1026" o:spt="202" type="#_x0000_t202" style="position:absolute;left:2448107;top:273241;height:265668;width:451764;" filled="f" stroked="f" coordsize="21600,21600" o:gfxdata="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AL8RFvTAAAABQEAAA8AAAAA&#10;AAAAAQAgAAAAIgAAAGRycy9kb3ducmV2LnhtbFBLAQIUABQAAAAIAIdO4kANlCSypwEAAFoDAAAO&#10;AAAAAAAAAAEAIAAAACIBAABkcnMvZTJvRG9jLnhtbFBLBQYAAAAABgAGAFkBAAA7BQAAAAA=&#10;">
                        <v:fill on="f" focussize="0,0"/>
                        <v:stroke on="f"/>
                        <v:imagedata o:title=""/>
                        <o:lock v:ext="edit" aspectratio="f"/>
                        <v:textbox>
                          <w:txbxContent>
                            <w:p w14:paraId="187D6874">
                              <w:pPr>
                                <w:rPr>
                                  <w:rFonts w:hint="default" w:ascii="Times New Roman" w:hAnsi="Times New Roman" w:eastAsia="黑体"/>
                                  <w:sz w:val="18"/>
                                  <w:szCs w:val="18"/>
                                  <w:lang w:val="en-US" w:eastAsia="zh-CN"/>
                                </w:rPr>
                              </w:pPr>
                              <w:r>
                                <w:rPr>
                                  <w:rFonts w:hint="eastAsia" w:ascii="Times New Roman" w:hAnsi="Times New Roman" w:eastAsia="黑体"/>
                                  <w:sz w:val="18"/>
                                  <w:szCs w:val="18"/>
                                  <w:lang w:val="en-US" w:eastAsia="zh-CN"/>
                                </w:rPr>
                                <w:t>14.4</w:t>
                              </w:r>
                            </w:p>
                          </w:txbxContent>
                        </v:textbox>
                      </v:shape>
                      <v:shape id="Text Box 28" o:spid="_x0000_s1026" o:spt="202" type="#_x0000_t202" style="position:absolute;left:4202163;top:249261;height:266299;width:452395;" filled="f" stroked="f" coordsize="21600,21600" o:gfxdata="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C/ERb0wAAAAUBAAAPAAAA&#10;AAAAAAEAIAAAACIAAABkcnMvZG93bnJldi54bWxQSwECFAAUAAAACACHTuJAFZZqcqgBAABaAwAA&#10;DgAAAAAAAAABACAAAAAiAQAAZHJzL2Uyb0RvYy54bWxQSwUGAAAAAAYABgBZAQAAPAUAAAAA&#10;">
                        <v:fill on="f" focussize="0,0"/>
                        <v:stroke on="f"/>
                        <v:imagedata o:title=""/>
                        <o:lock v:ext="edit" aspectratio="f"/>
                        <v:textbox>
                          <w:txbxContent>
                            <w:p w14:paraId="35399535">
                              <w:pPr>
                                <w:rPr>
                                  <w:rFonts w:hint="default" w:ascii="Times New Roman" w:hAnsi="Times New Roman" w:eastAsia="黑体"/>
                                  <w:sz w:val="18"/>
                                  <w:szCs w:val="18"/>
                                  <w:lang w:val="en-US" w:eastAsia="zh-CN"/>
                                </w:rPr>
                              </w:pPr>
                              <w:r>
                                <w:rPr>
                                  <w:rFonts w:hint="eastAsia" w:ascii="Times New Roman" w:hAnsi="Times New Roman" w:eastAsia="黑体"/>
                                  <w:sz w:val="18"/>
                                  <w:szCs w:val="18"/>
                                  <w:lang w:val="en-US" w:eastAsia="zh-CN"/>
                                </w:rPr>
                                <w:t>14.4</w:t>
                              </w:r>
                            </w:p>
                          </w:txbxContent>
                        </v:textbox>
                      </v:shape>
                      <v:shape id="AutoShape 18" o:spid="_x0000_s1026" o:spt="32" type="#_x0000_t32" style="position:absolute;left:1564769;top:465077;flip:y;height:631;width:364062;" filled="f" stroked="t" coordsize="21600,21600" o:gfxdata="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OluU7WAAAABQEAAA8AAAAAAAAAAQAgAAAAIgAAAGRycy9kb3ducmV2&#10;LnhtbFBLAQIUABQAAAAIAIdO4kBdmP3e/gEAAPwDAAAOAAAAAAAAAAEAIAAAACUBAABkcnMvZTJv&#10;RG9jLnhtbFBLBQYAAAAABgAGAFkBAACVBQAAAAA=&#10;">
                        <v:fill on="f" focussize="0,0"/>
                        <v:stroke color="#000000" joinstyle="round" endarrow="block" endarrowwidth="narrow"/>
                        <v:imagedata o:title=""/>
                        <o:lock v:ext="edit" aspectratio="f"/>
                      </v:shape>
                      <v:shape id="Text Box 10" o:spid="_x0000_s1026" o:spt="202" type="#_x0000_t202" style="position:absolute;left:1917700;top:314325;height:296545;width:568325;" fillcolor="#FFFFFF" filled="t" stroked="t" coordsize="21600,21600" o:gfxdata="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HPGObVAAAABQEAAA8AAAAAAAAAAQAgAAAAIgAAAGRycy9k&#10;b3ducmV2LnhtbFBLAQIUABQAAAAIAIdO4kAGmUUFBQIAAEIEAAAOAAAAAAAAAAEAIAAAACQBAABk&#10;cnMvZTJvRG9jLnhtbFBLBQYAAAAABgAGAFkBAACbBQAAAAA=&#10;">
                        <v:fill on="t" focussize="0,0"/>
                        <v:stroke color="#000000" joinstyle="miter"/>
                        <v:imagedata o:title=""/>
                        <o:lock v:ext="edit" aspectratio="f"/>
                        <v:textbox>
                          <w:txbxContent>
                            <w:p w14:paraId="4AC8CBDD">
                              <w:pPr>
                                <w:jc w:val="center"/>
                                <w:rPr>
                                  <w:rFonts w:ascii="Times New Roman" w:hAnsi="Times New Roman" w:eastAsia="黑体"/>
                                  <w:sz w:val="18"/>
                                  <w:szCs w:val="18"/>
                                </w:rPr>
                              </w:pPr>
                              <w:r>
                                <w:rPr>
                                  <w:rFonts w:ascii="Times New Roman" w:hAnsi="黑体" w:eastAsia="黑体"/>
                                  <w:sz w:val="18"/>
                                  <w:szCs w:val="18"/>
                                </w:rPr>
                                <w:t>化粪池</w:t>
                              </w:r>
                            </w:p>
                          </w:txbxContent>
                        </v:textbox>
                      </v:shape>
                      <v:shape id="Text Box 12" o:spid="_x0000_s1026" o:spt="202" type="#_x0000_t202" style="position:absolute;left:2864538;top:314258;height:295958;width:1369804;" fillcolor="#FFFFFF" filled="t" stroked="t" coordsize="21600,21600" o:gfxdata="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c8Y5tUAAAAFAQAADwAAAAAAAAABACAAAAAiAAAAZHJz&#10;L2Rvd25yZXYueG1sUEsBAhQAFAAAAAgAh07iQBHKAhEHAgAAQwQAAA4AAAAAAAAAAQAgAAAAJAEA&#10;AGRycy9lMm9Eb2MueG1sUEsFBgAAAAAGAAYAWQEAAJ0FAAAAAA==&#10;">
                        <v:fill on="t" focussize="0,0"/>
                        <v:stroke color="#000000" joinstyle="miter"/>
                        <v:imagedata o:title=""/>
                        <o:lock v:ext="edit" aspectratio="f"/>
                        <v:textbox>
                          <w:txbxContent>
                            <w:p w14:paraId="1845E1C8">
                              <w:pPr>
                                <w:jc w:val="center"/>
                                <w:rPr>
                                  <w:rFonts w:ascii="Times New Roman" w:hAnsi="Times New Roman" w:eastAsia="黑体"/>
                                  <w:sz w:val="18"/>
                                  <w:szCs w:val="18"/>
                                </w:rPr>
                              </w:pPr>
                              <w:r>
                                <w:rPr>
                                  <w:rFonts w:hint="eastAsia" w:ascii="Times New Roman" w:hAnsi="黑体" w:eastAsia="黑体"/>
                                  <w:sz w:val="18"/>
                                  <w:szCs w:val="18"/>
                                </w:rPr>
                                <w:t>凤凰湖园区污水处理厂</w:t>
                              </w:r>
                            </w:p>
                          </w:txbxContent>
                        </v:textbox>
                      </v:shape>
                      <v:shape id="Text Box 26" o:spid="_x0000_s1026" o:spt="202" type="#_x0000_t202" style="position:absolute;left:1511300;top:255905;height:266065;width:453390;" filled="f" stroked="f" coordsize="21600,21600" o:gfxdata="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vxEW9MAAAAFAQAADwAAAAAA&#10;AAABACAAAAAiAAAAZHJzL2Rvd25yZXYueG1sUEsBAhQAFAAAAAgAh07iQA98mTqmAQAAWgMAAA4A&#10;AAAAAAAAAQAgAAAAIgEAAGRycy9lMm9Eb2MueG1sUEsFBgAAAAAGAAYAWQEAADoFAAAAAA==&#10;">
                        <v:fill on="f" focussize="0,0"/>
                        <v:stroke on="f"/>
                        <v:imagedata o:title=""/>
                        <o:lock v:ext="edit" aspectratio="f"/>
                        <v:textbox>
                          <w:txbxContent>
                            <w:p w14:paraId="32189B6A">
                              <w:pPr>
                                <w:rPr>
                                  <w:rFonts w:hint="default" w:ascii="Times New Roman" w:hAnsi="Times New Roman" w:eastAsia="黑体"/>
                                  <w:sz w:val="18"/>
                                  <w:szCs w:val="18"/>
                                  <w:lang w:val="en-US" w:eastAsia="zh-CN"/>
                                </w:rPr>
                              </w:pPr>
                              <w:r>
                                <w:rPr>
                                  <w:rFonts w:hint="eastAsia" w:ascii="Times New Roman" w:hAnsi="Times New Roman" w:eastAsia="黑体"/>
                                  <w:sz w:val="18"/>
                                  <w:szCs w:val="18"/>
                                  <w:lang w:val="en-US" w:eastAsia="zh-CN"/>
                                </w:rPr>
                                <w:t>14.4</w:t>
                              </w:r>
                            </w:p>
                          </w:txbxContent>
                        </v:textbox>
                      </v:shape>
                      <v:shape id="AutoShape 21" o:spid="_x0000_s1026" o:spt="32" type="#_x0000_t32" style="position:absolute;left:4265259;top:464446;flip:y;height:631;width:367847;" filled="f" stroked="t" coordsize="21600,21600" o:gfxdata="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6W5TtYAAAAFAQAADwAAAAAAAAABACAAAAAiAAAAZHJzL2Rvd25y&#10;ZXYueG1sUEsBAhQAFAAAAAgAh07iQIyww8oAAgAA/AMAAA4AAAAAAAAAAQAgAAAAJQEAAGRycy9l&#10;Mm9Eb2MueG1sUEsFBgAAAAAGAAYAWQEAAJcFAAAAAA==&#10;">
                        <v:fill on="f" focussize="0,0"/>
                        <v:stroke color="#000000" joinstyle="round" endarrow="block" endarrowwidth="narrow"/>
                        <v:imagedata o:title=""/>
                        <o:lock v:ext="edit" aspectratio="f"/>
                      </v:shape>
                      <v:shape id="Text Box 7" o:spid="_x0000_s1026" o:spt="202" type="#_x0000_t202" style="position:absolute;left:818515;top:313690;height:296545;width:737235;" fillcolor="#FFFFFF" filled="t" stroked="t" coordsize="21600,21600" o:gfxdata="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c8Y5tUAAAAFAQAADwAAAAAAAAABACAAAAAiAAAAZHJzL2Rv&#10;d25yZXYueG1sUEsBAhQAFAAAAAgAh07iQNKXdqIEAgAAQAQAAA4AAAAAAAAAAQAgAAAAJAEAAGRy&#10;cy9lMm9Eb2MueG1sUEsFBgAAAAAGAAYAWQEAAJoFAAAAAA==&#10;">
                        <v:fill on="t" focussize="0,0"/>
                        <v:stroke color="#000000" joinstyle="miter"/>
                        <v:imagedata o:title=""/>
                        <o:lock v:ext="edit" aspectratio="f"/>
                        <v:textbox>
                          <w:txbxContent>
                            <w:p w14:paraId="52FBB4F5">
                              <w:pPr>
                                <w:jc w:val="center"/>
                                <w:rPr>
                                  <w:rFonts w:ascii="黑体" w:hAnsi="黑体" w:eastAsia="黑体"/>
                                  <w:sz w:val="18"/>
                                  <w:szCs w:val="18"/>
                                </w:rPr>
                              </w:pPr>
                              <w:r>
                                <w:rPr>
                                  <w:rFonts w:hint="eastAsia" w:ascii="Times New Roman" w:hAnsi="黑体" w:eastAsia="黑体"/>
                                  <w:sz w:val="18"/>
                                  <w:szCs w:val="18"/>
                                </w:rPr>
                                <w:t>生活污水</w:t>
                              </w:r>
                              <w:r>
                                <w:rPr>
                                  <w:rFonts w:ascii="黑体" w:hAnsi="黑体" w:eastAsia="黑体"/>
                                  <w:sz w:val="18"/>
                                  <w:szCs w:val="18"/>
                                </w:rPr>
                                <w:t>生活污水</w:t>
                              </w:r>
                            </w:p>
                          </w:txbxContent>
                        </v:textbox>
                      </v:shape>
                      <v:shape id="Freeform 13" o:spid="_x0000_s1026" o:spt="100" style="position:absolute;left:1287149;top:191836;height:74463;width:280144;rotation:-1524872f;" filled="f" stroked="t" coordsize="360,156" o:gfxdata="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" path="m0,156c75,78,150,0,180,0c210,0,150,156,180,156c210,156,285,78,360,0e">
                        <v:path o:connectlocs="0,2147483646;2147483646,0;2147483646,2147483646;2147483646,0" o:connectangles="0,0,0,0"/>
                        <v:fill on="f" focussize="0,0"/>
                        <v:stroke color="#000000" joinstyle="round" endarrow="classic" endarrowwidth="narrow"/>
                        <v:imagedata o:title=""/>
                        <o:lock v:ext="edit" aspectratio="t"/>
                      </v:shape>
                      <v:shape id="AutoShape 14" o:spid="_x0000_s1026" o:spt="32" type="#_x0000_t32" style="position:absolute;left:567055;top:472440;height:1270;width:252095;" filled="f" stroked="t" coordsize="21600,21600" o:gfxdata="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JLtX9YAAAAFAQAADwAAAAAAAAABACAAAAAiAAAAZHJzL2Rvd25yZXYueG1sUEsB&#10;AhQAFAAAAAgAh07iQHbqV4v3AQAA8gMAAA4AAAAAAAAAAQAgAAAAJQEAAGRycy9lMm9Eb2MueG1s&#10;UEsFBgAAAAAGAAYAWQEAAI4FAAAAAA==&#10;">
                        <v:fill on="f" focussize="0,0"/>
                        <v:stroke color="#000000" joinstyle="round" endarrow="block" endarrowwidth="narrow"/>
                        <v:imagedata o:title=""/>
                        <o:lock v:ext="edit" aspectratio="f"/>
                      </v:shape>
                      <v:shape id="AutoShape 18" o:spid="_x0000_s1026" o:spt="32" type="#_x0000_t32" style="position:absolute;left:2498583;top:472018;flip:y;height:631;width:367216;" filled="f" stroked="t" coordsize="21600,21600" o:gfxdata="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DpblO1gAAAAUBAAAPAAAAAAAAAAEAIAAAACIAAABkcnMvZG93bnJl&#10;di54bWxQSwECFAAUAAAACACHTuJAzYMgo/8BAAD8AwAADgAAAAAAAAABACAAAAAlAQAAZHJzL2Uy&#10;b0RvYy54bWxQSwUGAAAAAAYABgBZAQAAlgUAAAAA&#10;">
                        <v:fill on="f" focussize="0,0"/>
                        <v:stroke color="#000000" joinstyle="round" endarrow="block" endarrowwidth="narrow"/>
                        <v:imagedata o:title=""/>
                        <o:lock v:ext="edit" aspectratio="f"/>
                      </v:shape>
                      <v:shape id="AutoShape 14" o:spid="_x0000_s1026" o:spt="32" type="#_x0000_t32" style="position:absolute;left:567690;top:1459230;height:1270;width:288290;" filled="f" stroked="t" coordsize="21600,21600" o:gfxdata="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CS7V/WAAAABQEAAA8AAAAAAAAAAQAgAAAAIgAAAGRycy9kb3ducmV2LnhtbFBL&#10;AQIUABQAAAAIAIdO4kBQg0IF+AEAAPMDAAAOAAAAAAAAAAEAIAAAACUBAABkcnMvZTJvRG9jLnht&#10;bFBLBQYAAAAABgAGAFkBAACPBQAAAAA=&#10;">
                        <v:fill on="f" focussize="0,0"/>
                        <v:stroke color="#000000" joinstyle="round" endarrow="block" endarrowwidth="narrow"/>
                        <v:imagedata o:title=""/>
                        <o:lock v:ext="edit" aspectratio="f"/>
                      </v:shape>
                      <v:shape id="Text Box 7" o:spid="_x0000_s1026" o:spt="202" type="#_x0000_t202" style="position:absolute;left:852170;top:1315720;height:290195;width:833120;" fillcolor="#FFFFFF" filled="t" stroked="t" coordsize="21600,21600" o:gfxdata="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HPGObVAAAABQEAAA8AAAAAAAAAAQAgAAAAIgAAAGRycy9kb3du&#10;cmV2LnhtbFBLAQIUABQAAAAIAIdO4kB0fcigAgIAAEEEAAAOAAAAAAAAAAEAIAAAACQBAABkcnMv&#10;ZTJvRG9jLnhtbFBLBQYAAAAABgAGAFkBAACYBQAAAAA=&#10;">
                        <v:fill on="t" focussize="0,0"/>
                        <v:stroke color="#000000" joinstyle="miter"/>
                        <v:imagedata o:title=""/>
                        <o:lock v:ext="edit" aspectratio="f"/>
                        <v:textbox>
                          <w:txbxContent>
                            <w:p w14:paraId="49D6E533">
                              <w:pPr>
                                <w:jc w:val="center"/>
                                <w:rPr>
                                  <w:rFonts w:ascii="Times New Roman" w:hAnsi="Times New Roman" w:eastAsia="黑体"/>
                                  <w:sz w:val="18"/>
                                  <w:szCs w:val="18"/>
                                </w:rPr>
                              </w:pPr>
                              <w:r>
                                <w:rPr>
                                  <w:rFonts w:hint="eastAsia" w:ascii="Times New Roman" w:hAnsi="黑体" w:eastAsia="黑体"/>
                                  <w:sz w:val="18"/>
                                  <w:szCs w:val="18"/>
                                </w:rPr>
                                <w:t>冷却循环</w:t>
                              </w:r>
                            </w:p>
                          </w:txbxContent>
                        </v:textbox>
                      </v:shape>
                      <v:shape id="Freeform 13" o:spid="_x0000_s1026" o:spt="100" style="position:absolute;left:1299768;top:1186987;height:73832;width:280775;rotation:-1524872f;" filled="f" stroked="t" coordsize="360,156" o:gfxdata="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BRJldJ1AAAAAUBAAAPAAAAAAAA&#10;AAEAIAAAACIAAABkcnMvZG93bnJldi54bWxQSwECFAAUAAAACACHTuJAkdLVXDMDAADhBwAADgAA&#10;AAAAAAABACAAAAAjAQAAZHJzL2Uyb0RvYy54bWxQSwUGAAAAAAYABgBZAQAAyAYAAAAA&#10;" path="m0,156c75,78,150,0,180,0c210,0,150,156,180,156c210,156,285,78,360,0e">
                        <v:path o:connectlocs="0,2147483646;2147483646,0;2147483646,2147483646;2147483646,0" o:connectangles="0,0,0,0"/>
                        <v:fill on="f" focussize="0,0"/>
                        <v:stroke color="#000000" joinstyle="round" endarrow="classic" endarrowwidth="narrow"/>
                        <v:imagedata o:title=""/>
                        <o:lock v:ext="edit" aspectratio="t"/>
                      </v:shape>
                      <v:shape id="文本框 6789" o:spid="_x0000_s1026" o:spt="202" type="#_x0000_t202" style="position:absolute;left:1463817;top:969909;height:266299;width:450502;" filled="f" stroked="f" coordsize="21600,21600" o:gfxdata="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L8RFvTAAAABQEAAA8AAAAAAAAAAQAgAAAAIgAAAGRycy9kb3ducmV2LnhtbFBLAQIUABQA&#10;AAAIAIdO4kAPwf4WvAEAAF0DAAAOAAAAAAAAAAEAIAAAACIBAABkcnMvZTJvRG9jLnhtbFBLBQYA&#10;AAAABgAGAFkBAABQBQAAAAA=&#10;">
                        <v:fill on="f" focussize="0,0"/>
                        <v:stroke on="f"/>
                        <v:imagedata o:title=""/>
                        <o:lock v:ext="edit" aspectratio="f"/>
                        <v:textbox>
                          <w:txbxContent>
                            <w:p w14:paraId="069661EA">
                              <w:pPr>
                                <w:rPr>
                                  <w:rFonts w:hint="default" w:ascii="Times New Roman" w:hAnsi="Times New Roman" w:eastAsia="黑体"/>
                                  <w:sz w:val="18"/>
                                  <w:szCs w:val="18"/>
                                  <w:lang w:val="en-US" w:eastAsia="zh-CN"/>
                                </w:rPr>
                              </w:pPr>
                              <w:r>
                                <w:rPr>
                                  <w:rFonts w:hint="eastAsia" w:ascii="Times New Roman" w:hAnsi="Times New Roman" w:eastAsia="黑体"/>
                                  <w:sz w:val="18"/>
                                  <w:szCs w:val="18"/>
                                  <w:lang w:val="en-US" w:eastAsia="zh-CN"/>
                                </w:rPr>
                                <w:t>1.66</w:t>
                              </w:r>
                            </w:p>
                          </w:txbxContent>
                        </v:textbox>
                      </v:shape>
                      <v:shape id="AutoShape 14" o:spid="_x0000_s1026" o:spt="32" type="#_x0000_t32" style="position:absolute;left:127000;top:901700;height:1270;width:437515;" filled="f" stroked="t" coordsize="21600,21600" o:gfxdata="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CS7V/WAAAABQEAAA8AAAAAAAAAAQAgAAAAIgAAAGRycy9kb3ducmV2LnhtbFBLAQIUABQA&#10;AAAIAIdO4kCeA2s68gEAAPIDAAAOAAAAAAAAAAEAIAAAACUBAABkcnMvZTJvRG9jLnhtbFBLBQYA&#10;AAAABgAGAFkBAACJBQAAAAA=&#10;">
                        <v:fill on="f" focussize="0,0"/>
                        <v:stroke color="#000000" joinstyle="round" endarrow="block" endarrowwidth="narrow"/>
                        <v:imagedata o:title=""/>
                        <o:lock v:ext="edit" aspectratio="f"/>
                      </v:shape>
                      <v:shape id="Text Box 26" o:spid="_x0000_s1026" o:spt="202" type="#_x0000_t202" style="position:absolute;left:521335;top:241300;height:266700;width:452755;" filled="f" stroked="f" coordsize="21600,21600" o:gfxdata="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vxEW9MAAAAFAQAADwAAAAAA&#10;AAABACAAAAAiAAAAZHJzL2Rvd25yZXYueG1sUEsBAhQAFAAAAAgAh07iQHV0skemAQAAWQMAAA4A&#10;AAAAAAAAAQAgAAAAIgEAAGRycy9lMm9Eb2MueG1sUEsFBgAAAAAGAAYAWQEAADoFAAAAAA==&#10;">
                        <v:fill on="f" focussize="0,0"/>
                        <v:stroke on="f"/>
                        <v:imagedata o:title=""/>
                        <o:lock v:ext="edit" aspectratio="f"/>
                        <v:textbox>
                          <w:txbxContent>
                            <w:p w14:paraId="3B557945">
                              <w:pPr>
                                <w:rPr>
                                  <w:rFonts w:hint="default" w:ascii="Times New Roman" w:hAnsi="Times New Roman" w:eastAsia="黑体"/>
                                  <w:sz w:val="18"/>
                                  <w:szCs w:val="18"/>
                                  <w:lang w:val="en-US" w:eastAsia="zh-CN"/>
                                </w:rPr>
                              </w:pPr>
                              <w:r>
                                <w:rPr>
                                  <w:rFonts w:hint="eastAsia" w:ascii="Times New Roman" w:hAnsi="Times New Roman" w:eastAsia="黑体"/>
                                  <w:sz w:val="18"/>
                                  <w:szCs w:val="18"/>
                                  <w:lang w:val="en-US" w:eastAsia="zh-CN"/>
                                </w:rPr>
                                <w:t>18</w:t>
                              </w:r>
                            </w:p>
                          </w:txbxContent>
                        </v:textbox>
                      </v:shape>
                      <v:shape id="Text Box 26" o:spid="_x0000_s1026" o:spt="202" type="#_x0000_t202" style="position:absolute;left:476250;top:1241425;height:266065;width:454025;" filled="f" stroked="f" coordsize="21600,21600" o:gfxdata="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AC/ERb0wAAAAUBAAAPAAAAAAAA&#10;AAEAIAAAACIAAABkcnMvZG93bnJldi54bWxQSwECFAAUAAAACACHTuJAzD92VqUBAABaAwAADgAA&#10;AAAAAAABACAAAAAiAQAAZHJzL2Uyb0RvYy54bWxQSwUGAAAAAAYABgBZAQAAOQUAAAAA&#10;">
                        <v:fill on="f" focussize="0,0"/>
                        <v:stroke on="f"/>
                        <v:imagedata o:title=""/>
                        <o:lock v:ext="edit" aspectratio="f"/>
                        <v:textbox>
                          <w:txbxContent>
                            <w:p w14:paraId="5A3921FA">
                              <w:pPr>
                                <w:rPr>
                                  <w:rFonts w:hint="default" w:ascii="Times New Roman" w:hAnsi="Times New Roman" w:eastAsia="黑体"/>
                                  <w:sz w:val="18"/>
                                  <w:szCs w:val="18"/>
                                  <w:lang w:val="en-US" w:eastAsia="zh-CN"/>
                                </w:rPr>
                              </w:pPr>
                              <w:r>
                                <w:rPr>
                                  <w:rFonts w:hint="eastAsia" w:ascii="Times New Roman" w:hAnsi="Times New Roman" w:eastAsia="黑体"/>
                                  <w:sz w:val="18"/>
                                  <w:szCs w:val="18"/>
                                  <w:lang w:val="en-US" w:eastAsia="zh-CN"/>
                                </w:rPr>
                                <w:t>1.66</w:t>
                              </w:r>
                            </w:p>
                          </w:txbxContent>
                        </v:textbox>
                      </v:shape>
                      <v:line id="直接连接符 99" o:spid="_x0000_s1026" o:spt="20" style="position:absolute;left:554990;top:466090;flip:x;height:997585;width:3175;" filled="f" stroked="t" coordsize="21600,21600" o:gfxdata="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BEM&#10;SNQAAAAFAQAADwAAAAAAAAABACAAAAAiAAAAZHJzL2Rvd25yZXYueG1sUEsBAhQAFAAAAAgAh07i&#10;QLp9NkjtAQAAswMAAA4AAAAAAAAAAQAgAAAAIwEAAGRycy9lMm9Eb2MueG1sUEsFBgAAAAAGAAYA&#10;WQEAAIIFAAAAAA==&#10;">
                        <v:fill on="f" focussize="0,0"/>
                        <v:stroke color="#000000 [3213]" joinstyle="round"/>
                        <v:imagedata o:title=""/>
                        <o:lock v:ext="edit" aspectratio="f"/>
                      </v:line>
                      <v:shape id="Text Box 23" o:spid="_x0000_s1026" o:spt="202" type="#_x0000_t202" style="position:absolute;left:0;top:650240;height:510540;width:656590;" filled="f" stroked="f" coordsize="21600,21600" o:gfxdata="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AL8RFvTAAAABQEAAA8AAAAA&#10;AAAAAQAgAAAAIgAAAGRycy9kb3ducmV2LnhtbFBLAQIUABQAAAAIAIdO4kDWVlWGpwEAAGIDAAAO&#10;AAAAAAAAAAEAIAAAACIBAABkcnMvZTJvRG9jLnhtbFBLBQYAAAAABgAGAFkBAAA7BQAAAAA=&#10;">
                        <v:fill on="f" focussize="0,0"/>
                        <v:stroke on="f"/>
                        <v:imagedata o:title=""/>
                        <o:lock v:ext="edit" aspectratio="f"/>
                        <v:textbox>
                          <w:txbxContent>
                            <w:p w14:paraId="28D13745">
                              <w:pPr>
                                <w:jc w:val="left"/>
                                <w:rPr>
                                  <w:rFonts w:ascii="Times New Roman" w:hAnsi="黑体" w:eastAsia="黑体"/>
                                  <w:sz w:val="18"/>
                                  <w:szCs w:val="18"/>
                                </w:rPr>
                              </w:pPr>
                              <w:r>
                                <w:rPr>
                                  <w:rFonts w:hint="eastAsia" w:ascii="Times New Roman" w:hAnsi="黑体" w:eastAsia="黑体"/>
                                  <w:sz w:val="18"/>
                                  <w:szCs w:val="18"/>
                                </w:rPr>
                                <w:t>市政</w:t>
                              </w:r>
                              <w:r>
                                <w:rPr>
                                  <w:rFonts w:ascii="Times New Roman" w:hAnsi="黑体" w:eastAsia="黑体"/>
                                  <w:sz w:val="18"/>
                                  <w:szCs w:val="18"/>
                                </w:rPr>
                                <w:t>供水</w:t>
                              </w:r>
                            </w:p>
                            <w:p w14:paraId="0F00A091">
                              <w:pPr>
                                <w:ind w:firstLine="180" w:firstLineChars="100"/>
                                <w:jc w:val="left"/>
                                <w:rPr>
                                  <w:rFonts w:hint="default" w:ascii="Times New Roman" w:hAnsi="Times New Roman" w:eastAsia="黑体"/>
                                  <w:sz w:val="18"/>
                                  <w:szCs w:val="18"/>
                                  <w:lang w:val="en-US" w:eastAsia="zh-CN"/>
                                </w:rPr>
                              </w:pPr>
                              <w:r>
                                <w:rPr>
                                  <w:rFonts w:hint="eastAsia" w:ascii="Times New Roman" w:hAnsi="Times New Roman" w:eastAsia="黑体"/>
                                  <w:sz w:val="18"/>
                                  <w:szCs w:val="18"/>
                                  <w:lang w:val="en-US" w:eastAsia="zh-CN"/>
                                </w:rPr>
                                <w:t>19.66</w:t>
                              </w:r>
                            </w:p>
                          </w:txbxContent>
                        </v:textbox>
                      </v:shape>
                      <v:line id="直接连接符 514" o:spid="_x0000_s1026" o:spt="20" style="position:absolute;left:1684020;top:1608455;height:251460;width:0;" filled="f" stroked="t" coordsize="21600,21600" o:gfxdata="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3Svg7VAAAABQEA&#10;AA8AAAAAAAAAAQAgAAAAIgAAAGRycy9kb3ducmV2LnhtbFBLAQIUABQAAAAIAIdO4kBhzHms5AEA&#10;AKoDAAAOAAAAAAAAAAEAIAAAACQBAABkcnMvZTJvRG9jLnhtbFBLBQYAAAAABgAGAFkBAAB6BQAA&#10;AAA=&#10;">
                        <v:fill on="f" focussize="0,0"/>
                        <v:stroke weight="1pt" color="#000000 [3213]" joinstyle="round"/>
                        <v:imagedata o:title=""/>
                        <o:lock v:ext="edit" aspectratio="f"/>
                      </v:line>
                      <v:line id="直接连接符 515" o:spid="_x0000_s1026" o:spt="20" style="position:absolute;left:996910;top:1609153;height:251154;width:0;" filled="f" stroked="t" coordsize="21600,21600" o:gfxdata="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hUicNcAAAAFAQAADwAAAAAAAAABACAAAAAiAAAA&#10;ZHJzL2Rvd25yZXYueG1sUEsBAhQAFAAAAAgAh07iQM/o1mUIAgAA7gMAAA4AAAAAAAAAAQAgAAAA&#10;JgEAAGRycy9lMm9Eb2MueG1sUEsFBgAAAAAGAAYAWQEAAKAFAAAAAA==&#10;">
                        <v:fill on="f" focussize="0,0"/>
                        <v:stroke weight="1pt" color="#000000 [3213]" joinstyle="round" startarrow="block" startarrowwidth="narrow"/>
                        <v:imagedata o:title=""/>
                        <o:lock v:ext="edit" aspectratio="f"/>
                      </v:line>
                      <v:shape id="直接箭头连接符 516" o:spid="_x0000_s1026" o:spt="32" type="#_x0000_t32" style="position:absolute;left:996910;top:1856521;height:1262;width:692789;" filled="f" stroked="t" coordsize="21600,21600" o:gfxdata="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Mi/VdUAAAAFAQAADwAAAAAAAAABACAA&#10;AAAiAAAAZHJzL2Rvd25yZXYueG1sUEsBAhQAFAAAAAgAh07iQHRHoAcQAgAA/QMAAA4AAAAAAAAA&#10;AQAgAAAAJAEAAGRycy9lMm9Eb2MueG1sUEsFBgAAAAAGAAYAWQEAAKYFAAAAAA==&#10;">
                        <v:fill on="f" focussize="0,0"/>
                        <v:stroke weight="1pt" color="#000000" joinstyle="round" endarrowwidth="narrow"/>
                        <v:imagedata o:title=""/>
                        <o:lock v:ext="edit" aspectratio="f"/>
                      </v:shape>
                      <v:shape id="Text Box 26" o:spid="_x0000_s1026" o:spt="202" type="#_x0000_t202" style="position:absolute;left:1110482;top:1643860;height:266299;width:368477;" filled="f" stroked="f" coordsize="21600,21600" o:gfxdata="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C/ERb0wAAAAUBAAAPAAAA&#10;AAAAAAEAIAAAACIAAABkcnMvZG93bnJldi54bWxQSwECFAAUAAAACACHTuJAq5lPOagBAABbAwAA&#10;DgAAAAAAAAABACAAAAAiAQAAZHJzL2Uyb0RvYy54bWxQSwUGAAAAAAYABgBZAQAAPAUAAAAA&#10;">
                        <v:fill on="f" focussize="0,0"/>
                        <v:stroke on="f"/>
                        <v:imagedata o:title=""/>
                        <o:lock v:ext="edit" aspectratio="f"/>
                        <v:textbox>
                          <w:txbxContent>
                            <w:p w14:paraId="464E3FCC">
                              <w:pPr>
                                <w:rPr>
                                  <w:rFonts w:hint="default" w:ascii="Times New Roman" w:hAnsi="Times New Roman" w:eastAsia="黑体"/>
                                  <w:sz w:val="18"/>
                                  <w:szCs w:val="18"/>
                                  <w:lang w:val="en-US" w:eastAsia="zh-CN"/>
                                </w:rPr>
                              </w:pPr>
                              <w:r>
                                <w:rPr>
                                  <w:rFonts w:hint="eastAsia" w:ascii="Times New Roman" w:hAnsi="Times New Roman" w:eastAsia="黑体"/>
                                  <w:sz w:val="18"/>
                                  <w:szCs w:val="18"/>
                                  <w:lang w:val="en-US" w:eastAsia="zh-CN"/>
                                </w:rPr>
                                <w:t>500</w:t>
                              </w:r>
                            </w:p>
                          </w:txbxContent>
                        </v:textbox>
                      </v:shape>
                      <v:shape id="Text Box 26" o:spid="_x0000_s1026" o:spt="202" type="#_x0000_t202" style="position:absolute;left:1451197;top:0;height:266299;width:450503;" filled="f" stroked="f" coordsize="21600,21600" o:gfxdata="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AvxEW9MAAAAFAQAADwAAAAAAAAAB&#10;ACAAAAAiAAAAZHJzL2Rvd25yZXYueG1sUEsBAhQAFAAAAAgAh07iQHCVqDejAQAAVQMAAA4AAAAA&#10;AAAAAQAgAAAAIgEAAGRycy9lMm9Eb2MueG1sUEsFBgAAAAAGAAYAWQEAADcFAAAAAA==&#10;">
                        <v:fill on="f" focussize="0,0"/>
                        <v:stroke on="f"/>
                        <v:imagedata o:title=""/>
                        <o:lock v:ext="edit" aspectratio="f"/>
                        <v:textbox>
                          <w:txbxContent>
                            <w:p w14:paraId="1E41C95C">
                              <w:pPr>
                                <w:rPr>
                                  <w:rFonts w:hint="default" w:ascii="Times New Roman" w:hAnsi="Times New Roman" w:eastAsia="黑体"/>
                                  <w:sz w:val="18"/>
                                  <w:szCs w:val="18"/>
                                  <w:lang w:val="en-US" w:eastAsia="zh-CN"/>
                                </w:rPr>
                              </w:pPr>
                              <w:r>
                                <w:rPr>
                                  <w:rFonts w:hint="eastAsia" w:ascii="Times New Roman" w:hAnsi="Times New Roman" w:eastAsia="黑体"/>
                                  <w:sz w:val="18"/>
                                  <w:szCs w:val="18"/>
                                  <w:lang w:val="en-US" w:eastAsia="zh-CN"/>
                                </w:rPr>
                                <w:t>3.6</w:t>
                              </w:r>
                            </w:p>
                          </w:txbxContent>
                        </v:textbox>
                      </v:shape>
                      <v:shape id="Text Box 22" o:spid="_x0000_s1026" o:spt="202" type="#_x0000_t202" style="position:absolute;left:4479783;top:302899;height:284600;width:542622;" filled="f" stroked="f" coordsize="21600,21600" o:gfxdata="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AvxEW9MAAAAF&#10;AQAADwAAAAAAAAABACAAAAAiAAAAZHJzL2Rvd25yZXYueG1sUEsBAhQAFAAAAAgAh07iQJJIXPiv&#10;AQAAaAMAAA4AAAAAAAAAAQAgAAAAIgEAAGRycy9lMm9Eb2MueG1sUEsFBgAAAAAGAAYAWQEAAEMF&#10;AAAAAA==&#10;">
                        <v:fill on="f" focussize="0,0"/>
                        <v:stroke on="f"/>
                        <v:imagedata o:title=""/>
                        <o:lock v:ext="edit" aspectratio="f"/>
                        <v:textbox>
                          <w:txbxContent>
                            <w:p w14:paraId="21C66E58">
                              <w:pPr>
                                <w:jc w:val="center"/>
                                <w:rPr>
                                  <w:rFonts w:ascii="Times New Roman" w:hAnsi="Times New Roman" w:eastAsia="黑体"/>
                                  <w:sz w:val="18"/>
                                  <w:szCs w:val="18"/>
                                </w:rPr>
                              </w:pPr>
                              <w:r>
                                <w:rPr>
                                  <w:rFonts w:hint="eastAsia" w:ascii="Times New Roman" w:hAnsi="黑体" w:eastAsia="黑体"/>
                                  <w:sz w:val="18"/>
                                  <w:szCs w:val="18"/>
                                </w:rPr>
                                <w:t>架河</w:t>
                              </w:r>
                            </w:p>
                          </w:txbxContent>
                        </v:textbox>
                      </v:shape>
                      <w10:wrap type="none"/>
                      <w10:anchorlock/>
                    </v:group>
                  </w:pict>
                </mc:Fallback>
              </mc:AlternateContent>
            </w:r>
          </w:p>
          <w:p w14:paraId="16E9A59D">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黑体" w:cs="Times New Roman"/>
                <w:color w:val="auto"/>
                <w:kern w:val="2"/>
              </w:rPr>
            </w:pPr>
            <w:r>
              <w:rPr>
                <w:rFonts w:hint="default" w:ascii="Times New Roman" w:hAnsi="黑体" w:eastAsia="黑体" w:cs="Times New Roman"/>
                <w:color w:val="auto"/>
                <w:kern w:val="2"/>
              </w:rPr>
              <w:t>图</w:t>
            </w:r>
            <w:r>
              <w:rPr>
                <w:rFonts w:hint="default" w:ascii="Times New Roman" w:hAnsi="Times New Roman" w:eastAsia="黑体" w:cs="Times New Roman"/>
                <w:color w:val="auto"/>
                <w:kern w:val="2"/>
              </w:rPr>
              <w:t>2-</w:t>
            </w:r>
            <w:r>
              <w:rPr>
                <w:rFonts w:hint="eastAsia" w:ascii="Times New Roman" w:hAnsi="Times New Roman" w:eastAsia="黑体" w:cs="Times New Roman"/>
                <w:color w:val="auto"/>
                <w:kern w:val="2"/>
                <w:lang w:val="en-US" w:eastAsia="zh-CN"/>
              </w:rPr>
              <w:t>6</w:t>
            </w:r>
            <w:r>
              <w:rPr>
                <w:rFonts w:hint="eastAsia" w:ascii="Times New Roman" w:hAnsi="Times New Roman" w:eastAsia="黑体" w:cs="Times New Roman"/>
                <w:color w:val="auto"/>
                <w:kern w:val="2"/>
              </w:rPr>
              <w:t xml:space="preserve">  </w:t>
            </w:r>
            <w:r>
              <w:rPr>
                <w:rFonts w:hint="default" w:ascii="Times New Roman" w:hAnsi="黑体" w:eastAsia="黑体" w:cs="Times New Roman"/>
                <w:color w:val="auto"/>
                <w:kern w:val="2"/>
              </w:rPr>
              <w:t>现有工程水平衡图单位</w:t>
            </w:r>
            <w:r>
              <w:rPr>
                <w:rFonts w:hint="default" w:ascii="Times New Roman" w:hAnsi="Times New Roman" w:eastAsia="黑体" w:cs="Times New Roman"/>
                <w:color w:val="auto"/>
                <w:kern w:val="2"/>
              </w:rPr>
              <w:t>m</w:t>
            </w:r>
            <w:r>
              <w:rPr>
                <w:rFonts w:hint="default" w:ascii="Times New Roman" w:hAnsi="Times New Roman" w:eastAsia="黑体" w:cs="Times New Roman"/>
                <w:color w:val="auto"/>
                <w:kern w:val="2"/>
                <w:vertAlign w:val="superscript"/>
              </w:rPr>
              <w:t>3</w:t>
            </w:r>
            <w:r>
              <w:rPr>
                <w:rFonts w:hint="default" w:ascii="Times New Roman" w:hAnsi="Times New Roman" w:eastAsia="黑体" w:cs="Times New Roman"/>
                <w:color w:val="auto"/>
                <w:kern w:val="2"/>
              </w:rPr>
              <w:t>/d</w:t>
            </w:r>
          </w:p>
          <w:p w14:paraId="773CA333">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eastAsia" w:ascii="Times New Roman" w:hAnsi="Times New Roman" w:cs="Times New Roman"/>
                <w:color w:val="auto"/>
                <w:kern w:val="2"/>
              </w:rPr>
              <w:t>（2）废气</w:t>
            </w:r>
          </w:p>
          <w:p w14:paraId="29E9A973">
            <w:pPr>
              <w:keepNext w:val="0"/>
              <w:keepLines w:val="0"/>
              <w:widowControl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eastAsia" w:ascii="Times New Roman" w:hAnsi="Times New Roman" w:cs="Times New Roman"/>
                <w:color w:val="auto"/>
                <w:kern w:val="2"/>
              </w:rPr>
              <w:t>项目现有工程产生的废气主要为涂胶烘干废气、打标废气、加油抽油废气、碳氢清洗机废气。</w:t>
            </w:r>
          </w:p>
          <w:p w14:paraId="073645D0">
            <w:pPr>
              <w:keepNext w:val="0"/>
              <w:keepLines w:val="0"/>
              <w:widowControl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eastAsia" w:ascii="Times New Roman" w:hAnsi="Times New Roman"/>
                <w:color w:val="auto"/>
                <w:kern w:val="2"/>
              </w:rPr>
              <w:t>淮南市宜青环境检测有限公司</w:t>
            </w:r>
            <w:r>
              <w:rPr>
                <w:rFonts w:hint="eastAsia" w:ascii="Times New Roman" w:hAnsi="Times New Roman" w:cs="Times New Roman"/>
                <w:color w:val="auto"/>
                <w:kern w:val="2"/>
              </w:rPr>
              <w:t>2024年4月对</w:t>
            </w:r>
            <w:r>
              <w:rPr>
                <w:rFonts w:hint="eastAsia" w:ascii="Times New Roman" w:cs="Times New Roman"/>
                <w:color w:val="auto"/>
                <w:kern w:val="2"/>
              </w:rPr>
              <w:t>安徽坤泰车辆动力科技有限公司</w:t>
            </w:r>
            <w:r>
              <w:rPr>
                <w:rFonts w:hint="eastAsia" w:ascii="Times New Roman" w:hAnsi="Times New Roman" w:cs="Times New Roman"/>
                <w:color w:val="auto"/>
                <w:kern w:val="2"/>
              </w:rPr>
              <w:t>开展的废气DA001排气筒非甲烷总烃和无组织废气自行监测，监测结果见下表。</w:t>
            </w:r>
          </w:p>
          <w:p w14:paraId="7F001A4F">
            <w:pPr>
              <w:keepNext w:val="0"/>
              <w:keepLines w:val="0"/>
              <w:widowControl/>
              <w:suppressLineNumbers w:val="0"/>
              <w:autoSpaceDE w:val="0"/>
              <w:autoSpaceDN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eastAsia="黑体" w:cs="Times New Roman"/>
                <w:bCs/>
                <w:color w:val="auto"/>
                <w:kern w:val="2"/>
              </w:rPr>
              <w:t>表2-</w:t>
            </w:r>
            <w:r>
              <w:rPr>
                <w:rFonts w:hint="eastAsia" w:ascii="Times New Roman" w:hAnsi="Times New Roman" w:eastAsia="黑体" w:cs="Times New Roman"/>
                <w:bCs/>
                <w:color w:val="auto"/>
                <w:kern w:val="2"/>
              </w:rPr>
              <w:t>1</w:t>
            </w:r>
            <w:r>
              <w:rPr>
                <w:rFonts w:hint="eastAsia" w:ascii="Times New Roman" w:hAnsi="Times New Roman" w:eastAsia="黑体" w:cs="Times New Roman"/>
                <w:bCs/>
                <w:color w:val="auto"/>
                <w:kern w:val="2"/>
                <w:lang w:val="en-US" w:eastAsia="zh-CN"/>
              </w:rPr>
              <w:t>4</w:t>
            </w:r>
            <w:r>
              <w:rPr>
                <w:rFonts w:hint="eastAsia" w:ascii="Times New Roman" w:hAnsi="Times New Roman" w:eastAsia="黑体" w:cs="Times New Roman"/>
                <w:bCs/>
                <w:color w:val="auto"/>
                <w:kern w:val="2"/>
              </w:rPr>
              <w:t xml:space="preserve">  </w:t>
            </w:r>
            <w:r>
              <w:rPr>
                <w:rFonts w:hint="eastAsia" w:ascii="Times New Roman" w:hAnsi="黑体" w:eastAsia="黑体" w:cs="Times New Roman"/>
                <w:bCs/>
                <w:color w:val="auto"/>
                <w:kern w:val="2"/>
              </w:rPr>
              <w:t>有组织废气检测结果统计表（DA001）</w:t>
            </w:r>
          </w:p>
          <w:tbl>
            <w:tblPr>
              <w:tblStyle w:val="23"/>
              <w:tblW w:w="0" w:type="auto"/>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395"/>
              <w:gridCol w:w="1395"/>
              <w:gridCol w:w="1395"/>
              <w:gridCol w:w="1396"/>
              <w:gridCol w:w="1396"/>
              <w:gridCol w:w="1396"/>
            </w:tblGrid>
            <w:tr w14:paraId="078623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395" w:type="dxa"/>
                  <w:vMerge w:val="restart"/>
                  <w:vAlign w:val="center"/>
                </w:tcPr>
                <w:p w14:paraId="2FFB9820">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cs="Times New Roman"/>
                      <w:b/>
                      <w:color w:val="auto"/>
                      <w:kern w:val="2"/>
                      <w:sz w:val="21"/>
                      <w:szCs w:val="21"/>
                    </w:rPr>
                    <w:t>监测点位</w:t>
                  </w:r>
                </w:p>
              </w:tc>
              <w:tc>
                <w:tcPr>
                  <w:tcW w:w="1395" w:type="dxa"/>
                  <w:vMerge w:val="restart"/>
                  <w:vAlign w:val="center"/>
                </w:tcPr>
                <w:p w14:paraId="3E38665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cs="Times New Roman"/>
                      <w:b/>
                      <w:color w:val="auto"/>
                      <w:kern w:val="2"/>
                      <w:sz w:val="21"/>
                      <w:szCs w:val="21"/>
                    </w:rPr>
                    <w:t>监测因子</w:t>
                  </w:r>
                </w:p>
              </w:tc>
              <w:tc>
                <w:tcPr>
                  <w:tcW w:w="1395" w:type="dxa"/>
                  <w:vMerge w:val="restart"/>
                  <w:vAlign w:val="center"/>
                </w:tcPr>
                <w:p w14:paraId="6A7963B8">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cs="Times New Roman"/>
                      <w:b/>
                      <w:color w:val="auto"/>
                      <w:kern w:val="2"/>
                      <w:sz w:val="21"/>
                      <w:szCs w:val="21"/>
                    </w:rPr>
                    <w:t>监测频次</w:t>
                  </w:r>
                </w:p>
              </w:tc>
              <w:tc>
                <w:tcPr>
                  <w:tcW w:w="4188" w:type="dxa"/>
                  <w:gridSpan w:val="3"/>
                  <w:vAlign w:val="center"/>
                </w:tcPr>
                <w:p w14:paraId="3434AA3A">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cs="Times New Roman"/>
                      <w:b/>
                      <w:color w:val="auto"/>
                      <w:kern w:val="2"/>
                      <w:sz w:val="21"/>
                      <w:szCs w:val="21"/>
                    </w:rPr>
                    <w:t>检测结果</w:t>
                  </w:r>
                </w:p>
              </w:tc>
            </w:tr>
            <w:tr w14:paraId="474B3B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395" w:type="dxa"/>
                  <w:vMerge w:val="continue"/>
                  <w:vAlign w:val="center"/>
                </w:tcPr>
                <w:p w14:paraId="310C02C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p>
              </w:tc>
              <w:tc>
                <w:tcPr>
                  <w:tcW w:w="1395" w:type="dxa"/>
                  <w:vMerge w:val="continue"/>
                  <w:vAlign w:val="center"/>
                </w:tcPr>
                <w:p w14:paraId="233952C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p>
              </w:tc>
              <w:tc>
                <w:tcPr>
                  <w:tcW w:w="1395" w:type="dxa"/>
                  <w:vMerge w:val="continue"/>
                  <w:vAlign w:val="center"/>
                </w:tcPr>
                <w:p w14:paraId="4A7C066E">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p>
              </w:tc>
              <w:tc>
                <w:tcPr>
                  <w:tcW w:w="4188" w:type="dxa"/>
                  <w:gridSpan w:val="3"/>
                  <w:vAlign w:val="center"/>
                </w:tcPr>
                <w:p w14:paraId="7E623B5C">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202</w:t>
                  </w:r>
                  <w:r>
                    <w:rPr>
                      <w:rFonts w:hint="eastAsia" w:ascii="Times New Roman" w:hAnsi="Times New Roman" w:cs="Times New Roman"/>
                      <w:b/>
                      <w:color w:val="auto"/>
                      <w:kern w:val="2"/>
                      <w:sz w:val="21"/>
                      <w:szCs w:val="21"/>
                    </w:rPr>
                    <w:t>4</w:t>
                  </w:r>
                  <w:r>
                    <w:rPr>
                      <w:rFonts w:hint="default" w:ascii="Times New Roman" w:hAnsi="Times New Roman" w:cs="Times New Roman"/>
                      <w:b/>
                      <w:color w:val="auto"/>
                      <w:kern w:val="2"/>
                      <w:sz w:val="21"/>
                      <w:szCs w:val="21"/>
                    </w:rPr>
                    <w:t>.</w:t>
                  </w:r>
                  <w:r>
                    <w:rPr>
                      <w:rFonts w:hint="eastAsia" w:ascii="Times New Roman" w:hAnsi="Times New Roman" w:cs="Times New Roman"/>
                      <w:b/>
                      <w:color w:val="auto"/>
                      <w:kern w:val="2"/>
                      <w:sz w:val="21"/>
                      <w:szCs w:val="21"/>
                    </w:rPr>
                    <w:t>04</w:t>
                  </w:r>
                  <w:r>
                    <w:rPr>
                      <w:rFonts w:hint="default" w:ascii="Times New Roman" w:hAnsi="Times New Roman" w:cs="Times New Roman"/>
                      <w:b/>
                      <w:color w:val="auto"/>
                      <w:kern w:val="2"/>
                      <w:sz w:val="21"/>
                      <w:szCs w:val="21"/>
                    </w:rPr>
                    <w:t>.</w:t>
                  </w:r>
                  <w:r>
                    <w:rPr>
                      <w:rFonts w:hint="eastAsia" w:ascii="Times New Roman" w:hAnsi="Times New Roman" w:cs="Times New Roman"/>
                      <w:b/>
                      <w:color w:val="auto"/>
                      <w:kern w:val="2"/>
                      <w:sz w:val="21"/>
                      <w:szCs w:val="21"/>
                    </w:rPr>
                    <w:t>23</w:t>
                  </w:r>
                </w:p>
              </w:tc>
            </w:tr>
            <w:tr w14:paraId="440E44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395" w:type="dxa"/>
                  <w:vMerge w:val="continue"/>
                  <w:vAlign w:val="center"/>
                </w:tcPr>
                <w:p w14:paraId="6F84611A">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p>
              </w:tc>
              <w:tc>
                <w:tcPr>
                  <w:tcW w:w="1395" w:type="dxa"/>
                  <w:vMerge w:val="continue"/>
                  <w:vAlign w:val="center"/>
                </w:tcPr>
                <w:p w14:paraId="2BABF9B6">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p>
              </w:tc>
              <w:tc>
                <w:tcPr>
                  <w:tcW w:w="1395" w:type="dxa"/>
                  <w:vMerge w:val="continue"/>
                  <w:vAlign w:val="center"/>
                </w:tcPr>
                <w:p w14:paraId="76FC23F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p>
              </w:tc>
              <w:tc>
                <w:tcPr>
                  <w:tcW w:w="1396" w:type="dxa"/>
                  <w:vAlign w:val="center"/>
                </w:tcPr>
                <w:p w14:paraId="7BE84ED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cs="Times New Roman"/>
                      <w:b/>
                      <w:color w:val="auto"/>
                      <w:kern w:val="2"/>
                      <w:sz w:val="21"/>
                      <w:szCs w:val="21"/>
                    </w:rPr>
                    <w:t>标杆流量（</w:t>
                  </w:r>
                  <w:r>
                    <w:rPr>
                      <w:rFonts w:hint="default" w:ascii="Times New Roman" w:hAnsi="Times New Roman" w:cs="Times New Roman"/>
                      <w:b/>
                      <w:color w:val="auto"/>
                      <w:kern w:val="2"/>
                      <w:sz w:val="21"/>
                      <w:szCs w:val="21"/>
                    </w:rPr>
                    <w:t>m</w:t>
                  </w:r>
                  <w:r>
                    <w:rPr>
                      <w:rFonts w:hint="default" w:ascii="Times New Roman" w:hAnsi="Times New Roman" w:cs="Times New Roman"/>
                      <w:b/>
                      <w:color w:val="auto"/>
                      <w:kern w:val="2"/>
                      <w:sz w:val="21"/>
                      <w:szCs w:val="21"/>
                      <w:vertAlign w:val="superscript"/>
                    </w:rPr>
                    <w:t>3</w:t>
                  </w:r>
                  <w:r>
                    <w:rPr>
                      <w:rFonts w:hint="default" w:ascii="Times New Roman" w:hAnsi="Times New Roman" w:cs="Times New Roman"/>
                      <w:b/>
                      <w:color w:val="auto"/>
                      <w:kern w:val="2"/>
                      <w:sz w:val="21"/>
                      <w:szCs w:val="21"/>
                    </w:rPr>
                    <w:t>/h</w:t>
                  </w:r>
                  <w:r>
                    <w:rPr>
                      <w:rFonts w:hint="default" w:ascii="Times New Roman" w:cs="Times New Roman"/>
                      <w:b/>
                      <w:color w:val="auto"/>
                      <w:kern w:val="2"/>
                      <w:sz w:val="21"/>
                      <w:szCs w:val="21"/>
                    </w:rPr>
                    <w:t>）</w:t>
                  </w:r>
                </w:p>
              </w:tc>
              <w:tc>
                <w:tcPr>
                  <w:tcW w:w="1396" w:type="dxa"/>
                  <w:vAlign w:val="center"/>
                </w:tcPr>
                <w:p w14:paraId="4BB0737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cs="Times New Roman"/>
                      <w:b/>
                      <w:color w:val="auto"/>
                      <w:kern w:val="2"/>
                      <w:sz w:val="21"/>
                      <w:szCs w:val="21"/>
                    </w:rPr>
                    <w:t>排放浓度（</w:t>
                  </w:r>
                  <w:r>
                    <w:rPr>
                      <w:rFonts w:hint="default" w:ascii="Times New Roman" w:hAnsi="Times New Roman" w:cs="Times New Roman"/>
                      <w:b/>
                      <w:color w:val="auto"/>
                      <w:kern w:val="2"/>
                      <w:sz w:val="21"/>
                      <w:szCs w:val="21"/>
                    </w:rPr>
                    <w:t>mg/m</w:t>
                  </w:r>
                  <w:r>
                    <w:rPr>
                      <w:rFonts w:hint="default" w:ascii="Times New Roman" w:hAnsi="Times New Roman" w:cs="Times New Roman"/>
                      <w:b/>
                      <w:color w:val="auto"/>
                      <w:kern w:val="2"/>
                      <w:sz w:val="21"/>
                      <w:szCs w:val="21"/>
                      <w:vertAlign w:val="superscript"/>
                    </w:rPr>
                    <w:t>3</w:t>
                  </w:r>
                  <w:r>
                    <w:rPr>
                      <w:rFonts w:hint="default" w:ascii="Times New Roman" w:cs="Times New Roman"/>
                      <w:b/>
                      <w:color w:val="auto"/>
                      <w:kern w:val="2"/>
                      <w:sz w:val="21"/>
                      <w:szCs w:val="21"/>
                    </w:rPr>
                    <w:t>）</w:t>
                  </w:r>
                </w:p>
              </w:tc>
              <w:tc>
                <w:tcPr>
                  <w:tcW w:w="1396" w:type="dxa"/>
                  <w:vAlign w:val="center"/>
                </w:tcPr>
                <w:p w14:paraId="078DE00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cs="Times New Roman"/>
                      <w:b/>
                      <w:color w:val="auto"/>
                      <w:kern w:val="2"/>
                      <w:sz w:val="21"/>
                      <w:szCs w:val="21"/>
                    </w:rPr>
                    <w:t>排放速率（</w:t>
                  </w:r>
                  <w:r>
                    <w:rPr>
                      <w:rFonts w:hint="default" w:ascii="Times New Roman" w:hAnsi="Times New Roman" w:cs="Times New Roman"/>
                      <w:b/>
                      <w:color w:val="auto"/>
                      <w:kern w:val="2"/>
                      <w:sz w:val="21"/>
                      <w:szCs w:val="21"/>
                    </w:rPr>
                    <w:t>kg/h</w:t>
                  </w:r>
                  <w:r>
                    <w:rPr>
                      <w:rFonts w:hint="default" w:ascii="Times New Roman" w:cs="Times New Roman"/>
                      <w:b/>
                      <w:color w:val="auto"/>
                      <w:kern w:val="2"/>
                      <w:sz w:val="21"/>
                      <w:szCs w:val="21"/>
                    </w:rPr>
                    <w:t>）</w:t>
                  </w:r>
                </w:p>
              </w:tc>
            </w:tr>
            <w:tr w14:paraId="0B8733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395" w:type="dxa"/>
                  <w:vMerge w:val="restart"/>
                  <w:vAlign w:val="center"/>
                </w:tcPr>
                <w:p w14:paraId="63C9604E">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DA001</w:t>
                  </w:r>
                  <w:r>
                    <w:rPr>
                      <w:rFonts w:hint="eastAsia" w:ascii="Times New Roman" w:cs="Times New Roman"/>
                      <w:color w:val="auto"/>
                      <w:kern w:val="2"/>
                      <w:sz w:val="21"/>
                      <w:szCs w:val="21"/>
                    </w:rPr>
                    <w:t>清洗</w:t>
                  </w:r>
                  <w:r>
                    <w:rPr>
                      <w:rFonts w:hint="default" w:ascii="Times New Roman" w:cs="Times New Roman"/>
                      <w:color w:val="auto"/>
                      <w:kern w:val="2"/>
                      <w:sz w:val="21"/>
                      <w:szCs w:val="21"/>
                    </w:rPr>
                    <w:t>废气排放口</w:t>
                  </w:r>
                </w:p>
              </w:tc>
              <w:tc>
                <w:tcPr>
                  <w:tcW w:w="1395" w:type="dxa"/>
                  <w:vMerge w:val="restart"/>
                  <w:vAlign w:val="center"/>
                </w:tcPr>
                <w:p w14:paraId="2A47094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rPr>
                    <w:t>非甲烷总烃</w:t>
                  </w:r>
                </w:p>
              </w:tc>
              <w:tc>
                <w:tcPr>
                  <w:tcW w:w="1395" w:type="dxa"/>
                  <w:vAlign w:val="center"/>
                </w:tcPr>
                <w:p w14:paraId="290162CB">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cs="Times New Roman"/>
                      <w:color w:val="auto"/>
                      <w:kern w:val="2"/>
                      <w:sz w:val="21"/>
                      <w:szCs w:val="21"/>
                    </w:rPr>
                    <w:t>第一次</w:t>
                  </w:r>
                </w:p>
              </w:tc>
              <w:tc>
                <w:tcPr>
                  <w:tcW w:w="1396" w:type="dxa"/>
                  <w:vAlign w:val="center"/>
                </w:tcPr>
                <w:p w14:paraId="66F8EC4E">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2395</w:t>
                  </w:r>
                </w:p>
              </w:tc>
              <w:tc>
                <w:tcPr>
                  <w:tcW w:w="1396" w:type="dxa"/>
                  <w:vAlign w:val="center"/>
                </w:tcPr>
                <w:p w14:paraId="076B33D0">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7.63</w:t>
                  </w:r>
                </w:p>
              </w:tc>
              <w:tc>
                <w:tcPr>
                  <w:tcW w:w="1396" w:type="dxa"/>
                  <w:vAlign w:val="center"/>
                </w:tcPr>
                <w:p w14:paraId="75D027C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vertAlign w:val="superscript"/>
                    </w:rPr>
                  </w:pPr>
                  <w:r>
                    <w:rPr>
                      <w:rFonts w:hint="eastAsia" w:ascii="Times New Roman" w:hAnsi="Times New Roman" w:cs="Times New Roman"/>
                      <w:color w:val="auto"/>
                      <w:kern w:val="2"/>
                      <w:sz w:val="21"/>
                      <w:szCs w:val="21"/>
                    </w:rPr>
                    <w:t>1.83×10</w:t>
                  </w:r>
                  <w:r>
                    <w:rPr>
                      <w:rFonts w:hint="eastAsia" w:ascii="Times New Roman" w:hAnsi="Times New Roman" w:cs="Times New Roman"/>
                      <w:color w:val="auto"/>
                      <w:kern w:val="2"/>
                      <w:sz w:val="21"/>
                      <w:szCs w:val="21"/>
                      <w:vertAlign w:val="superscript"/>
                    </w:rPr>
                    <w:t>-2</w:t>
                  </w:r>
                </w:p>
              </w:tc>
            </w:tr>
            <w:tr w14:paraId="45B58D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395" w:type="dxa"/>
                  <w:vMerge w:val="continue"/>
                  <w:vAlign w:val="center"/>
                </w:tcPr>
                <w:p w14:paraId="057665A0">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1395" w:type="dxa"/>
                  <w:vMerge w:val="continue"/>
                  <w:vAlign w:val="center"/>
                </w:tcPr>
                <w:p w14:paraId="0571D14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1395" w:type="dxa"/>
                  <w:vAlign w:val="center"/>
                </w:tcPr>
                <w:p w14:paraId="434D9166">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cs="Times New Roman"/>
                      <w:color w:val="auto"/>
                      <w:kern w:val="2"/>
                      <w:sz w:val="21"/>
                      <w:szCs w:val="21"/>
                    </w:rPr>
                    <w:t>第二次</w:t>
                  </w:r>
                </w:p>
              </w:tc>
              <w:tc>
                <w:tcPr>
                  <w:tcW w:w="1396" w:type="dxa"/>
                  <w:vAlign w:val="center"/>
                </w:tcPr>
                <w:p w14:paraId="5D359606">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2420</w:t>
                  </w:r>
                </w:p>
              </w:tc>
              <w:tc>
                <w:tcPr>
                  <w:tcW w:w="1396" w:type="dxa"/>
                  <w:vAlign w:val="center"/>
                </w:tcPr>
                <w:p w14:paraId="2190E03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7.67</w:t>
                  </w:r>
                </w:p>
              </w:tc>
              <w:tc>
                <w:tcPr>
                  <w:tcW w:w="1396" w:type="dxa"/>
                  <w:vAlign w:val="center"/>
                </w:tcPr>
                <w:p w14:paraId="6F81A156">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1.86×10</w:t>
                  </w:r>
                  <w:r>
                    <w:rPr>
                      <w:rFonts w:hint="eastAsia" w:ascii="Times New Roman" w:hAnsi="Times New Roman" w:cs="Times New Roman"/>
                      <w:color w:val="auto"/>
                      <w:kern w:val="2"/>
                      <w:sz w:val="21"/>
                      <w:szCs w:val="21"/>
                      <w:vertAlign w:val="superscript"/>
                    </w:rPr>
                    <w:t>-2</w:t>
                  </w:r>
                </w:p>
              </w:tc>
            </w:tr>
            <w:tr w14:paraId="48C66D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395" w:type="dxa"/>
                  <w:vMerge w:val="continue"/>
                  <w:vAlign w:val="center"/>
                </w:tcPr>
                <w:p w14:paraId="7CF8F4BB">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1395" w:type="dxa"/>
                  <w:vMerge w:val="continue"/>
                  <w:vAlign w:val="center"/>
                </w:tcPr>
                <w:p w14:paraId="5A4BE3D6">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1395" w:type="dxa"/>
                  <w:vAlign w:val="center"/>
                </w:tcPr>
                <w:p w14:paraId="000AF85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cs="Times New Roman"/>
                      <w:color w:val="auto"/>
                      <w:kern w:val="2"/>
                      <w:sz w:val="21"/>
                      <w:szCs w:val="21"/>
                    </w:rPr>
                    <w:t>第三次</w:t>
                  </w:r>
                </w:p>
              </w:tc>
              <w:tc>
                <w:tcPr>
                  <w:tcW w:w="1396" w:type="dxa"/>
                  <w:vAlign w:val="center"/>
                </w:tcPr>
                <w:p w14:paraId="27F656FC">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2220</w:t>
                  </w:r>
                </w:p>
              </w:tc>
              <w:tc>
                <w:tcPr>
                  <w:tcW w:w="1396" w:type="dxa"/>
                  <w:vAlign w:val="center"/>
                </w:tcPr>
                <w:p w14:paraId="3310FE6B">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7.55</w:t>
                  </w:r>
                </w:p>
              </w:tc>
              <w:tc>
                <w:tcPr>
                  <w:tcW w:w="1396" w:type="dxa"/>
                  <w:vAlign w:val="center"/>
                </w:tcPr>
                <w:p w14:paraId="7DB645FD">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1.83×10</w:t>
                  </w:r>
                  <w:r>
                    <w:rPr>
                      <w:rFonts w:hint="eastAsia" w:ascii="Times New Roman" w:hAnsi="Times New Roman" w:cs="Times New Roman"/>
                      <w:color w:val="auto"/>
                      <w:kern w:val="2"/>
                      <w:sz w:val="21"/>
                      <w:szCs w:val="21"/>
                      <w:vertAlign w:val="superscript"/>
                    </w:rPr>
                    <w:t>-2</w:t>
                  </w:r>
                </w:p>
              </w:tc>
            </w:tr>
            <w:tr w14:paraId="5310C8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4185" w:type="dxa"/>
                  <w:gridSpan w:val="3"/>
                  <w:shd w:val="clear" w:color="auto" w:fill="auto"/>
                  <w:vAlign w:val="center"/>
                </w:tcPr>
                <w:p w14:paraId="17305AAF">
                  <w:pPr>
                    <w:keepNext w:val="0"/>
                    <w:keepLines w:val="0"/>
                    <w:widowControl w:val="0"/>
                    <w:suppressLineNumbers w:val="0"/>
                    <w:spacing w:before="0" w:beforeAutospacing="0" w:after="0" w:afterAutospacing="0" w:line="276" w:lineRule="auto"/>
                    <w:ind w:left="0" w:right="0"/>
                    <w:jc w:val="center"/>
                    <w:rPr>
                      <w:rFonts w:hint="default" w:ascii="Times New Roman" w:cs="Times New Roman"/>
                      <w:color w:val="auto"/>
                      <w:kern w:val="2"/>
                      <w:sz w:val="21"/>
                      <w:szCs w:val="21"/>
                      <w:highlight w:val="none"/>
                    </w:rPr>
                  </w:pPr>
                  <w:r>
                    <w:rPr>
                      <w:rFonts w:hint="default" w:ascii="Times New Roman" w:cs="Times New Roman"/>
                      <w:color w:val="auto"/>
                      <w:kern w:val="2"/>
                      <w:sz w:val="21"/>
                      <w:szCs w:val="21"/>
                      <w:highlight w:val="none"/>
                    </w:rPr>
                    <w:t>标准值</w:t>
                  </w:r>
                </w:p>
              </w:tc>
              <w:tc>
                <w:tcPr>
                  <w:tcW w:w="1396" w:type="dxa"/>
                  <w:shd w:val="clear" w:color="auto" w:fill="auto"/>
                  <w:vAlign w:val="center"/>
                </w:tcPr>
                <w:p w14:paraId="552C314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1396" w:type="dxa"/>
                  <w:shd w:val="clear" w:color="auto" w:fill="auto"/>
                  <w:vAlign w:val="center"/>
                </w:tcPr>
                <w:p w14:paraId="70B6A69E">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60</w:t>
                  </w:r>
                </w:p>
              </w:tc>
              <w:tc>
                <w:tcPr>
                  <w:tcW w:w="1396" w:type="dxa"/>
                  <w:shd w:val="clear" w:color="auto" w:fill="auto"/>
                  <w:vAlign w:val="center"/>
                </w:tcPr>
                <w:p w14:paraId="4E5C29F0">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2.0</w:t>
                  </w:r>
                </w:p>
              </w:tc>
            </w:tr>
          </w:tbl>
          <w:p w14:paraId="099D040E">
            <w:pPr>
              <w:keepNext w:val="0"/>
              <w:keepLines w:val="0"/>
              <w:widowControl w:val="0"/>
              <w:suppressLineNumbers w:val="0"/>
              <w:spacing w:before="0" w:beforeAutospacing="0" w:after="0" w:afterAutospacing="0" w:line="360" w:lineRule="auto"/>
              <w:ind w:left="0" w:right="0" w:firstLine="480" w:firstLineChars="200"/>
              <w:jc w:val="both"/>
              <w:rPr>
                <w:rFonts w:hint="eastAsia" w:ascii="Times New Roman" w:hAnsi="Times New Roman" w:cs="Times New Roman"/>
                <w:color w:val="auto"/>
                <w:kern w:val="2"/>
                <w:highlight w:val="none"/>
              </w:rPr>
            </w:pPr>
            <w:r>
              <w:rPr>
                <w:rFonts w:hint="eastAsia" w:ascii="Times New Roman" w:hAnsi="Times New Roman" w:cs="Times New Roman"/>
                <w:color w:val="auto"/>
                <w:kern w:val="2"/>
              </w:rPr>
              <w:t>由上表可知，厂区DA001清洗废气排放口非甲烷总烃排放浓度满足</w:t>
            </w:r>
            <w:r>
              <w:rPr>
                <w:rFonts w:hint="eastAsia" w:ascii="Times New Roman" w:hAnsi="Times New Roman" w:cs="Times New Roman"/>
                <w:color w:val="auto"/>
                <w:kern w:val="2"/>
                <w:highlight w:val="none"/>
              </w:rPr>
              <w:t>《大气污染物综合排放标准》（GB16297-1996）表2二级标准限值要求</w:t>
            </w:r>
            <w:r>
              <w:rPr>
                <w:rFonts w:hint="eastAsia" w:ascii="Times New Roman" w:hAnsi="Times New Roman" w:cs="Times New Roman"/>
                <w:color w:val="auto"/>
                <w:kern w:val="2"/>
                <w:highlight w:val="none"/>
                <w:lang w:val="en-US" w:eastAsia="zh-CN"/>
              </w:rPr>
              <w:t>及</w:t>
            </w:r>
            <w:r>
              <w:rPr>
                <w:rFonts w:hint="default" w:ascii="Times New Roman" w:hAnsi="Times New Roman"/>
                <w:bCs/>
                <w:color w:val="auto"/>
                <w:kern w:val="2"/>
              </w:rPr>
              <w:t>安徽省地方标准《固定源挥发性有机物综合排放标准 第6部分：其他行业》（DB34/4812.6-2024）表1</w:t>
            </w:r>
            <w:r>
              <w:rPr>
                <w:rFonts w:hint="eastAsia" w:ascii="Times New Roman" w:hAnsi="Times New Roman"/>
                <w:bCs/>
                <w:color w:val="auto"/>
                <w:kern w:val="2"/>
              </w:rPr>
              <w:t>汽车零部件制造的工业限值要求</w:t>
            </w:r>
            <w:r>
              <w:rPr>
                <w:rFonts w:hint="eastAsia" w:ascii="Times New Roman" w:hAnsi="Times New Roman" w:cs="Times New Roman"/>
                <w:color w:val="auto"/>
                <w:kern w:val="2"/>
                <w:highlight w:val="none"/>
              </w:rPr>
              <w:t>。</w:t>
            </w:r>
          </w:p>
          <w:p w14:paraId="655D8373">
            <w:pPr>
              <w:pStyle w:val="12"/>
              <w:keepNext w:val="0"/>
              <w:keepLines w:val="0"/>
              <w:widowControl/>
              <w:suppressLineNumbers w:val="0"/>
              <w:spacing w:before="0" w:beforeAutospacing="0" w:after="0" w:afterAutospacing="0"/>
              <w:ind w:left="0" w:right="0"/>
              <w:rPr>
                <w:rFonts w:hint="eastAsia" w:ascii="Times New Roman" w:hAnsi="Times New Roman" w:cs="Times New Roman"/>
                <w:color w:val="auto"/>
                <w:kern w:val="2"/>
                <w:highlight w:val="none"/>
              </w:rPr>
            </w:pPr>
          </w:p>
          <w:p w14:paraId="28D0F8E6">
            <w:pPr>
              <w:keepNext w:val="0"/>
              <w:keepLines w:val="0"/>
              <w:widowControl/>
              <w:suppressLineNumbers w:val="0"/>
              <w:spacing w:before="0" w:beforeAutospacing="0" w:after="0" w:afterAutospacing="0"/>
              <w:ind w:left="0" w:right="0"/>
              <w:rPr>
                <w:rFonts w:hint="eastAsia" w:ascii="Times New Roman" w:hAnsi="Times New Roman" w:cs="Times New Roman"/>
                <w:color w:val="auto"/>
                <w:kern w:val="2"/>
                <w:highlight w:val="none"/>
              </w:rPr>
            </w:pPr>
          </w:p>
          <w:p w14:paraId="2D1944F2">
            <w:pPr>
              <w:pStyle w:val="12"/>
              <w:keepNext w:val="0"/>
              <w:keepLines w:val="0"/>
              <w:widowControl/>
              <w:suppressLineNumbers w:val="0"/>
              <w:spacing w:before="0" w:beforeAutospacing="0" w:after="0" w:afterAutospacing="0"/>
              <w:ind w:left="0" w:right="0"/>
              <w:rPr>
                <w:rFonts w:hint="default"/>
                <w:color w:val="auto"/>
                <w:kern w:val="2"/>
              </w:rPr>
            </w:pPr>
          </w:p>
          <w:p w14:paraId="525BB1B3">
            <w:pPr>
              <w:keepNext w:val="0"/>
              <w:keepLines w:val="0"/>
              <w:widowControl/>
              <w:suppressLineNumbers w:val="0"/>
              <w:autoSpaceDE w:val="0"/>
              <w:autoSpaceDN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eastAsia="黑体" w:cs="Times New Roman"/>
                <w:bCs/>
                <w:color w:val="auto"/>
                <w:kern w:val="2"/>
              </w:rPr>
              <w:t>表2-</w:t>
            </w:r>
            <w:r>
              <w:rPr>
                <w:rFonts w:hint="eastAsia" w:ascii="Times New Roman" w:hAnsi="Times New Roman" w:eastAsia="黑体" w:cs="Times New Roman"/>
                <w:bCs/>
                <w:color w:val="auto"/>
                <w:kern w:val="2"/>
              </w:rPr>
              <w:t>1</w:t>
            </w:r>
            <w:r>
              <w:rPr>
                <w:rFonts w:hint="eastAsia" w:ascii="Times New Roman" w:hAnsi="Times New Roman" w:eastAsia="黑体" w:cs="Times New Roman"/>
                <w:bCs/>
                <w:color w:val="auto"/>
                <w:kern w:val="2"/>
                <w:lang w:val="en-US" w:eastAsia="zh-CN"/>
              </w:rPr>
              <w:t>5</w:t>
            </w:r>
            <w:r>
              <w:rPr>
                <w:rFonts w:hint="eastAsia" w:ascii="Times New Roman" w:hAnsi="Times New Roman" w:eastAsia="黑体" w:cs="Times New Roman"/>
                <w:bCs/>
                <w:color w:val="auto"/>
                <w:kern w:val="2"/>
              </w:rPr>
              <w:t xml:space="preserve">  </w:t>
            </w:r>
            <w:r>
              <w:rPr>
                <w:rFonts w:hint="eastAsia" w:ascii="Times New Roman" w:hAnsi="黑体" w:eastAsia="黑体" w:cs="Times New Roman"/>
                <w:bCs/>
                <w:color w:val="auto"/>
                <w:kern w:val="2"/>
              </w:rPr>
              <w:t>无组织废气检测结果统计表</w:t>
            </w:r>
          </w:p>
          <w:tbl>
            <w:tblPr>
              <w:tblStyle w:val="23"/>
              <w:tblW w:w="8388"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265"/>
              <w:gridCol w:w="2295"/>
              <w:gridCol w:w="1272"/>
              <w:gridCol w:w="1233"/>
              <w:gridCol w:w="1104"/>
              <w:gridCol w:w="1219"/>
            </w:tblGrid>
            <w:tr w14:paraId="3C91A5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76" w:type="dxa"/>
                  <w:vMerge w:val="restart"/>
                  <w:vAlign w:val="center"/>
                </w:tcPr>
                <w:p w14:paraId="645BCA06">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cs="Times New Roman"/>
                      <w:b/>
                      <w:color w:val="auto"/>
                      <w:kern w:val="2"/>
                      <w:sz w:val="21"/>
                      <w:szCs w:val="21"/>
                    </w:rPr>
                    <w:t>监测点位</w:t>
                  </w:r>
                </w:p>
              </w:tc>
              <w:tc>
                <w:tcPr>
                  <w:tcW w:w="2310" w:type="dxa"/>
                  <w:vMerge w:val="restart"/>
                  <w:vAlign w:val="center"/>
                </w:tcPr>
                <w:p w14:paraId="721DD6E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cs="Times New Roman"/>
                      <w:b/>
                      <w:color w:val="auto"/>
                      <w:kern w:val="2"/>
                      <w:sz w:val="21"/>
                      <w:szCs w:val="21"/>
                    </w:rPr>
                    <w:t>监测因子</w:t>
                  </w:r>
                </w:p>
              </w:tc>
              <w:tc>
                <w:tcPr>
                  <w:tcW w:w="3630" w:type="dxa"/>
                  <w:gridSpan w:val="3"/>
                  <w:vAlign w:val="center"/>
                </w:tcPr>
                <w:p w14:paraId="015DC7D8">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cs="Times New Roman"/>
                      <w:b/>
                      <w:color w:val="auto"/>
                      <w:kern w:val="2"/>
                      <w:sz w:val="21"/>
                      <w:szCs w:val="21"/>
                    </w:rPr>
                    <w:t>检测结果</w:t>
                  </w:r>
                </w:p>
              </w:tc>
              <w:tc>
                <w:tcPr>
                  <w:tcW w:w="1172" w:type="dxa"/>
                  <w:vMerge w:val="restart"/>
                  <w:vAlign w:val="center"/>
                </w:tcPr>
                <w:p w14:paraId="306CF4D1">
                  <w:pPr>
                    <w:keepNext w:val="0"/>
                    <w:keepLines w:val="0"/>
                    <w:widowControl w:val="0"/>
                    <w:suppressLineNumbers w:val="0"/>
                    <w:spacing w:before="0" w:beforeAutospacing="0" w:after="0" w:afterAutospacing="0" w:line="276" w:lineRule="auto"/>
                    <w:ind w:left="0" w:right="0"/>
                    <w:jc w:val="center"/>
                    <w:rPr>
                      <w:rFonts w:hint="default" w:ascii="Times New Roman" w:cs="Times New Roman"/>
                      <w:b/>
                      <w:color w:val="auto"/>
                      <w:kern w:val="2"/>
                      <w:sz w:val="21"/>
                      <w:szCs w:val="21"/>
                    </w:rPr>
                  </w:pPr>
                  <w:r>
                    <w:rPr>
                      <w:rFonts w:hint="default" w:ascii="Times New Roman" w:cs="Times New Roman"/>
                      <w:b/>
                      <w:color w:val="auto"/>
                      <w:kern w:val="2"/>
                      <w:sz w:val="21"/>
                      <w:szCs w:val="21"/>
                    </w:rPr>
                    <w:t>标准值（</w:t>
                  </w:r>
                  <w:r>
                    <w:rPr>
                      <w:rFonts w:hint="eastAsia" w:ascii="Times New Roman" w:hAnsi="Times New Roman" w:cs="Times New Roman"/>
                      <w:b/>
                      <w:color w:val="auto"/>
                      <w:kern w:val="2"/>
                      <w:sz w:val="21"/>
                      <w:szCs w:val="21"/>
                    </w:rPr>
                    <w:t>m</w:t>
                  </w:r>
                  <w:r>
                    <w:rPr>
                      <w:rFonts w:hint="default" w:ascii="Times New Roman" w:hAnsi="Times New Roman" w:cs="Times New Roman"/>
                      <w:b/>
                      <w:color w:val="auto"/>
                      <w:kern w:val="2"/>
                      <w:sz w:val="21"/>
                      <w:szCs w:val="21"/>
                    </w:rPr>
                    <w:t>g/m</w:t>
                  </w:r>
                  <w:r>
                    <w:rPr>
                      <w:rFonts w:hint="default" w:ascii="Times New Roman" w:hAnsi="Times New Roman" w:cs="Times New Roman"/>
                      <w:b/>
                      <w:color w:val="auto"/>
                      <w:kern w:val="2"/>
                      <w:sz w:val="21"/>
                      <w:szCs w:val="21"/>
                      <w:vertAlign w:val="superscript"/>
                    </w:rPr>
                    <w:t>3</w:t>
                  </w:r>
                  <w:r>
                    <w:rPr>
                      <w:rFonts w:hint="default" w:ascii="Times New Roman" w:cs="Times New Roman"/>
                      <w:b/>
                      <w:color w:val="auto"/>
                      <w:kern w:val="2"/>
                      <w:sz w:val="21"/>
                      <w:szCs w:val="21"/>
                    </w:rPr>
                    <w:t>）</w:t>
                  </w:r>
                </w:p>
              </w:tc>
            </w:tr>
            <w:tr w14:paraId="34EFFB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76" w:type="dxa"/>
                  <w:vMerge w:val="continue"/>
                  <w:vAlign w:val="center"/>
                </w:tcPr>
                <w:p w14:paraId="41D4180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p>
              </w:tc>
              <w:tc>
                <w:tcPr>
                  <w:tcW w:w="2310" w:type="dxa"/>
                  <w:vMerge w:val="continue"/>
                  <w:vAlign w:val="center"/>
                </w:tcPr>
                <w:p w14:paraId="7AA463F8">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p>
              </w:tc>
              <w:tc>
                <w:tcPr>
                  <w:tcW w:w="3630" w:type="dxa"/>
                  <w:gridSpan w:val="3"/>
                  <w:vAlign w:val="center"/>
                </w:tcPr>
                <w:p w14:paraId="2CA5493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202</w:t>
                  </w:r>
                  <w:r>
                    <w:rPr>
                      <w:rFonts w:hint="eastAsia" w:ascii="Times New Roman" w:hAnsi="Times New Roman" w:cs="Times New Roman"/>
                      <w:b/>
                      <w:color w:val="auto"/>
                      <w:kern w:val="2"/>
                      <w:sz w:val="21"/>
                      <w:szCs w:val="21"/>
                    </w:rPr>
                    <w:t>4</w:t>
                  </w:r>
                  <w:r>
                    <w:rPr>
                      <w:rFonts w:hint="default" w:ascii="Times New Roman" w:hAnsi="Times New Roman" w:cs="Times New Roman"/>
                      <w:b/>
                      <w:color w:val="auto"/>
                      <w:kern w:val="2"/>
                      <w:sz w:val="21"/>
                      <w:szCs w:val="21"/>
                    </w:rPr>
                    <w:t>.</w:t>
                  </w:r>
                  <w:r>
                    <w:rPr>
                      <w:rFonts w:hint="eastAsia" w:ascii="Times New Roman" w:hAnsi="Times New Roman" w:cs="Times New Roman"/>
                      <w:b/>
                      <w:color w:val="auto"/>
                      <w:kern w:val="2"/>
                      <w:sz w:val="21"/>
                      <w:szCs w:val="21"/>
                    </w:rPr>
                    <w:t>04</w:t>
                  </w:r>
                  <w:r>
                    <w:rPr>
                      <w:rFonts w:hint="default" w:ascii="Times New Roman" w:hAnsi="Times New Roman" w:cs="Times New Roman"/>
                      <w:b/>
                      <w:color w:val="auto"/>
                      <w:kern w:val="2"/>
                      <w:sz w:val="21"/>
                      <w:szCs w:val="21"/>
                    </w:rPr>
                    <w:t>.</w:t>
                  </w:r>
                  <w:r>
                    <w:rPr>
                      <w:rFonts w:hint="eastAsia" w:ascii="Times New Roman" w:hAnsi="Times New Roman" w:cs="Times New Roman"/>
                      <w:b/>
                      <w:color w:val="auto"/>
                      <w:kern w:val="2"/>
                      <w:sz w:val="21"/>
                      <w:szCs w:val="21"/>
                    </w:rPr>
                    <w:t>23</w:t>
                  </w:r>
                </w:p>
              </w:tc>
              <w:tc>
                <w:tcPr>
                  <w:tcW w:w="1172" w:type="dxa"/>
                  <w:vMerge w:val="continue"/>
                  <w:vAlign w:val="center"/>
                </w:tcPr>
                <w:p w14:paraId="5DFFE55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p>
              </w:tc>
            </w:tr>
            <w:tr w14:paraId="204D7C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76" w:type="dxa"/>
                  <w:vMerge w:val="continue"/>
                  <w:vAlign w:val="center"/>
                </w:tcPr>
                <w:p w14:paraId="47C13D9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p>
              </w:tc>
              <w:tc>
                <w:tcPr>
                  <w:tcW w:w="2310" w:type="dxa"/>
                  <w:vMerge w:val="continue"/>
                  <w:vAlign w:val="center"/>
                </w:tcPr>
                <w:p w14:paraId="3FFDD24A">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p>
              </w:tc>
              <w:tc>
                <w:tcPr>
                  <w:tcW w:w="1280" w:type="dxa"/>
                  <w:vAlign w:val="center"/>
                </w:tcPr>
                <w:p w14:paraId="798595EE">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cs="Times New Roman"/>
                      <w:b/>
                      <w:color w:val="auto"/>
                      <w:kern w:val="2"/>
                      <w:sz w:val="21"/>
                      <w:szCs w:val="21"/>
                    </w:rPr>
                    <w:t>第一次</w:t>
                  </w:r>
                </w:p>
              </w:tc>
              <w:tc>
                <w:tcPr>
                  <w:tcW w:w="1240" w:type="dxa"/>
                  <w:vAlign w:val="center"/>
                </w:tcPr>
                <w:p w14:paraId="746D6E0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cs="Times New Roman"/>
                      <w:b/>
                      <w:color w:val="auto"/>
                      <w:kern w:val="2"/>
                      <w:sz w:val="21"/>
                      <w:szCs w:val="21"/>
                    </w:rPr>
                    <w:t>第二次</w:t>
                  </w:r>
                </w:p>
              </w:tc>
              <w:tc>
                <w:tcPr>
                  <w:tcW w:w="1110" w:type="dxa"/>
                  <w:vAlign w:val="center"/>
                </w:tcPr>
                <w:p w14:paraId="2DD5110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cs="Times New Roman"/>
                      <w:b/>
                      <w:color w:val="auto"/>
                      <w:kern w:val="2"/>
                      <w:sz w:val="21"/>
                      <w:szCs w:val="21"/>
                    </w:rPr>
                    <w:t>第三次</w:t>
                  </w:r>
                </w:p>
              </w:tc>
              <w:tc>
                <w:tcPr>
                  <w:tcW w:w="1172" w:type="dxa"/>
                  <w:vMerge w:val="continue"/>
                  <w:vAlign w:val="center"/>
                </w:tcPr>
                <w:p w14:paraId="46C2FC15">
                  <w:pPr>
                    <w:keepNext w:val="0"/>
                    <w:keepLines w:val="0"/>
                    <w:widowControl w:val="0"/>
                    <w:suppressLineNumbers w:val="0"/>
                    <w:spacing w:before="0" w:beforeAutospacing="0" w:after="0" w:afterAutospacing="0" w:line="276" w:lineRule="auto"/>
                    <w:ind w:left="0" w:right="0"/>
                    <w:jc w:val="center"/>
                    <w:rPr>
                      <w:rFonts w:hint="default" w:ascii="Times New Roman" w:cs="Times New Roman"/>
                      <w:b/>
                      <w:color w:val="auto"/>
                      <w:kern w:val="2"/>
                      <w:sz w:val="21"/>
                      <w:szCs w:val="21"/>
                    </w:rPr>
                  </w:pPr>
                </w:p>
              </w:tc>
            </w:tr>
            <w:tr w14:paraId="4AA37B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76" w:type="dxa"/>
                  <w:vMerge w:val="restart"/>
                  <w:vAlign w:val="center"/>
                </w:tcPr>
                <w:p w14:paraId="5A824DCA">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cs="Times New Roman"/>
                      <w:color w:val="auto"/>
                      <w:kern w:val="2"/>
                      <w:sz w:val="21"/>
                      <w:szCs w:val="21"/>
                    </w:rPr>
                    <w:t>上风向</w:t>
                  </w:r>
                </w:p>
              </w:tc>
              <w:tc>
                <w:tcPr>
                  <w:tcW w:w="2310" w:type="dxa"/>
                  <w:vAlign w:val="center"/>
                </w:tcPr>
                <w:p w14:paraId="757DEEC6">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cs="Times New Roman"/>
                      <w:color w:val="auto"/>
                      <w:kern w:val="2"/>
                      <w:sz w:val="21"/>
                      <w:szCs w:val="21"/>
                    </w:rPr>
                    <w:t>颗粒物（</w:t>
                  </w:r>
                  <w:r>
                    <w:rPr>
                      <w:rFonts w:hint="eastAsia" w:ascii="Times New Roman" w:hAnsi="Times New Roman" w:cs="Times New Roman"/>
                      <w:color w:val="auto"/>
                      <w:kern w:val="2"/>
                      <w:sz w:val="21"/>
                      <w:szCs w:val="21"/>
                    </w:rPr>
                    <w:t>m</w:t>
                  </w:r>
                  <w:r>
                    <w:rPr>
                      <w:rFonts w:hint="default" w:ascii="Times New Roman" w:hAnsi="Times New Roman" w:cs="Times New Roman"/>
                      <w:color w:val="auto"/>
                      <w:kern w:val="2"/>
                      <w:sz w:val="21"/>
                      <w:szCs w:val="21"/>
                    </w:rPr>
                    <w:t>g/m</w:t>
                  </w:r>
                  <w:r>
                    <w:rPr>
                      <w:rFonts w:hint="default" w:ascii="Times New Roman" w:hAnsi="Times New Roman" w:cs="Times New Roman"/>
                      <w:color w:val="auto"/>
                      <w:kern w:val="2"/>
                      <w:sz w:val="21"/>
                      <w:szCs w:val="21"/>
                      <w:vertAlign w:val="superscript"/>
                    </w:rPr>
                    <w:t>3</w:t>
                  </w:r>
                  <w:r>
                    <w:rPr>
                      <w:rFonts w:hint="default" w:ascii="Times New Roman" w:cs="Times New Roman"/>
                      <w:color w:val="auto"/>
                      <w:kern w:val="2"/>
                      <w:sz w:val="21"/>
                      <w:szCs w:val="21"/>
                    </w:rPr>
                    <w:t>）</w:t>
                  </w:r>
                </w:p>
              </w:tc>
              <w:tc>
                <w:tcPr>
                  <w:tcW w:w="1280" w:type="dxa"/>
                  <w:vAlign w:val="center"/>
                </w:tcPr>
                <w:p w14:paraId="544A846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0.18</w:t>
                  </w:r>
                </w:p>
              </w:tc>
              <w:tc>
                <w:tcPr>
                  <w:tcW w:w="1240" w:type="dxa"/>
                  <w:vAlign w:val="center"/>
                </w:tcPr>
                <w:p w14:paraId="71C48A86">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0.193</w:t>
                  </w:r>
                </w:p>
              </w:tc>
              <w:tc>
                <w:tcPr>
                  <w:tcW w:w="1110" w:type="dxa"/>
                  <w:vAlign w:val="center"/>
                </w:tcPr>
                <w:p w14:paraId="33CB5422">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0.173</w:t>
                  </w:r>
                </w:p>
              </w:tc>
              <w:tc>
                <w:tcPr>
                  <w:tcW w:w="1172" w:type="dxa"/>
                  <w:vAlign w:val="center"/>
                </w:tcPr>
                <w:p w14:paraId="004BD44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1.0</w:t>
                  </w:r>
                </w:p>
              </w:tc>
            </w:tr>
            <w:tr w14:paraId="76E943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76" w:type="dxa"/>
                  <w:vMerge w:val="continue"/>
                  <w:vAlign w:val="center"/>
                </w:tcPr>
                <w:p w14:paraId="6561FF4B">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2310" w:type="dxa"/>
                  <w:vAlign w:val="center"/>
                </w:tcPr>
                <w:p w14:paraId="404C95F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rPr>
                    <w:t>非甲烷总烃</w:t>
                  </w:r>
                  <w:r>
                    <w:rPr>
                      <w:rFonts w:hint="default" w:ascii="Times New Roman" w:cs="Times New Roman"/>
                      <w:color w:val="auto"/>
                      <w:kern w:val="2"/>
                      <w:sz w:val="21"/>
                      <w:szCs w:val="21"/>
                    </w:rPr>
                    <w:t>（</w:t>
                  </w:r>
                  <w:r>
                    <w:rPr>
                      <w:rFonts w:hint="default" w:ascii="Times New Roman" w:hAnsi="Times New Roman" w:cs="Times New Roman"/>
                      <w:color w:val="auto"/>
                      <w:kern w:val="2"/>
                      <w:sz w:val="21"/>
                      <w:szCs w:val="21"/>
                    </w:rPr>
                    <w:t>mg/m</w:t>
                  </w:r>
                  <w:r>
                    <w:rPr>
                      <w:rFonts w:hint="default" w:ascii="Times New Roman" w:hAnsi="Times New Roman" w:cs="Times New Roman"/>
                      <w:color w:val="auto"/>
                      <w:kern w:val="2"/>
                      <w:sz w:val="21"/>
                      <w:szCs w:val="21"/>
                      <w:vertAlign w:val="superscript"/>
                    </w:rPr>
                    <w:t>3</w:t>
                  </w:r>
                  <w:r>
                    <w:rPr>
                      <w:rFonts w:hint="default" w:ascii="Times New Roman" w:cs="Times New Roman"/>
                      <w:color w:val="auto"/>
                      <w:kern w:val="2"/>
                      <w:sz w:val="21"/>
                      <w:szCs w:val="21"/>
                    </w:rPr>
                    <w:t>）</w:t>
                  </w:r>
                </w:p>
              </w:tc>
              <w:tc>
                <w:tcPr>
                  <w:tcW w:w="1280" w:type="dxa"/>
                  <w:vAlign w:val="center"/>
                </w:tcPr>
                <w:p w14:paraId="40388B7B">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0.89</w:t>
                  </w:r>
                </w:p>
              </w:tc>
              <w:tc>
                <w:tcPr>
                  <w:tcW w:w="1240" w:type="dxa"/>
                  <w:vAlign w:val="center"/>
                </w:tcPr>
                <w:p w14:paraId="364A9463">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0.89</w:t>
                  </w:r>
                </w:p>
              </w:tc>
              <w:tc>
                <w:tcPr>
                  <w:tcW w:w="1110" w:type="dxa"/>
                  <w:vAlign w:val="center"/>
                </w:tcPr>
                <w:p w14:paraId="74E7366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0.91</w:t>
                  </w:r>
                </w:p>
              </w:tc>
              <w:tc>
                <w:tcPr>
                  <w:tcW w:w="1172" w:type="dxa"/>
                  <w:vAlign w:val="center"/>
                </w:tcPr>
                <w:p w14:paraId="2B83E90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4.0</w:t>
                  </w:r>
                </w:p>
              </w:tc>
            </w:tr>
            <w:tr w14:paraId="6FFC27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76" w:type="dxa"/>
                  <w:vMerge w:val="restart"/>
                  <w:vAlign w:val="center"/>
                </w:tcPr>
                <w:p w14:paraId="0F03B893">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cs="Times New Roman"/>
                      <w:color w:val="auto"/>
                      <w:kern w:val="2"/>
                      <w:sz w:val="21"/>
                      <w:szCs w:val="21"/>
                    </w:rPr>
                    <w:t>下风向</w:t>
                  </w:r>
                </w:p>
              </w:tc>
              <w:tc>
                <w:tcPr>
                  <w:tcW w:w="2310" w:type="dxa"/>
                  <w:vAlign w:val="center"/>
                </w:tcPr>
                <w:p w14:paraId="0856B79D">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cs="Times New Roman"/>
                      <w:color w:val="auto"/>
                      <w:kern w:val="2"/>
                      <w:sz w:val="21"/>
                      <w:szCs w:val="21"/>
                    </w:rPr>
                    <w:t>颗粒物（</w:t>
                  </w:r>
                  <w:r>
                    <w:rPr>
                      <w:rFonts w:hint="eastAsia" w:ascii="Times New Roman" w:hAnsi="Times New Roman" w:cs="Times New Roman"/>
                      <w:color w:val="auto"/>
                      <w:kern w:val="2"/>
                      <w:sz w:val="21"/>
                      <w:szCs w:val="21"/>
                    </w:rPr>
                    <w:t>m</w:t>
                  </w:r>
                  <w:r>
                    <w:rPr>
                      <w:rFonts w:hint="default" w:ascii="Times New Roman" w:hAnsi="Times New Roman" w:cs="Times New Roman"/>
                      <w:color w:val="auto"/>
                      <w:kern w:val="2"/>
                      <w:sz w:val="21"/>
                      <w:szCs w:val="21"/>
                    </w:rPr>
                    <w:t>g/m</w:t>
                  </w:r>
                  <w:r>
                    <w:rPr>
                      <w:rFonts w:hint="default" w:ascii="Times New Roman" w:hAnsi="Times New Roman" w:cs="Times New Roman"/>
                      <w:color w:val="auto"/>
                      <w:kern w:val="2"/>
                      <w:sz w:val="21"/>
                      <w:szCs w:val="21"/>
                      <w:vertAlign w:val="superscript"/>
                    </w:rPr>
                    <w:t>3</w:t>
                  </w:r>
                  <w:r>
                    <w:rPr>
                      <w:rFonts w:hint="default" w:ascii="Times New Roman" w:cs="Times New Roman"/>
                      <w:color w:val="auto"/>
                      <w:kern w:val="2"/>
                      <w:sz w:val="21"/>
                      <w:szCs w:val="21"/>
                    </w:rPr>
                    <w:t>）</w:t>
                  </w:r>
                </w:p>
              </w:tc>
              <w:tc>
                <w:tcPr>
                  <w:tcW w:w="1280" w:type="dxa"/>
                  <w:vAlign w:val="center"/>
                </w:tcPr>
                <w:p w14:paraId="5220A57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0.267</w:t>
                  </w:r>
                </w:p>
              </w:tc>
              <w:tc>
                <w:tcPr>
                  <w:tcW w:w="1240" w:type="dxa"/>
                  <w:vAlign w:val="center"/>
                </w:tcPr>
                <w:p w14:paraId="4FBC2F13">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0.262</w:t>
                  </w:r>
                </w:p>
              </w:tc>
              <w:tc>
                <w:tcPr>
                  <w:tcW w:w="1110" w:type="dxa"/>
                  <w:vAlign w:val="center"/>
                </w:tcPr>
                <w:p w14:paraId="57371DD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0.287</w:t>
                  </w:r>
                </w:p>
              </w:tc>
              <w:tc>
                <w:tcPr>
                  <w:tcW w:w="1172" w:type="dxa"/>
                  <w:vAlign w:val="center"/>
                </w:tcPr>
                <w:p w14:paraId="0FB9491E">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1.0</w:t>
                  </w:r>
                </w:p>
              </w:tc>
            </w:tr>
            <w:tr w14:paraId="45007A4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76" w:type="dxa"/>
                  <w:vMerge w:val="continue"/>
                  <w:vAlign w:val="center"/>
                </w:tcPr>
                <w:p w14:paraId="3715957A">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2310" w:type="dxa"/>
                  <w:vAlign w:val="center"/>
                </w:tcPr>
                <w:p w14:paraId="64A595A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rPr>
                    <w:t>非甲烷总烃</w:t>
                  </w:r>
                  <w:r>
                    <w:rPr>
                      <w:rFonts w:hint="default" w:ascii="Times New Roman" w:cs="Times New Roman"/>
                      <w:color w:val="auto"/>
                      <w:kern w:val="2"/>
                      <w:sz w:val="21"/>
                      <w:szCs w:val="21"/>
                    </w:rPr>
                    <w:t>（</w:t>
                  </w:r>
                  <w:r>
                    <w:rPr>
                      <w:rFonts w:hint="default" w:ascii="Times New Roman" w:hAnsi="Times New Roman" w:cs="Times New Roman"/>
                      <w:color w:val="auto"/>
                      <w:kern w:val="2"/>
                      <w:sz w:val="21"/>
                      <w:szCs w:val="21"/>
                    </w:rPr>
                    <w:t>mg/m</w:t>
                  </w:r>
                  <w:r>
                    <w:rPr>
                      <w:rFonts w:hint="default" w:ascii="Times New Roman" w:hAnsi="Times New Roman" w:cs="Times New Roman"/>
                      <w:color w:val="auto"/>
                      <w:kern w:val="2"/>
                      <w:sz w:val="21"/>
                      <w:szCs w:val="21"/>
                      <w:vertAlign w:val="superscript"/>
                    </w:rPr>
                    <w:t>3</w:t>
                  </w:r>
                  <w:r>
                    <w:rPr>
                      <w:rFonts w:hint="default" w:ascii="Times New Roman" w:cs="Times New Roman"/>
                      <w:color w:val="auto"/>
                      <w:kern w:val="2"/>
                      <w:sz w:val="21"/>
                      <w:szCs w:val="21"/>
                    </w:rPr>
                    <w:t>）</w:t>
                  </w:r>
                </w:p>
              </w:tc>
              <w:tc>
                <w:tcPr>
                  <w:tcW w:w="1280" w:type="dxa"/>
                  <w:vAlign w:val="center"/>
                </w:tcPr>
                <w:p w14:paraId="2102B52D">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1.04</w:t>
                  </w:r>
                </w:p>
              </w:tc>
              <w:tc>
                <w:tcPr>
                  <w:tcW w:w="1240" w:type="dxa"/>
                  <w:vAlign w:val="center"/>
                </w:tcPr>
                <w:p w14:paraId="7759B02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1.03</w:t>
                  </w:r>
                </w:p>
              </w:tc>
              <w:tc>
                <w:tcPr>
                  <w:tcW w:w="1110" w:type="dxa"/>
                  <w:vAlign w:val="center"/>
                </w:tcPr>
                <w:p w14:paraId="6419937D">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1.01</w:t>
                  </w:r>
                </w:p>
              </w:tc>
              <w:tc>
                <w:tcPr>
                  <w:tcW w:w="1172" w:type="dxa"/>
                  <w:vAlign w:val="center"/>
                </w:tcPr>
                <w:p w14:paraId="62EF2AB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4.0</w:t>
                  </w:r>
                </w:p>
              </w:tc>
            </w:tr>
            <w:tr w14:paraId="7ACCA6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76" w:type="dxa"/>
                  <w:vMerge w:val="restart"/>
                  <w:vAlign w:val="center"/>
                </w:tcPr>
                <w:p w14:paraId="2CE0E76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cs="Times New Roman"/>
                      <w:color w:val="auto"/>
                      <w:kern w:val="2"/>
                      <w:sz w:val="21"/>
                      <w:szCs w:val="21"/>
                    </w:rPr>
                    <w:t>下风向</w:t>
                  </w:r>
                </w:p>
              </w:tc>
              <w:tc>
                <w:tcPr>
                  <w:tcW w:w="2310" w:type="dxa"/>
                  <w:vAlign w:val="center"/>
                </w:tcPr>
                <w:p w14:paraId="7EF533A2">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cs="Times New Roman"/>
                      <w:color w:val="auto"/>
                      <w:kern w:val="2"/>
                      <w:sz w:val="21"/>
                      <w:szCs w:val="21"/>
                    </w:rPr>
                    <w:t>颗粒物（</w:t>
                  </w:r>
                  <w:r>
                    <w:rPr>
                      <w:rFonts w:hint="eastAsia" w:ascii="Times New Roman" w:hAnsi="Times New Roman" w:cs="Times New Roman"/>
                      <w:color w:val="auto"/>
                      <w:kern w:val="2"/>
                      <w:sz w:val="21"/>
                      <w:szCs w:val="21"/>
                    </w:rPr>
                    <w:t>m</w:t>
                  </w:r>
                  <w:r>
                    <w:rPr>
                      <w:rFonts w:hint="default" w:ascii="Times New Roman" w:hAnsi="Times New Roman" w:cs="Times New Roman"/>
                      <w:color w:val="auto"/>
                      <w:kern w:val="2"/>
                      <w:sz w:val="21"/>
                      <w:szCs w:val="21"/>
                    </w:rPr>
                    <w:t>g/m</w:t>
                  </w:r>
                  <w:r>
                    <w:rPr>
                      <w:rFonts w:hint="default" w:ascii="Times New Roman" w:hAnsi="Times New Roman" w:cs="Times New Roman"/>
                      <w:color w:val="auto"/>
                      <w:kern w:val="2"/>
                      <w:sz w:val="21"/>
                      <w:szCs w:val="21"/>
                      <w:vertAlign w:val="superscript"/>
                    </w:rPr>
                    <w:t>3</w:t>
                  </w:r>
                  <w:r>
                    <w:rPr>
                      <w:rFonts w:hint="default" w:ascii="Times New Roman" w:cs="Times New Roman"/>
                      <w:color w:val="auto"/>
                      <w:kern w:val="2"/>
                      <w:sz w:val="21"/>
                      <w:szCs w:val="21"/>
                    </w:rPr>
                    <w:t>）</w:t>
                  </w:r>
                </w:p>
              </w:tc>
              <w:tc>
                <w:tcPr>
                  <w:tcW w:w="1280" w:type="dxa"/>
                  <w:vAlign w:val="center"/>
                </w:tcPr>
                <w:p w14:paraId="455275D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0.237</w:t>
                  </w:r>
                </w:p>
              </w:tc>
              <w:tc>
                <w:tcPr>
                  <w:tcW w:w="1240" w:type="dxa"/>
                  <w:vAlign w:val="center"/>
                </w:tcPr>
                <w:p w14:paraId="3C0B087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0.257</w:t>
                  </w:r>
                </w:p>
              </w:tc>
              <w:tc>
                <w:tcPr>
                  <w:tcW w:w="1110" w:type="dxa"/>
                  <w:vAlign w:val="center"/>
                </w:tcPr>
                <w:p w14:paraId="019A12C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0.237</w:t>
                  </w:r>
                </w:p>
              </w:tc>
              <w:tc>
                <w:tcPr>
                  <w:tcW w:w="1172" w:type="dxa"/>
                  <w:vAlign w:val="center"/>
                </w:tcPr>
                <w:p w14:paraId="72EFFCA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1.0</w:t>
                  </w:r>
                </w:p>
              </w:tc>
            </w:tr>
            <w:tr w14:paraId="6EA371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76" w:type="dxa"/>
                  <w:vMerge w:val="continue"/>
                  <w:vAlign w:val="center"/>
                </w:tcPr>
                <w:p w14:paraId="71610CC0">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2310" w:type="dxa"/>
                  <w:vAlign w:val="center"/>
                </w:tcPr>
                <w:p w14:paraId="4A902B6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rPr>
                    <w:t>非甲烷总烃</w:t>
                  </w:r>
                  <w:r>
                    <w:rPr>
                      <w:rFonts w:hint="default" w:ascii="Times New Roman" w:cs="Times New Roman"/>
                      <w:color w:val="auto"/>
                      <w:kern w:val="2"/>
                      <w:sz w:val="21"/>
                      <w:szCs w:val="21"/>
                    </w:rPr>
                    <w:t>（</w:t>
                  </w:r>
                  <w:r>
                    <w:rPr>
                      <w:rFonts w:hint="default" w:ascii="Times New Roman" w:hAnsi="Times New Roman" w:cs="Times New Roman"/>
                      <w:color w:val="auto"/>
                      <w:kern w:val="2"/>
                      <w:sz w:val="21"/>
                      <w:szCs w:val="21"/>
                    </w:rPr>
                    <w:t>mg/m</w:t>
                  </w:r>
                  <w:r>
                    <w:rPr>
                      <w:rFonts w:hint="default" w:ascii="Times New Roman" w:hAnsi="Times New Roman" w:cs="Times New Roman"/>
                      <w:color w:val="auto"/>
                      <w:kern w:val="2"/>
                      <w:sz w:val="21"/>
                      <w:szCs w:val="21"/>
                      <w:vertAlign w:val="superscript"/>
                    </w:rPr>
                    <w:t>3</w:t>
                  </w:r>
                  <w:r>
                    <w:rPr>
                      <w:rFonts w:hint="default" w:ascii="Times New Roman" w:cs="Times New Roman"/>
                      <w:color w:val="auto"/>
                      <w:kern w:val="2"/>
                      <w:sz w:val="21"/>
                      <w:szCs w:val="21"/>
                    </w:rPr>
                    <w:t>）</w:t>
                  </w:r>
                </w:p>
              </w:tc>
              <w:tc>
                <w:tcPr>
                  <w:tcW w:w="1280" w:type="dxa"/>
                  <w:vAlign w:val="center"/>
                </w:tcPr>
                <w:p w14:paraId="583E933A">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1.11</w:t>
                  </w:r>
                </w:p>
              </w:tc>
              <w:tc>
                <w:tcPr>
                  <w:tcW w:w="1240" w:type="dxa"/>
                  <w:vAlign w:val="center"/>
                </w:tcPr>
                <w:p w14:paraId="6512746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1.08</w:t>
                  </w:r>
                </w:p>
              </w:tc>
              <w:tc>
                <w:tcPr>
                  <w:tcW w:w="1110" w:type="dxa"/>
                  <w:vAlign w:val="center"/>
                </w:tcPr>
                <w:p w14:paraId="1F14F08C">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1.18</w:t>
                  </w:r>
                </w:p>
              </w:tc>
              <w:tc>
                <w:tcPr>
                  <w:tcW w:w="1172" w:type="dxa"/>
                  <w:vAlign w:val="center"/>
                </w:tcPr>
                <w:p w14:paraId="485F75FA">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4.0</w:t>
                  </w:r>
                </w:p>
              </w:tc>
            </w:tr>
            <w:tr w14:paraId="01DE42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76" w:type="dxa"/>
                  <w:vMerge w:val="restart"/>
                  <w:vAlign w:val="center"/>
                </w:tcPr>
                <w:p w14:paraId="11F649E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cs="Times New Roman"/>
                      <w:color w:val="auto"/>
                      <w:kern w:val="2"/>
                      <w:sz w:val="21"/>
                      <w:szCs w:val="21"/>
                    </w:rPr>
                    <w:t>下风向</w:t>
                  </w:r>
                </w:p>
              </w:tc>
              <w:tc>
                <w:tcPr>
                  <w:tcW w:w="2310" w:type="dxa"/>
                  <w:vAlign w:val="center"/>
                </w:tcPr>
                <w:p w14:paraId="69D9C78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cs="Times New Roman"/>
                      <w:color w:val="auto"/>
                      <w:kern w:val="2"/>
                      <w:sz w:val="21"/>
                      <w:szCs w:val="21"/>
                    </w:rPr>
                    <w:t>颗粒物（</w:t>
                  </w:r>
                  <w:r>
                    <w:rPr>
                      <w:rFonts w:hint="eastAsia" w:ascii="Times New Roman" w:hAnsi="Times New Roman" w:cs="Times New Roman"/>
                      <w:color w:val="auto"/>
                      <w:kern w:val="2"/>
                      <w:sz w:val="21"/>
                      <w:szCs w:val="21"/>
                    </w:rPr>
                    <w:t>m</w:t>
                  </w:r>
                  <w:r>
                    <w:rPr>
                      <w:rFonts w:hint="default" w:ascii="Times New Roman" w:hAnsi="Times New Roman" w:cs="Times New Roman"/>
                      <w:color w:val="auto"/>
                      <w:kern w:val="2"/>
                      <w:sz w:val="21"/>
                      <w:szCs w:val="21"/>
                    </w:rPr>
                    <w:t>g/m</w:t>
                  </w:r>
                  <w:r>
                    <w:rPr>
                      <w:rFonts w:hint="default" w:ascii="Times New Roman" w:hAnsi="Times New Roman" w:cs="Times New Roman"/>
                      <w:color w:val="auto"/>
                      <w:kern w:val="2"/>
                      <w:sz w:val="21"/>
                      <w:szCs w:val="21"/>
                      <w:vertAlign w:val="superscript"/>
                    </w:rPr>
                    <w:t>3</w:t>
                  </w:r>
                  <w:r>
                    <w:rPr>
                      <w:rFonts w:hint="default" w:ascii="Times New Roman" w:cs="Times New Roman"/>
                      <w:color w:val="auto"/>
                      <w:kern w:val="2"/>
                      <w:sz w:val="21"/>
                      <w:szCs w:val="21"/>
                    </w:rPr>
                    <w:t>）</w:t>
                  </w:r>
                </w:p>
              </w:tc>
              <w:tc>
                <w:tcPr>
                  <w:tcW w:w="1280" w:type="dxa"/>
                  <w:vAlign w:val="center"/>
                </w:tcPr>
                <w:p w14:paraId="4A935B68">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0.275</w:t>
                  </w:r>
                </w:p>
              </w:tc>
              <w:tc>
                <w:tcPr>
                  <w:tcW w:w="1240" w:type="dxa"/>
                  <w:vAlign w:val="center"/>
                </w:tcPr>
                <w:p w14:paraId="104D72C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0.243</w:t>
                  </w:r>
                </w:p>
              </w:tc>
              <w:tc>
                <w:tcPr>
                  <w:tcW w:w="1110" w:type="dxa"/>
                  <w:vAlign w:val="center"/>
                </w:tcPr>
                <w:p w14:paraId="6CBA5C36">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0.277</w:t>
                  </w:r>
                </w:p>
              </w:tc>
              <w:tc>
                <w:tcPr>
                  <w:tcW w:w="1172" w:type="dxa"/>
                  <w:vAlign w:val="center"/>
                </w:tcPr>
                <w:p w14:paraId="63CA2C8C">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1.0</w:t>
                  </w:r>
                </w:p>
              </w:tc>
            </w:tr>
            <w:tr w14:paraId="3BC75A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76" w:type="dxa"/>
                  <w:vMerge w:val="continue"/>
                  <w:vAlign w:val="center"/>
                </w:tcPr>
                <w:p w14:paraId="7DCF1BD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2310" w:type="dxa"/>
                  <w:vAlign w:val="center"/>
                </w:tcPr>
                <w:p w14:paraId="03A860C3">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cs="Times New Roman"/>
                      <w:color w:val="auto"/>
                      <w:kern w:val="2"/>
                      <w:sz w:val="21"/>
                      <w:szCs w:val="21"/>
                    </w:rPr>
                    <w:t>非甲烷总烃</w:t>
                  </w:r>
                  <w:r>
                    <w:rPr>
                      <w:rFonts w:hint="default" w:ascii="Times New Roman" w:cs="Times New Roman"/>
                      <w:color w:val="auto"/>
                      <w:kern w:val="2"/>
                      <w:sz w:val="21"/>
                      <w:szCs w:val="21"/>
                    </w:rPr>
                    <w:t>（</w:t>
                  </w:r>
                  <w:r>
                    <w:rPr>
                      <w:rFonts w:hint="default" w:ascii="Times New Roman" w:hAnsi="Times New Roman" w:cs="Times New Roman"/>
                      <w:color w:val="auto"/>
                      <w:kern w:val="2"/>
                      <w:sz w:val="21"/>
                      <w:szCs w:val="21"/>
                    </w:rPr>
                    <w:t>mg/m</w:t>
                  </w:r>
                  <w:r>
                    <w:rPr>
                      <w:rFonts w:hint="default" w:ascii="Times New Roman" w:hAnsi="Times New Roman" w:cs="Times New Roman"/>
                      <w:color w:val="auto"/>
                      <w:kern w:val="2"/>
                      <w:sz w:val="21"/>
                      <w:szCs w:val="21"/>
                      <w:vertAlign w:val="superscript"/>
                    </w:rPr>
                    <w:t>3</w:t>
                  </w:r>
                  <w:r>
                    <w:rPr>
                      <w:rFonts w:hint="default" w:ascii="Times New Roman" w:cs="Times New Roman"/>
                      <w:color w:val="auto"/>
                      <w:kern w:val="2"/>
                      <w:sz w:val="21"/>
                      <w:szCs w:val="21"/>
                    </w:rPr>
                    <w:t>）</w:t>
                  </w:r>
                </w:p>
              </w:tc>
              <w:tc>
                <w:tcPr>
                  <w:tcW w:w="1280" w:type="dxa"/>
                  <w:vAlign w:val="center"/>
                </w:tcPr>
                <w:p w14:paraId="33C9C7A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1.28</w:t>
                  </w:r>
                </w:p>
              </w:tc>
              <w:tc>
                <w:tcPr>
                  <w:tcW w:w="1240" w:type="dxa"/>
                  <w:vAlign w:val="center"/>
                </w:tcPr>
                <w:p w14:paraId="7DC8A6BC">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1.24</w:t>
                  </w:r>
                </w:p>
              </w:tc>
              <w:tc>
                <w:tcPr>
                  <w:tcW w:w="1110" w:type="dxa"/>
                  <w:vAlign w:val="center"/>
                </w:tcPr>
                <w:p w14:paraId="2F70C3F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1.25</w:t>
                  </w:r>
                </w:p>
              </w:tc>
              <w:tc>
                <w:tcPr>
                  <w:tcW w:w="1172" w:type="dxa"/>
                  <w:vAlign w:val="center"/>
                </w:tcPr>
                <w:p w14:paraId="19E3EB9D">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4.0</w:t>
                  </w:r>
                </w:p>
              </w:tc>
            </w:tr>
            <w:tr w14:paraId="3D761A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76" w:type="dxa"/>
                  <w:vAlign w:val="center"/>
                </w:tcPr>
                <w:p w14:paraId="2645ADD3">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厂区内</w:t>
                  </w:r>
                </w:p>
              </w:tc>
              <w:tc>
                <w:tcPr>
                  <w:tcW w:w="2310" w:type="dxa"/>
                  <w:vAlign w:val="center"/>
                </w:tcPr>
                <w:p w14:paraId="223AF047">
                  <w:pPr>
                    <w:keepNext w:val="0"/>
                    <w:keepLines w:val="0"/>
                    <w:widowControl w:val="0"/>
                    <w:suppressLineNumbers w:val="0"/>
                    <w:spacing w:before="0" w:beforeAutospacing="0" w:after="0" w:afterAutospacing="0" w:line="276" w:lineRule="auto"/>
                    <w:ind w:left="0" w:right="0"/>
                    <w:jc w:val="center"/>
                    <w:rPr>
                      <w:rFonts w:hint="eastAsia" w:ascii="Times New Roman" w:cs="Times New Roman"/>
                      <w:color w:val="auto"/>
                      <w:kern w:val="2"/>
                      <w:sz w:val="21"/>
                      <w:szCs w:val="21"/>
                    </w:rPr>
                  </w:pPr>
                  <w:r>
                    <w:rPr>
                      <w:rFonts w:hint="eastAsia" w:ascii="Times New Roman" w:cs="Times New Roman"/>
                      <w:color w:val="auto"/>
                      <w:kern w:val="2"/>
                      <w:sz w:val="21"/>
                      <w:szCs w:val="21"/>
                    </w:rPr>
                    <w:t>非甲烷总烃</w:t>
                  </w:r>
                  <w:r>
                    <w:rPr>
                      <w:rFonts w:hint="default" w:ascii="Times New Roman" w:cs="Times New Roman"/>
                      <w:color w:val="auto"/>
                      <w:kern w:val="2"/>
                      <w:sz w:val="21"/>
                      <w:szCs w:val="21"/>
                    </w:rPr>
                    <w:t>（</w:t>
                  </w:r>
                  <w:r>
                    <w:rPr>
                      <w:rFonts w:hint="default" w:ascii="Times New Roman" w:hAnsi="Times New Roman" w:cs="Times New Roman"/>
                      <w:color w:val="auto"/>
                      <w:kern w:val="2"/>
                      <w:sz w:val="21"/>
                      <w:szCs w:val="21"/>
                    </w:rPr>
                    <w:t>mg/m</w:t>
                  </w:r>
                  <w:r>
                    <w:rPr>
                      <w:rFonts w:hint="default" w:ascii="Times New Roman" w:hAnsi="Times New Roman" w:cs="Times New Roman"/>
                      <w:color w:val="auto"/>
                      <w:kern w:val="2"/>
                      <w:sz w:val="21"/>
                      <w:szCs w:val="21"/>
                      <w:vertAlign w:val="superscript"/>
                    </w:rPr>
                    <w:t>3</w:t>
                  </w:r>
                  <w:r>
                    <w:rPr>
                      <w:rFonts w:hint="default" w:ascii="Times New Roman" w:cs="Times New Roman"/>
                      <w:color w:val="auto"/>
                      <w:kern w:val="2"/>
                      <w:sz w:val="21"/>
                      <w:szCs w:val="21"/>
                    </w:rPr>
                    <w:t>）</w:t>
                  </w:r>
                </w:p>
              </w:tc>
              <w:tc>
                <w:tcPr>
                  <w:tcW w:w="1280" w:type="dxa"/>
                  <w:vAlign w:val="center"/>
                </w:tcPr>
                <w:p w14:paraId="4FE1CAD2">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1.50</w:t>
                  </w:r>
                </w:p>
              </w:tc>
              <w:tc>
                <w:tcPr>
                  <w:tcW w:w="1240" w:type="dxa"/>
                  <w:vAlign w:val="center"/>
                </w:tcPr>
                <w:p w14:paraId="040024C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1.47</w:t>
                  </w:r>
                </w:p>
              </w:tc>
              <w:tc>
                <w:tcPr>
                  <w:tcW w:w="1110" w:type="dxa"/>
                  <w:vAlign w:val="center"/>
                </w:tcPr>
                <w:p w14:paraId="5344E17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1.53</w:t>
                  </w:r>
                </w:p>
              </w:tc>
              <w:tc>
                <w:tcPr>
                  <w:tcW w:w="1172" w:type="dxa"/>
                  <w:vAlign w:val="center"/>
                </w:tcPr>
                <w:p w14:paraId="5A17F9DD">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6.0</w:t>
                  </w:r>
                </w:p>
              </w:tc>
            </w:tr>
          </w:tbl>
          <w:p w14:paraId="504CE6D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eastAsia" w:ascii="Times New Roman" w:hAnsi="Times New Roman" w:cs="Times New Roman"/>
                <w:color w:val="auto"/>
                <w:kern w:val="2"/>
              </w:rPr>
              <w:t>由上表可知，厂</w:t>
            </w:r>
            <w:r>
              <w:rPr>
                <w:rFonts w:hint="default" w:ascii="Times New Roman" w:hAnsi="Times New Roman"/>
                <w:bCs/>
                <w:color w:val="auto"/>
                <w:kern w:val="2"/>
              </w:rPr>
              <w:t>界</w:t>
            </w:r>
            <w:r>
              <w:rPr>
                <w:rFonts w:hint="eastAsia" w:ascii="Times New Roman" w:hAnsi="Times New Roman" w:cs="Times New Roman"/>
                <w:color w:val="auto"/>
                <w:kern w:val="2"/>
              </w:rPr>
              <w:t>无组织废气颗粒物、非甲烷总烃排放浓度满足《大气污染物综合排放标准》（GB16297-1996）表2无组织排放限值标准要求</w:t>
            </w:r>
            <w:r>
              <w:rPr>
                <w:rFonts w:hint="eastAsia" w:ascii="Times New Roman" w:hAnsi="Times New Roman" w:cs="Times New Roman"/>
                <w:color w:val="auto"/>
                <w:kern w:val="2"/>
                <w:lang w:eastAsia="zh-CN"/>
              </w:rPr>
              <w:t>；</w:t>
            </w:r>
            <w:r>
              <w:rPr>
                <w:rFonts w:hint="eastAsia" w:ascii="Times New Roman" w:hAnsi="Times New Roman"/>
                <w:bCs/>
                <w:color w:val="auto"/>
                <w:kern w:val="2"/>
              </w:rPr>
              <w:t>非甲烷总烃厂区内无组织排放浓度</w:t>
            </w:r>
            <w:r>
              <w:rPr>
                <w:rFonts w:hint="eastAsia" w:ascii="Times New Roman" w:hAnsi="Times New Roman"/>
                <w:bCs/>
                <w:color w:val="auto"/>
                <w:kern w:val="2"/>
                <w:lang w:val="en-US" w:eastAsia="zh-CN"/>
              </w:rPr>
              <w:t>满足</w:t>
            </w:r>
            <w:r>
              <w:rPr>
                <w:rFonts w:hint="default" w:ascii="Times New Roman" w:hAnsi="Times New Roman"/>
                <w:bCs/>
                <w:color w:val="auto"/>
                <w:kern w:val="2"/>
              </w:rPr>
              <w:t>安徽省地方标准《固定源挥发性有机物综合排放标准 第6部分：其他行业》（DB34/4812.6-2024）表4中特别排放限值要求</w:t>
            </w:r>
            <w:r>
              <w:rPr>
                <w:rFonts w:hint="eastAsia" w:ascii="Times New Roman" w:hAnsi="Times New Roman" w:cs="Times New Roman"/>
                <w:color w:val="auto"/>
                <w:kern w:val="2"/>
              </w:rPr>
              <w:t>。</w:t>
            </w:r>
          </w:p>
          <w:p w14:paraId="0DBEB631">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eastAsia" w:ascii="Times New Roman" w:hAnsi="Times New Roman" w:cs="Times New Roman"/>
                <w:color w:val="auto"/>
                <w:kern w:val="2"/>
              </w:rPr>
              <w:t>（3）噪声</w:t>
            </w:r>
          </w:p>
          <w:p w14:paraId="3225C99E">
            <w:pPr>
              <w:keepNext w:val="0"/>
              <w:keepLines w:val="0"/>
              <w:widowControl w:val="0"/>
              <w:suppressLineNumbers w:val="0"/>
              <w:spacing w:before="0" w:beforeAutospacing="0" w:after="0" w:afterAutospacing="0" w:line="360" w:lineRule="auto"/>
              <w:ind w:left="0" w:right="0" w:firstLine="480" w:firstLineChars="200"/>
              <w:rPr>
                <w:rFonts w:hint="default" w:ascii="Calibri" w:hAnsi="Calibri" w:cs="Times New Roman"/>
                <w:color w:val="auto"/>
                <w:kern w:val="2"/>
                <w:sz w:val="21"/>
                <w:szCs w:val="22"/>
              </w:rPr>
            </w:pPr>
            <w:r>
              <w:rPr>
                <w:rFonts w:hint="eastAsia" w:ascii="Times New Roman" w:hAnsi="Times New Roman"/>
                <w:color w:val="auto"/>
                <w:kern w:val="2"/>
              </w:rPr>
              <w:t>淮南市宜青环境检测有限公司</w:t>
            </w:r>
            <w:r>
              <w:rPr>
                <w:rFonts w:hint="eastAsia" w:ascii="Times New Roman" w:hAnsi="Times New Roman" w:cs="Times New Roman"/>
                <w:color w:val="auto"/>
                <w:kern w:val="2"/>
              </w:rPr>
              <w:t>2024年4月对</w:t>
            </w:r>
            <w:r>
              <w:rPr>
                <w:rFonts w:hint="eastAsia" w:ascii="Times New Roman" w:cs="Times New Roman"/>
                <w:color w:val="auto"/>
                <w:kern w:val="2"/>
              </w:rPr>
              <w:t>安徽坤泰车辆动力科技有限公司</w:t>
            </w:r>
            <w:r>
              <w:rPr>
                <w:rFonts w:hint="eastAsia" w:ascii="Times New Roman" w:hAnsi="Times New Roman" w:cs="Times New Roman"/>
                <w:color w:val="auto"/>
                <w:kern w:val="2"/>
              </w:rPr>
              <w:t>开展的噪声自行监测，监测结果见下表。</w:t>
            </w:r>
          </w:p>
          <w:p w14:paraId="1922E588">
            <w:pPr>
              <w:keepNext w:val="0"/>
              <w:keepLines w:val="0"/>
              <w:widowControl w:val="0"/>
              <w:suppressLineNumbers w:val="0"/>
              <w:adjustRightInd w:val="0"/>
              <w:spacing w:before="0" w:beforeAutospacing="0" w:after="0" w:afterAutospacing="0" w:line="360" w:lineRule="auto"/>
              <w:ind w:left="0" w:right="0"/>
              <w:jc w:val="center"/>
              <w:rPr>
                <w:rFonts w:hint="default" w:ascii="Times New Roman" w:hAnsi="黑体" w:eastAsia="黑体" w:cs="Times New Roman"/>
                <w:color w:val="auto"/>
                <w:kern w:val="2"/>
              </w:rPr>
            </w:pPr>
            <w:r>
              <w:rPr>
                <w:rFonts w:hint="default" w:ascii="Times New Roman" w:hAnsi="黑体" w:eastAsia="黑体" w:cs="Times New Roman"/>
                <w:color w:val="auto"/>
                <w:kern w:val="2"/>
              </w:rPr>
              <w:t>表</w:t>
            </w:r>
            <w:r>
              <w:rPr>
                <w:rFonts w:hint="eastAsia" w:ascii="Times New Roman" w:hAnsi="Times New Roman" w:cs="Times New Roman"/>
                <w:color w:val="auto"/>
                <w:kern w:val="2"/>
              </w:rPr>
              <w:t>2-</w:t>
            </w:r>
            <w:r>
              <w:rPr>
                <w:rFonts w:hint="eastAsia" w:ascii="Times New Roman" w:hAnsi="Times New Roman" w:cs="Times New Roman"/>
                <w:color w:val="auto"/>
                <w:kern w:val="2"/>
                <w:lang w:val="en-US" w:eastAsia="zh-CN"/>
              </w:rPr>
              <w:t>16</w:t>
            </w:r>
            <w:r>
              <w:rPr>
                <w:rFonts w:hint="eastAsia" w:ascii="Times New Roman" w:hAnsi="Times New Roman" w:cs="Times New Roman"/>
                <w:color w:val="auto"/>
                <w:kern w:val="2"/>
              </w:rPr>
              <w:t xml:space="preserve">  </w:t>
            </w:r>
            <w:r>
              <w:rPr>
                <w:rFonts w:hint="eastAsia" w:ascii="Times New Roman" w:hAnsi="黑体" w:eastAsia="黑体" w:cs="Times New Roman"/>
                <w:color w:val="auto"/>
                <w:kern w:val="2"/>
              </w:rPr>
              <w:t>厂界噪声监测结果一览表</w:t>
            </w:r>
            <w:r>
              <w:rPr>
                <w:rFonts w:hint="eastAsia"/>
                <w:color w:val="auto"/>
                <w:kern w:val="2"/>
                <w:lang w:val="en-US" w:eastAsia="zh-CN"/>
              </w:rPr>
              <w:t xml:space="preserve">   </w:t>
            </w:r>
            <w:r>
              <w:rPr>
                <w:rFonts w:hint="default" w:ascii="Times New Roman" w:hAnsi="Times New Roman" w:eastAsia="黑体" w:cs="Times New Roman"/>
                <w:color w:val="auto"/>
                <w:kern w:val="24"/>
              </w:rPr>
              <w:t>单位：dB（A）</w:t>
            </w:r>
          </w:p>
          <w:tbl>
            <w:tblPr>
              <w:tblStyle w:val="23"/>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125"/>
              <w:gridCol w:w="1865"/>
              <w:gridCol w:w="1866"/>
              <w:gridCol w:w="1529"/>
            </w:tblGrid>
            <w:tr w14:paraId="040E85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63" w:type="pct"/>
                  <w:vMerge w:val="restart"/>
                  <w:vAlign w:val="center"/>
                </w:tcPr>
                <w:p w14:paraId="5405CAC8">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bCs/>
                      <w:color w:val="auto"/>
                      <w:kern w:val="2"/>
                      <w:sz w:val="21"/>
                      <w:szCs w:val="21"/>
                    </w:rPr>
                  </w:pPr>
                  <w:r>
                    <w:rPr>
                      <w:rFonts w:hint="default" w:ascii="Times New Roman" w:cs="Times New Roman"/>
                      <w:b/>
                      <w:bCs/>
                      <w:color w:val="auto"/>
                      <w:kern w:val="2"/>
                      <w:sz w:val="21"/>
                      <w:szCs w:val="21"/>
                    </w:rPr>
                    <w:t>测点编号</w:t>
                  </w:r>
                </w:p>
              </w:tc>
              <w:tc>
                <w:tcPr>
                  <w:tcW w:w="1112" w:type="pct"/>
                  <w:vAlign w:val="center"/>
                </w:tcPr>
                <w:p w14:paraId="43A80FA8">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202</w:t>
                  </w:r>
                  <w:r>
                    <w:rPr>
                      <w:rFonts w:hint="eastAsia" w:ascii="Times New Roman" w:hAnsi="Times New Roman" w:cs="Times New Roman"/>
                      <w:b/>
                      <w:bCs/>
                      <w:color w:val="auto"/>
                      <w:kern w:val="2"/>
                      <w:sz w:val="21"/>
                      <w:szCs w:val="21"/>
                    </w:rPr>
                    <w:t>4.04.22</w:t>
                  </w:r>
                </w:p>
              </w:tc>
              <w:tc>
                <w:tcPr>
                  <w:tcW w:w="1112" w:type="pct"/>
                  <w:vAlign w:val="center"/>
                </w:tcPr>
                <w:p w14:paraId="73C99A8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202</w:t>
                  </w:r>
                  <w:r>
                    <w:rPr>
                      <w:rFonts w:hint="eastAsia" w:ascii="Times New Roman" w:hAnsi="Times New Roman" w:cs="Times New Roman"/>
                      <w:b/>
                      <w:bCs/>
                      <w:color w:val="auto"/>
                      <w:kern w:val="2"/>
                      <w:sz w:val="21"/>
                      <w:szCs w:val="21"/>
                    </w:rPr>
                    <w:t>4.04.23</w:t>
                  </w:r>
                </w:p>
              </w:tc>
              <w:tc>
                <w:tcPr>
                  <w:tcW w:w="911" w:type="pct"/>
                  <w:tcBorders>
                    <w:bottom w:val="single" w:color="auto" w:sz="4" w:space="0"/>
                  </w:tcBorders>
                  <w:vAlign w:val="center"/>
                </w:tcPr>
                <w:p w14:paraId="3BFD4A0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bCs/>
                      <w:color w:val="auto"/>
                      <w:kern w:val="2"/>
                      <w:sz w:val="21"/>
                      <w:szCs w:val="21"/>
                    </w:rPr>
                  </w:pPr>
                  <w:r>
                    <w:rPr>
                      <w:rFonts w:hint="default" w:ascii="Times New Roman" w:cs="Times New Roman"/>
                      <w:b/>
                      <w:bCs/>
                      <w:color w:val="auto"/>
                      <w:kern w:val="2"/>
                      <w:sz w:val="21"/>
                      <w:szCs w:val="21"/>
                    </w:rPr>
                    <w:t>标准</w:t>
                  </w:r>
                </w:p>
              </w:tc>
            </w:tr>
            <w:tr w14:paraId="3145C3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63" w:type="pct"/>
                  <w:vMerge w:val="continue"/>
                  <w:vAlign w:val="center"/>
                </w:tcPr>
                <w:p w14:paraId="562FD643">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bCs/>
                      <w:color w:val="auto"/>
                      <w:kern w:val="2"/>
                      <w:sz w:val="21"/>
                      <w:szCs w:val="21"/>
                    </w:rPr>
                  </w:pPr>
                </w:p>
              </w:tc>
              <w:tc>
                <w:tcPr>
                  <w:tcW w:w="1112" w:type="pct"/>
                  <w:vAlign w:val="center"/>
                </w:tcPr>
                <w:p w14:paraId="6A4F06A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bCs/>
                      <w:color w:val="auto"/>
                      <w:kern w:val="2"/>
                      <w:sz w:val="21"/>
                      <w:szCs w:val="21"/>
                    </w:rPr>
                  </w:pPr>
                  <w:r>
                    <w:rPr>
                      <w:rFonts w:hint="default" w:ascii="Times New Roman" w:cs="Times New Roman"/>
                      <w:b/>
                      <w:bCs/>
                      <w:color w:val="auto"/>
                      <w:kern w:val="2"/>
                      <w:sz w:val="21"/>
                      <w:szCs w:val="21"/>
                    </w:rPr>
                    <w:t>昼间</w:t>
                  </w:r>
                </w:p>
              </w:tc>
              <w:tc>
                <w:tcPr>
                  <w:tcW w:w="1112" w:type="pct"/>
                  <w:shd w:val="clear" w:color="auto" w:fill="auto"/>
                  <w:vAlign w:val="center"/>
                </w:tcPr>
                <w:p w14:paraId="13809FE8">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bCs/>
                      <w:color w:val="auto"/>
                      <w:kern w:val="2"/>
                      <w:sz w:val="21"/>
                      <w:szCs w:val="21"/>
                    </w:rPr>
                  </w:pPr>
                  <w:r>
                    <w:rPr>
                      <w:rFonts w:hint="default" w:ascii="Times New Roman" w:cs="Times New Roman"/>
                      <w:b/>
                      <w:bCs/>
                      <w:color w:val="auto"/>
                      <w:kern w:val="2"/>
                      <w:sz w:val="21"/>
                      <w:szCs w:val="21"/>
                    </w:rPr>
                    <w:t>昼间</w:t>
                  </w:r>
                </w:p>
              </w:tc>
              <w:tc>
                <w:tcPr>
                  <w:tcW w:w="911" w:type="pct"/>
                  <w:tcBorders>
                    <w:top w:val="single" w:color="auto" w:sz="4" w:space="0"/>
                    <w:right w:val="single" w:color="auto" w:sz="4" w:space="0"/>
                  </w:tcBorders>
                  <w:vAlign w:val="center"/>
                </w:tcPr>
                <w:p w14:paraId="7B7CFC4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bCs/>
                      <w:color w:val="auto"/>
                      <w:kern w:val="2"/>
                      <w:sz w:val="21"/>
                      <w:szCs w:val="21"/>
                    </w:rPr>
                  </w:pPr>
                  <w:r>
                    <w:rPr>
                      <w:rFonts w:hint="default" w:ascii="Times New Roman" w:cs="Times New Roman"/>
                      <w:b/>
                      <w:bCs/>
                      <w:color w:val="auto"/>
                      <w:kern w:val="2"/>
                      <w:sz w:val="21"/>
                      <w:szCs w:val="21"/>
                    </w:rPr>
                    <w:t>昼间</w:t>
                  </w:r>
                </w:p>
              </w:tc>
            </w:tr>
            <w:tr w14:paraId="1F7DCD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63" w:type="pct"/>
                  <w:vAlign w:val="center"/>
                </w:tcPr>
                <w:p w14:paraId="15192632">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cs="Times New Roman"/>
                      <w:bCs/>
                      <w:color w:val="auto"/>
                      <w:kern w:val="2"/>
                      <w:sz w:val="21"/>
                      <w:szCs w:val="21"/>
                    </w:rPr>
                    <w:t>东厂界</w:t>
                  </w:r>
                  <w:r>
                    <w:rPr>
                      <w:rFonts w:hint="default" w:ascii="Times New Roman" w:hAnsi="Times New Roman" w:cs="Times New Roman"/>
                      <w:bCs/>
                      <w:color w:val="auto"/>
                      <w:kern w:val="2"/>
                      <w:sz w:val="21"/>
                      <w:szCs w:val="21"/>
                    </w:rPr>
                    <w:t>N1</w:t>
                  </w:r>
                </w:p>
              </w:tc>
              <w:tc>
                <w:tcPr>
                  <w:tcW w:w="1112" w:type="pct"/>
                  <w:vAlign w:val="center"/>
                </w:tcPr>
                <w:p w14:paraId="18BD66EA">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eastAsia" w:ascii="Times New Roman" w:hAnsi="Times New Roman" w:cs="Times New Roman"/>
                      <w:color w:val="auto"/>
                      <w:kern w:val="2"/>
                      <w:sz w:val="21"/>
                      <w:szCs w:val="22"/>
                    </w:rPr>
                    <w:t>56.7</w:t>
                  </w:r>
                </w:p>
              </w:tc>
              <w:tc>
                <w:tcPr>
                  <w:tcW w:w="1112" w:type="pct"/>
                  <w:vAlign w:val="center"/>
                </w:tcPr>
                <w:p w14:paraId="4A27899C">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57.1</w:t>
                  </w:r>
                </w:p>
              </w:tc>
              <w:tc>
                <w:tcPr>
                  <w:tcW w:w="911" w:type="pct"/>
                  <w:vMerge w:val="restart"/>
                  <w:tcBorders>
                    <w:right w:val="single" w:color="auto" w:sz="4" w:space="0"/>
                  </w:tcBorders>
                  <w:vAlign w:val="center"/>
                </w:tcPr>
                <w:p w14:paraId="33ABBCBD">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kern w:val="2"/>
                      <w:sz w:val="21"/>
                      <w:szCs w:val="21"/>
                    </w:rPr>
                    <w:t>6</w:t>
                  </w:r>
                  <w:r>
                    <w:rPr>
                      <w:rFonts w:hint="eastAsia" w:ascii="Times New Roman" w:hAnsi="Times New Roman" w:cs="Times New Roman"/>
                      <w:bCs/>
                      <w:color w:val="auto"/>
                      <w:kern w:val="2"/>
                      <w:sz w:val="21"/>
                      <w:szCs w:val="21"/>
                    </w:rPr>
                    <w:t>5</w:t>
                  </w:r>
                </w:p>
              </w:tc>
            </w:tr>
            <w:tr w14:paraId="0E0CD0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63" w:type="pct"/>
                  <w:vAlign w:val="center"/>
                </w:tcPr>
                <w:p w14:paraId="094DC5F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cs="Times New Roman"/>
                      <w:bCs/>
                      <w:color w:val="auto"/>
                      <w:kern w:val="2"/>
                      <w:sz w:val="21"/>
                      <w:szCs w:val="21"/>
                    </w:rPr>
                    <w:t>南厂界</w:t>
                  </w:r>
                  <w:r>
                    <w:rPr>
                      <w:rFonts w:hint="default" w:ascii="Times New Roman" w:hAnsi="Times New Roman" w:cs="Times New Roman"/>
                      <w:bCs/>
                      <w:color w:val="auto"/>
                      <w:kern w:val="2"/>
                      <w:sz w:val="21"/>
                      <w:szCs w:val="21"/>
                    </w:rPr>
                    <w:t>N2</w:t>
                  </w:r>
                </w:p>
              </w:tc>
              <w:tc>
                <w:tcPr>
                  <w:tcW w:w="1112" w:type="pct"/>
                  <w:vAlign w:val="center"/>
                </w:tcPr>
                <w:p w14:paraId="279AE933">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eastAsia" w:ascii="Times New Roman" w:hAnsi="Times New Roman" w:cs="Times New Roman"/>
                      <w:color w:val="auto"/>
                      <w:kern w:val="2"/>
                      <w:sz w:val="21"/>
                      <w:szCs w:val="22"/>
                    </w:rPr>
                    <w:t>56.9</w:t>
                  </w:r>
                </w:p>
              </w:tc>
              <w:tc>
                <w:tcPr>
                  <w:tcW w:w="1112" w:type="pct"/>
                  <w:vAlign w:val="center"/>
                </w:tcPr>
                <w:p w14:paraId="42EEF61A">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56.0</w:t>
                  </w:r>
                </w:p>
              </w:tc>
              <w:tc>
                <w:tcPr>
                  <w:tcW w:w="911" w:type="pct"/>
                  <w:vMerge w:val="continue"/>
                  <w:tcBorders>
                    <w:right w:val="single" w:color="auto" w:sz="4" w:space="0"/>
                  </w:tcBorders>
                  <w:vAlign w:val="center"/>
                </w:tcPr>
                <w:p w14:paraId="5D78C53E">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r>
            <w:tr w14:paraId="429143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63" w:type="pct"/>
                  <w:vAlign w:val="center"/>
                </w:tcPr>
                <w:p w14:paraId="68D8D8D6">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cs="Times New Roman"/>
                      <w:bCs/>
                      <w:color w:val="auto"/>
                      <w:kern w:val="2"/>
                      <w:sz w:val="21"/>
                      <w:szCs w:val="21"/>
                    </w:rPr>
                    <w:t>西厂界</w:t>
                  </w:r>
                  <w:r>
                    <w:rPr>
                      <w:rFonts w:hint="default" w:ascii="Times New Roman" w:hAnsi="Times New Roman" w:cs="Times New Roman"/>
                      <w:bCs/>
                      <w:color w:val="auto"/>
                      <w:kern w:val="2"/>
                      <w:sz w:val="21"/>
                      <w:szCs w:val="21"/>
                    </w:rPr>
                    <w:t>N3</w:t>
                  </w:r>
                </w:p>
              </w:tc>
              <w:tc>
                <w:tcPr>
                  <w:tcW w:w="1112" w:type="pct"/>
                  <w:vAlign w:val="center"/>
                </w:tcPr>
                <w:p w14:paraId="2788B656">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eastAsia" w:ascii="Times New Roman" w:hAnsi="Times New Roman" w:cs="Times New Roman"/>
                      <w:color w:val="auto"/>
                      <w:kern w:val="2"/>
                      <w:sz w:val="21"/>
                      <w:szCs w:val="22"/>
                    </w:rPr>
                    <w:t>55.6</w:t>
                  </w:r>
                </w:p>
              </w:tc>
              <w:tc>
                <w:tcPr>
                  <w:tcW w:w="1112" w:type="pct"/>
                  <w:vAlign w:val="center"/>
                </w:tcPr>
                <w:p w14:paraId="172287AD">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51.8</w:t>
                  </w:r>
                </w:p>
              </w:tc>
              <w:tc>
                <w:tcPr>
                  <w:tcW w:w="911" w:type="pct"/>
                  <w:vMerge w:val="continue"/>
                  <w:tcBorders>
                    <w:right w:val="single" w:color="auto" w:sz="4" w:space="0"/>
                  </w:tcBorders>
                  <w:vAlign w:val="center"/>
                </w:tcPr>
                <w:p w14:paraId="2CC3E0B2">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r>
            <w:tr w14:paraId="04FCAF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863" w:type="pct"/>
                  <w:vAlign w:val="center"/>
                </w:tcPr>
                <w:p w14:paraId="50A6B13E">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default" w:ascii="Times New Roman" w:cs="Times New Roman"/>
                      <w:bCs/>
                      <w:color w:val="auto"/>
                      <w:kern w:val="2"/>
                      <w:sz w:val="21"/>
                      <w:szCs w:val="21"/>
                    </w:rPr>
                    <w:t>北厂界</w:t>
                  </w:r>
                  <w:r>
                    <w:rPr>
                      <w:rFonts w:hint="default" w:ascii="Times New Roman" w:hAnsi="Times New Roman" w:cs="Times New Roman"/>
                      <w:bCs/>
                      <w:color w:val="auto"/>
                      <w:kern w:val="2"/>
                      <w:sz w:val="21"/>
                      <w:szCs w:val="21"/>
                    </w:rPr>
                    <w:t>N4</w:t>
                  </w:r>
                </w:p>
              </w:tc>
              <w:tc>
                <w:tcPr>
                  <w:tcW w:w="1112" w:type="pct"/>
                  <w:vAlign w:val="center"/>
                </w:tcPr>
                <w:p w14:paraId="134F0B5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eastAsia" w:ascii="Times New Roman" w:hAnsi="Times New Roman" w:cs="Times New Roman"/>
                      <w:color w:val="auto"/>
                      <w:kern w:val="2"/>
                      <w:sz w:val="21"/>
                      <w:szCs w:val="22"/>
                    </w:rPr>
                    <w:t>58.5</w:t>
                  </w:r>
                </w:p>
              </w:tc>
              <w:tc>
                <w:tcPr>
                  <w:tcW w:w="1112" w:type="pct"/>
                  <w:vAlign w:val="center"/>
                </w:tcPr>
                <w:p w14:paraId="0E2108C2">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r>
                    <w:rPr>
                      <w:rFonts w:hint="eastAsia" w:ascii="Times New Roman" w:hAnsi="Times New Roman" w:cs="Times New Roman"/>
                      <w:bCs/>
                      <w:color w:val="auto"/>
                      <w:kern w:val="2"/>
                      <w:sz w:val="21"/>
                      <w:szCs w:val="21"/>
                    </w:rPr>
                    <w:t>57.6</w:t>
                  </w:r>
                </w:p>
              </w:tc>
              <w:tc>
                <w:tcPr>
                  <w:tcW w:w="911" w:type="pct"/>
                  <w:vMerge w:val="continue"/>
                  <w:tcBorders>
                    <w:right w:val="single" w:color="auto" w:sz="4" w:space="0"/>
                  </w:tcBorders>
                  <w:vAlign w:val="center"/>
                </w:tcPr>
                <w:p w14:paraId="3BD1DAC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Cs/>
                      <w:color w:val="auto"/>
                      <w:kern w:val="2"/>
                      <w:sz w:val="21"/>
                      <w:szCs w:val="21"/>
                    </w:rPr>
                  </w:pPr>
                </w:p>
              </w:tc>
            </w:tr>
          </w:tbl>
          <w:p w14:paraId="3B89178D">
            <w:pPr>
              <w:keepNext w:val="0"/>
              <w:keepLines w:val="0"/>
              <w:widowControl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kern w:val="2"/>
              </w:rPr>
            </w:pPr>
            <w:r>
              <w:rPr>
                <w:rFonts w:hint="default" w:ascii="Times New Roman" w:hAnsi="Times New Roman" w:cs="Times New Roman"/>
                <w:bCs/>
                <w:color w:val="auto"/>
                <w:kern w:val="2"/>
              </w:rPr>
              <w:t>由上表可知，</w:t>
            </w:r>
            <w:r>
              <w:rPr>
                <w:rFonts w:hint="default" w:ascii="Times New Roman" w:hAnsi="Calibri" w:cs="Times New Roman"/>
                <w:color w:val="auto"/>
                <w:kern w:val="2"/>
                <w:szCs w:val="22"/>
              </w:rPr>
              <w:t>厂界昼间噪声最大值为</w:t>
            </w:r>
            <w:r>
              <w:rPr>
                <w:rFonts w:hint="eastAsia" w:ascii="Times New Roman" w:hAnsi="Times New Roman" w:cs="Times New Roman"/>
                <w:color w:val="auto"/>
                <w:kern w:val="2"/>
                <w:szCs w:val="22"/>
              </w:rPr>
              <w:t>58.5</w:t>
            </w:r>
            <w:r>
              <w:rPr>
                <w:rFonts w:hint="default" w:ascii="Times New Roman" w:hAnsi="Times New Roman" w:cs="Times New Roman"/>
                <w:color w:val="auto"/>
                <w:kern w:val="2"/>
                <w:szCs w:val="22"/>
              </w:rPr>
              <w:t>dB</w:t>
            </w:r>
            <w:r>
              <w:rPr>
                <w:rFonts w:hint="default" w:ascii="Times New Roman" w:hAnsi="Calibri" w:cs="Times New Roman"/>
                <w:color w:val="auto"/>
                <w:kern w:val="2"/>
                <w:szCs w:val="22"/>
              </w:rPr>
              <w:t>（</w:t>
            </w:r>
            <w:r>
              <w:rPr>
                <w:rFonts w:hint="default" w:ascii="Times New Roman" w:hAnsi="Times New Roman" w:cs="Times New Roman"/>
                <w:color w:val="auto"/>
                <w:kern w:val="2"/>
                <w:szCs w:val="22"/>
              </w:rPr>
              <w:t>A</w:t>
            </w:r>
            <w:r>
              <w:rPr>
                <w:rFonts w:hint="default" w:ascii="Times New Roman" w:hAnsi="Calibri" w:cs="Times New Roman"/>
                <w:color w:val="auto"/>
                <w:kern w:val="2"/>
                <w:szCs w:val="22"/>
              </w:rPr>
              <w:t>），满足《工业企业厂界环境噪声排放标准》（</w:t>
            </w:r>
            <w:r>
              <w:rPr>
                <w:rFonts w:hint="default" w:ascii="Times New Roman" w:hAnsi="Times New Roman" w:cs="Times New Roman"/>
                <w:color w:val="auto"/>
                <w:kern w:val="2"/>
                <w:szCs w:val="22"/>
              </w:rPr>
              <w:t>GB12348-2008</w:t>
            </w:r>
            <w:r>
              <w:rPr>
                <w:rFonts w:hint="default" w:ascii="Times New Roman" w:hAnsi="Calibri" w:cs="Times New Roman"/>
                <w:color w:val="auto"/>
                <w:kern w:val="2"/>
                <w:szCs w:val="22"/>
              </w:rPr>
              <w:t>）中</w:t>
            </w:r>
            <w:r>
              <w:rPr>
                <w:rFonts w:hint="eastAsia" w:ascii="Times New Roman" w:hAnsi="Times New Roman" w:cs="Times New Roman"/>
                <w:color w:val="auto"/>
                <w:kern w:val="2"/>
                <w:szCs w:val="22"/>
              </w:rPr>
              <w:t>3</w:t>
            </w:r>
            <w:r>
              <w:rPr>
                <w:rFonts w:hint="default" w:ascii="Times New Roman" w:hAnsi="Calibri" w:cs="Times New Roman"/>
                <w:color w:val="auto"/>
                <w:kern w:val="2"/>
                <w:szCs w:val="22"/>
              </w:rPr>
              <w:t>类标准昼间</w:t>
            </w:r>
            <w:r>
              <w:rPr>
                <w:rFonts w:hint="default" w:ascii="Times New Roman" w:hAnsi="Times New Roman" w:cs="Times New Roman"/>
                <w:color w:val="auto"/>
                <w:kern w:val="2"/>
                <w:szCs w:val="22"/>
              </w:rPr>
              <w:t>6</w:t>
            </w:r>
            <w:r>
              <w:rPr>
                <w:rFonts w:hint="eastAsia" w:ascii="Times New Roman" w:hAnsi="Times New Roman" w:cs="Times New Roman"/>
                <w:color w:val="auto"/>
                <w:kern w:val="2"/>
                <w:szCs w:val="22"/>
              </w:rPr>
              <w:t>5</w:t>
            </w:r>
            <w:r>
              <w:rPr>
                <w:rFonts w:hint="default" w:ascii="Times New Roman" w:hAnsi="Times New Roman" w:cs="Times New Roman"/>
                <w:color w:val="auto"/>
                <w:kern w:val="2"/>
                <w:szCs w:val="22"/>
              </w:rPr>
              <w:t>dB</w:t>
            </w:r>
            <w:r>
              <w:rPr>
                <w:rFonts w:hint="default" w:ascii="Times New Roman" w:hAnsi="Calibri" w:cs="Times New Roman"/>
                <w:color w:val="auto"/>
                <w:kern w:val="2"/>
                <w:szCs w:val="22"/>
              </w:rPr>
              <w:t>（</w:t>
            </w:r>
            <w:r>
              <w:rPr>
                <w:rFonts w:hint="default" w:ascii="Times New Roman" w:hAnsi="Times New Roman" w:cs="Times New Roman"/>
                <w:color w:val="auto"/>
                <w:kern w:val="2"/>
                <w:szCs w:val="22"/>
              </w:rPr>
              <w:t>A</w:t>
            </w:r>
            <w:r>
              <w:rPr>
                <w:rFonts w:hint="default" w:ascii="Times New Roman" w:hAnsi="Calibri" w:cs="Times New Roman"/>
                <w:color w:val="auto"/>
                <w:kern w:val="2"/>
                <w:szCs w:val="22"/>
              </w:rPr>
              <w:t>）限值要求；厂界夜间噪声最大值为</w:t>
            </w:r>
            <w:r>
              <w:rPr>
                <w:rFonts w:hint="default" w:ascii="Times New Roman" w:hAnsi="Times New Roman" w:cs="Times New Roman"/>
                <w:color w:val="auto"/>
                <w:kern w:val="2"/>
                <w:szCs w:val="22"/>
              </w:rPr>
              <w:t>4</w:t>
            </w:r>
            <w:r>
              <w:rPr>
                <w:rFonts w:hint="eastAsia" w:ascii="Times New Roman" w:hAnsi="Times New Roman" w:cs="Times New Roman"/>
                <w:color w:val="auto"/>
                <w:kern w:val="2"/>
                <w:szCs w:val="22"/>
              </w:rPr>
              <w:t>7.8</w:t>
            </w:r>
            <w:r>
              <w:rPr>
                <w:rFonts w:hint="default" w:ascii="Times New Roman" w:hAnsi="Times New Roman" w:cs="Times New Roman"/>
                <w:color w:val="auto"/>
                <w:kern w:val="2"/>
                <w:szCs w:val="22"/>
              </w:rPr>
              <w:t>dB</w:t>
            </w:r>
            <w:r>
              <w:rPr>
                <w:rFonts w:hint="default" w:ascii="Times New Roman" w:hAnsi="Calibri" w:cs="Times New Roman"/>
                <w:color w:val="auto"/>
                <w:kern w:val="2"/>
                <w:szCs w:val="22"/>
              </w:rPr>
              <w:t>（</w:t>
            </w:r>
            <w:r>
              <w:rPr>
                <w:rFonts w:hint="default" w:ascii="Times New Roman" w:hAnsi="Times New Roman" w:cs="Times New Roman"/>
                <w:color w:val="auto"/>
                <w:kern w:val="2"/>
                <w:szCs w:val="22"/>
              </w:rPr>
              <w:t>A</w:t>
            </w:r>
            <w:r>
              <w:rPr>
                <w:rFonts w:hint="default" w:ascii="Times New Roman" w:hAnsi="Calibri" w:cs="Times New Roman"/>
                <w:color w:val="auto"/>
                <w:kern w:val="2"/>
                <w:szCs w:val="22"/>
              </w:rPr>
              <w:t>）。厂界噪声达标</w:t>
            </w:r>
            <w:r>
              <w:rPr>
                <w:rFonts w:hint="eastAsia" w:ascii="Calibri" w:hAnsi="Calibri" w:cs="Times New Roman"/>
                <w:color w:val="auto"/>
                <w:kern w:val="2"/>
                <w:szCs w:val="22"/>
              </w:rPr>
              <w:t>。</w:t>
            </w:r>
          </w:p>
          <w:p w14:paraId="7582EF2E">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eastAsia" w:ascii="Times New Roman" w:hAnsi="Times New Roman" w:cs="Times New Roman"/>
                <w:color w:val="auto"/>
                <w:kern w:val="2"/>
              </w:rPr>
              <w:t>（4）固体废物</w:t>
            </w:r>
          </w:p>
          <w:p w14:paraId="7720ED82">
            <w:pPr>
              <w:keepNext w:val="0"/>
              <w:keepLines w:val="0"/>
              <w:widowControl/>
              <w:suppressLineNumbers w:val="0"/>
              <w:autoSpaceDE w:val="0"/>
              <w:autoSpaceDN w:val="0"/>
              <w:spacing w:before="0" w:beforeAutospacing="0" w:after="0" w:afterAutospacing="0" w:line="360" w:lineRule="auto"/>
              <w:ind w:left="0" w:right="0" w:firstLine="480" w:firstLineChars="200"/>
              <w:rPr>
                <w:rFonts w:hint="default" w:ascii="Times New Roman" w:cs="Times New Roman"/>
                <w:color w:val="auto"/>
                <w:kern w:val="2"/>
              </w:rPr>
            </w:pPr>
            <w:r>
              <w:rPr>
                <w:rFonts w:hint="eastAsia" w:ascii="Times New Roman" w:cs="Times New Roman"/>
                <w:color w:val="auto"/>
                <w:kern w:val="2"/>
              </w:rPr>
              <w:t>现有项目固体废物主要包含一般工业固体废物、危险废物和生活垃圾。</w:t>
            </w:r>
          </w:p>
          <w:p w14:paraId="48131408">
            <w:pPr>
              <w:keepNext w:val="0"/>
              <w:keepLines w:val="0"/>
              <w:widowControl/>
              <w:suppressLineNumbers w:val="0"/>
              <w:autoSpaceDE w:val="0"/>
              <w:autoSpaceDN w:val="0"/>
              <w:spacing w:before="0" w:beforeAutospacing="0" w:after="0" w:afterAutospacing="0" w:line="360" w:lineRule="auto"/>
              <w:ind w:left="0" w:right="0" w:firstLine="480" w:firstLineChars="200"/>
              <w:rPr>
                <w:rFonts w:hint="default" w:ascii="Times New Roman" w:cs="Times New Roman"/>
                <w:color w:val="auto"/>
                <w:kern w:val="2"/>
              </w:rPr>
            </w:pPr>
            <w:r>
              <w:rPr>
                <w:rFonts w:hint="eastAsia" w:ascii="Times New Roman" w:cs="Times New Roman"/>
                <w:color w:val="auto"/>
                <w:kern w:val="2"/>
              </w:rPr>
              <w:t>1）一般工业固体废物</w:t>
            </w:r>
          </w:p>
          <w:p w14:paraId="60282DB1">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default" w:ascii="Times New Roman" w:cs="Times New Roman"/>
                <w:color w:val="auto"/>
                <w:kern w:val="2"/>
              </w:rPr>
              <w:t>①</w:t>
            </w:r>
            <w:r>
              <w:rPr>
                <w:rFonts w:hint="default" w:ascii="Times New Roman" w:hAnsi="Times New Roman" w:cs="Times New Roman"/>
                <w:color w:val="auto"/>
                <w:kern w:val="2"/>
              </w:rPr>
              <w:t>不合格零件：</w:t>
            </w:r>
            <w:r>
              <w:rPr>
                <w:rFonts w:hint="eastAsia" w:ascii="Times New Roman" w:cs="Times New Roman"/>
                <w:color w:val="auto"/>
                <w:kern w:val="2"/>
              </w:rPr>
              <w:t>现有</w:t>
            </w:r>
            <w:r>
              <w:rPr>
                <w:rFonts w:hint="default" w:ascii="Times New Roman" w:hAnsi="Times New Roman" w:cs="Times New Roman"/>
                <w:color w:val="auto"/>
                <w:kern w:val="2"/>
              </w:rPr>
              <w:t>项目清洗工序、检测工序会检出不合格零件，产生量7t/a，统一收集后返原厂家处理。</w:t>
            </w:r>
          </w:p>
          <w:p w14:paraId="1D3D5B68">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eastAsia="宋体" w:cs="Times New Roman"/>
                <w:color w:val="auto"/>
                <w:kern w:val="2"/>
                <w:szCs w:val="28"/>
              </w:rPr>
            </w:pPr>
            <w:r>
              <w:rPr>
                <w:rFonts w:hint="eastAsia" w:ascii="Times New Roman" w:hAnsi="Times New Roman" w:eastAsia="宋体" w:cs="Times New Roman"/>
                <w:color w:val="auto"/>
                <w:kern w:val="2"/>
                <w:szCs w:val="28"/>
              </w:rPr>
              <w:t>②</w:t>
            </w:r>
            <w:r>
              <w:rPr>
                <w:rFonts w:hint="default" w:ascii="Times New Roman" w:hAnsi="Times New Roman" w:eastAsia="宋体" w:cs="Times New Roman"/>
                <w:color w:val="auto"/>
                <w:kern w:val="2"/>
                <w:szCs w:val="28"/>
              </w:rPr>
              <w:t>废包装材料：</w:t>
            </w:r>
            <w:r>
              <w:rPr>
                <w:rFonts w:hint="eastAsia" w:ascii="Times New Roman" w:cs="Times New Roman"/>
                <w:color w:val="auto"/>
                <w:kern w:val="2"/>
              </w:rPr>
              <w:t>现有</w:t>
            </w:r>
            <w:r>
              <w:rPr>
                <w:rFonts w:hint="default" w:ascii="Times New Roman" w:hAnsi="Times New Roman" w:eastAsia="宋体" w:cs="Times New Roman"/>
                <w:color w:val="auto"/>
                <w:kern w:val="2"/>
                <w:szCs w:val="28"/>
              </w:rPr>
              <w:t>项目废包装材料产生量为3t/a，统一收集后，外售至废品收购站。</w:t>
            </w:r>
          </w:p>
          <w:p w14:paraId="10701343">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eastAsia="宋体" w:cs="Times New Roman"/>
                <w:color w:val="auto"/>
                <w:kern w:val="2"/>
                <w:szCs w:val="28"/>
              </w:rPr>
            </w:pPr>
            <w:r>
              <w:rPr>
                <w:rFonts w:hint="eastAsia" w:ascii="Times New Roman" w:hAnsi="Times New Roman" w:eastAsia="宋体" w:cs="Times New Roman"/>
                <w:color w:val="auto"/>
                <w:kern w:val="2"/>
                <w:szCs w:val="28"/>
              </w:rPr>
              <w:t>2）危险废物</w:t>
            </w:r>
          </w:p>
          <w:p w14:paraId="59F0CF7A">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eastAsia="宋体" w:cs="Times New Roman"/>
                <w:color w:val="auto"/>
                <w:kern w:val="2"/>
                <w:szCs w:val="28"/>
              </w:rPr>
            </w:pPr>
            <w:r>
              <w:rPr>
                <w:rFonts w:hint="eastAsia" w:ascii="Times New Roman" w:hAnsi="Times New Roman" w:eastAsia="宋体" w:cs="Times New Roman"/>
                <w:color w:val="auto"/>
                <w:kern w:val="2"/>
                <w:szCs w:val="28"/>
              </w:rPr>
              <w:t>①</w:t>
            </w:r>
            <w:r>
              <w:rPr>
                <w:rFonts w:hint="default" w:ascii="Times New Roman" w:hAnsi="Times New Roman" w:eastAsia="宋体" w:cs="Times New Roman"/>
                <w:color w:val="auto"/>
                <w:kern w:val="2"/>
                <w:szCs w:val="28"/>
              </w:rPr>
              <w:t>废活性炭：</w:t>
            </w:r>
            <w:r>
              <w:rPr>
                <w:rFonts w:hint="eastAsia" w:ascii="Times New Roman" w:cs="Times New Roman"/>
                <w:color w:val="auto"/>
                <w:kern w:val="2"/>
              </w:rPr>
              <w:t>现有</w:t>
            </w:r>
            <w:r>
              <w:rPr>
                <w:rFonts w:hint="default" w:ascii="Times New Roman" w:hAnsi="Times New Roman" w:eastAsia="宋体" w:cs="Times New Roman"/>
                <w:color w:val="auto"/>
                <w:kern w:val="2"/>
                <w:szCs w:val="28"/>
              </w:rPr>
              <w:t>项目废活性炭产生量为</w:t>
            </w:r>
            <w:r>
              <w:rPr>
                <w:rFonts w:hint="eastAsia" w:ascii="Times New Roman" w:hAnsi="Times New Roman" w:cs="Times New Roman"/>
                <w:color w:val="auto"/>
                <w:kern w:val="2"/>
                <w:szCs w:val="28"/>
                <w:lang w:val="en-US" w:eastAsia="zh-CN"/>
              </w:rPr>
              <w:t>0.6</w:t>
            </w:r>
            <w:r>
              <w:rPr>
                <w:rFonts w:hint="default" w:ascii="Times New Roman" w:hAnsi="Times New Roman" w:eastAsia="宋体" w:cs="Times New Roman"/>
                <w:color w:val="auto"/>
                <w:kern w:val="2"/>
                <w:szCs w:val="28"/>
              </w:rPr>
              <w:t>t/a。按危险废物管理有关规定送至蚌埠市康城医疗废物集中处置有限公司进行无害化处理。</w:t>
            </w:r>
          </w:p>
          <w:p w14:paraId="5819094D">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eastAsia="宋体" w:cs="Times New Roman"/>
                <w:color w:val="auto"/>
                <w:kern w:val="2"/>
                <w:szCs w:val="28"/>
              </w:rPr>
            </w:pPr>
            <w:r>
              <w:rPr>
                <w:rFonts w:hint="eastAsia" w:ascii="Times New Roman" w:hAnsi="Times New Roman" w:eastAsia="宋体" w:cs="Times New Roman"/>
                <w:color w:val="auto"/>
                <w:kern w:val="2"/>
                <w:szCs w:val="28"/>
              </w:rPr>
              <w:t>②</w:t>
            </w:r>
            <w:r>
              <w:rPr>
                <w:rFonts w:hint="default" w:ascii="Times New Roman" w:hAnsi="Times New Roman" w:eastAsia="宋体" w:cs="Times New Roman"/>
                <w:color w:val="auto"/>
                <w:kern w:val="2"/>
                <w:szCs w:val="28"/>
              </w:rPr>
              <w:t>废润滑油：</w:t>
            </w:r>
            <w:r>
              <w:rPr>
                <w:rFonts w:hint="eastAsia" w:ascii="Times New Roman" w:cs="Times New Roman"/>
                <w:color w:val="auto"/>
                <w:kern w:val="2"/>
              </w:rPr>
              <w:t>现有</w:t>
            </w:r>
            <w:r>
              <w:rPr>
                <w:rFonts w:hint="default" w:ascii="Times New Roman" w:hAnsi="Times New Roman" w:eastAsia="宋体" w:cs="Times New Roman"/>
                <w:color w:val="auto"/>
                <w:kern w:val="2"/>
                <w:szCs w:val="28"/>
              </w:rPr>
              <w:t>项目产生约0.01t/a的废润滑油，按危险废物管理有关规定送至有资质的单位进行无害化处理。</w:t>
            </w:r>
          </w:p>
          <w:p w14:paraId="2E69D6DC">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eastAsia="宋体" w:cs="Times New Roman"/>
                <w:color w:val="auto"/>
                <w:kern w:val="2"/>
                <w:szCs w:val="28"/>
              </w:rPr>
            </w:pPr>
            <w:r>
              <w:rPr>
                <w:rFonts w:hint="eastAsia" w:ascii="Times New Roman" w:hAnsi="Times New Roman" w:eastAsia="宋体" w:cs="Times New Roman"/>
                <w:color w:val="auto"/>
                <w:kern w:val="2"/>
                <w:szCs w:val="28"/>
              </w:rPr>
              <w:t>③</w:t>
            </w:r>
            <w:r>
              <w:rPr>
                <w:rFonts w:hint="default" w:ascii="Times New Roman" w:hAnsi="Times New Roman" w:eastAsia="宋体" w:cs="Times New Roman"/>
                <w:color w:val="auto"/>
                <w:kern w:val="2"/>
                <w:szCs w:val="28"/>
              </w:rPr>
              <w:t>含油抹布：项目维修、产品出库工序会产生含油抹布，清洁产生含油抹布总量为2t/a，收集后委托有资质单位处置。</w:t>
            </w:r>
          </w:p>
          <w:p w14:paraId="316B2F4D">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eastAsia="宋体" w:cs="Times New Roman"/>
                <w:color w:val="auto"/>
                <w:kern w:val="2"/>
                <w:szCs w:val="28"/>
              </w:rPr>
            </w:pPr>
            <w:bookmarkStart w:id="15" w:name="_Hlk112344607"/>
            <w:r>
              <w:rPr>
                <w:rFonts w:hint="eastAsia" w:ascii="Times New Roman" w:hAnsi="Times New Roman" w:eastAsia="宋体" w:cs="Times New Roman"/>
                <w:color w:val="auto"/>
                <w:kern w:val="2"/>
                <w:szCs w:val="28"/>
              </w:rPr>
              <w:t>④</w:t>
            </w:r>
            <w:r>
              <w:rPr>
                <w:rFonts w:hint="default" w:ascii="Times New Roman" w:hAnsi="Times New Roman" w:eastAsia="宋体" w:cs="Times New Roman"/>
                <w:color w:val="auto"/>
                <w:kern w:val="2"/>
                <w:szCs w:val="28"/>
              </w:rPr>
              <w:t>废包装桶：</w:t>
            </w:r>
            <w:r>
              <w:rPr>
                <w:rFonts w:hint="eastAsia" w:ascii="Times New Roman" w:cs="Times New Roman"/>
                <w:color w:val="auto"/>
                <w:kern w:val="2"/>
              </w:rPr>
              <w:t>现有</w:t>
            </w:r>
            <w:r>
              <w:rPr>
                <w:rFonts w:hint="default" w:ascii="Times New Roman" w:hAnsi="Times New Roman" w:eastAsia="宋体" w:cs="Times New Roman"/>
                <w:color w:val="auto"/>
                <w:kern w:val="2"/>
                <w:szCs w:val="28"/>
              </w:rPr>
              <w:t>项目的废桶产生量为</w:t>
            </w:r>
            <w:r>
              <w:rPr>
                <w:rFonts w:hint="eastAsia" w:ascii="Times New Roman" w:hAnsi="Times New Roman" w:cs="Times New Roman"/>
                <w:color w:val="auto"/>
                <w:kern w:val="2"/>
                <w:szCs w:val="28"/>
                <w:lang w:val="en-US" w:eastAsia="zh-CN"/>
              </w:rPr>
              <w:t>0.5</w:t>
            </w:r>
            <w:r>
              <w:rPr>
                <w:rFonts w:hint="default" w:ascii="Times New Roman" w:hAnsi="Times New Roman" w:eastAsia="宋体" w:cs="Times New Roman"/>
                <w:color w:val="auto"/>
                <w:kern w:val="2"/>
                <w:szCs w:val="28"/>
              </w:rPr>
              <w:t>t/a。按照危险废物管理要求进行贮存、转移，收集后交由有资质单位处理。</w:t>
            </w:r>
          </w:p>
          <w:p w14:paraId="70443EEF">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eastAsia="宋体" w:cs="Times New Roman"/>
                <w:color w:val="auto"/>
                <w:kern w:val="2"/>
                <w:szCs w:val="28"/>
              </w:rPr>
            </w:pPr>
            <w:r>
              <w:rPr>
                <w:rFonts w:hint="eastAsia" w:ascii="Times New Roman" w:hAnsi="Times New Roman" w:eastAsia="宋体" w:cs="Times New Roman"/>
                <w:color w:val="auto"/>
                <w:kern w:val="2"/>
                <w:szCs w:val="28"/>
              </w:rPr>
              <w:t>⑤</w:t>
            </w:r>
            <w:r>
              <w:rPr>
                <w:rFonts w:hint="default" w:ascii="Times New Roman" w:hAnsi="Times New Roman" w:eastAsia="宋体" w:cs="Times New Roman"/>
                <w:color w:val="auto"/>
                <w:kern w:val="2"/>
                <w:szCs w:val="28"/>
              </w:rPr>
              <w:t>废胶管：</w:t>
            </w:r>
            <w:r>
              <w:rPr>
                <w:rFonts w:hint="eastAsia" w:ascii="Times New Roman" w:cs="Times New Roman"/>
                <w:color w:val="auto"/>
                <w:kern w:val="2"/>
              </w:rPr>
              <w:t>现有</w:t>
            </w:r>
            <w:r>
              <w:rPr>
                <w:rFonts w:hint="default" w:ascii="Times New Roman" w:hAnsi="Times New Roman" w:eastAsia="宋体" w:cs="Times New Roman"/>
                <w:color w:val="auto"/>
                <w:kern w:val="2"/>
                <w:szCs w:val="28"/>
              </w:rPr>
              <w:t>项目使用的密封胶产生废胶管产生量为0.0</w:t>
            </w:r>
            <w:r>
              <w:rPr>
                <w:rFonts w:hint="eastAsia" w:ascii="Times New Roman" w:hAnsi="Times New Roman" w:cs="Times New Roman"/>
                <w:color w:val="auto"/>
                <w:kern w:val="2"/>
                <w:szCs w:val="28"/>
                <w:lang w:val="en-US" w:eastAsia="zh-CN"/>
              </w:rPr>
              <w:t>2</w:t>
            </w:r>
            <w:r>
              <w:rPr>
                <w:rFonts w:hint="default" w:ascii="Times New Roman" w:hAnsi="Times New Roman" w:eastAsia="宋体" w:cs="Times New Roman"/>
                <w:color w:val="auto"/>
                <w:kern w:val="2"/>
                <w:szCs w:val="28"/>
              </w:rPr>
              <w:t>t/a。按照危险废物管理要求进行贮存、转移，收集后交由蚌埠市康城医疗废物集中处置有限公司处理。</w:t>
            </w:r>
          </w:p>
          <w:p w14:paraId="4FFCE474">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eastAsia="宋体" w:cs="Times New Roman"/>
                <w:color w:val="auto"/>
                <w:kern w:val="2"/>
                <w:szCs w:val="28"/>
              </w:rPr>
            </w:pPr>
            <w:r>
              <w:rPr>
                <w:rFonts w:hint="eastAsia" w:ascii="Times New Roman" w:hAnsi="Times New Roman" w:eastAsia="宋体" w:cs="Times New Roman"/>
                <w:color w:val="auto"/>
                <w:kern w:val="2"/>
                <w:szCs w:val="28"/>
              </w:rPr>
              <w:t>⑥</w:t>
            </w:r>
            <w:r>
              <w:rPr>
                <w:rFonts w:hint="default" w:ascii="Times New Roman" w:hAnsi="Times New Roman" w:eastAsia="宋体" w:cs="Times New Roman"/>
                <w:color w:val="auto"/>
                <w:kern w:val="2"/>
                <w:szCs w:val="28"/>
              </w:rPr>
              <w:t>碳氢清洗蒸馏废液：本项目清洗过程中产生碳氢蒸馏废液产生量为1.04t/a，作为危险废物，定期委托蚌埠市康城医疗废物集中处置有限公司处置</w:t>
            </w:r>
          </w:p>
          <w:p w14:paraId="75BB3553">
            <w:pPr>
              <w:keepNext w:val="0"/>
              <w:keepLines w:val="0"/>
              <w:widowControl/>
              <w:suppressLineNumbers w:val="0"/>
              <w:adjustRightInd w:val="0"/>
              <w:snapToGrid w:val="0"/>
              <w:spacing w:before="0" w:beforeAutospacing="0" w:after="0" w:afterAutospacing="0" w:line="360" w:lineRule="auto"/>
              <w:ind w:left="0" w:right="0" w:firstLine="470" w:firstLineChars="196"/>
              <w:rPr>
                <w:rFonts w:hint="default" w:ascii="Times New Roman" w:hAnsi="Times New Roman" w:eastAsia="宋体" w:cs="Times New Roman"/>
                <w:color w:val="auto"/>
                <w:kern w:val="2"/>
                <w:szCs w:val="28"/>
              </w:rPr>
            </w:pPr>
            <w:r>
              <w:rPr>
                <w:rFonts w:hint="eastAsia" w:ascii="Times New Roman" w:hAnsi="Times New Roman" w:eastAsia="宋体" w:cs="Times New Roman"/>
                <w:color w:val="auto"/>
                <w:kern w:val="2"/>
                <w:szCs w:val="28"/>
              </w:rPr>
              <w:t>⑦</w:t>
            </w:r>
            <w:r>
              <w:rPr>
                <w:rFonts w:hint="default" w:ascii="Times New Roman" w:hAnsi="Times New Roman" w:eastAsia="宋体" w:cs="Times New Roman"/>
                <w:color w:val="auto"/>
                <w:kern w:val="2"/>
                <w:szCs w:val="28"/>
              </w:rPr>
              <w:t>废槽液：</w:t>
            </w:r>
            <w:r>
              <w:rPr>
                <w:rFonts w:hint="eastAsia" w:ascii="Times New Roman" w:cs="Times New Roman"/>
                <w:color w:val="auto"/>
                <w:kern w:val="2"/>
              </w:rPr>
              <w:t>现有</w:t>
            </w:r>
            <w:r>
              <w:rPr>
                <w:rFonts w:hint="default" w:ascii="Times New Roman" w:hAnsi="Times New Roman" w:eastAsia="宋体" w:cs="Times New Roman"/>
                <w:color w:val="auto"/>
                <w:kern w:val="2"/>
                <w:szCs w:val="28"/>
              </w:rPr>
              <w:t>项目废槽液产生量为2.16t/a。按照危险废物管理要求进行贮存、转移，收集后交由蚌埠市康城医疗废物集中处置有限公司处理。</w:t>
            </w:r>
          </w:p>
          <w:p w14:paraId="36AC92D9">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eastAsia"/>
                <w:color w:val="auto"/>
                <w:kern w:val="2"/>
              </w:rPr>
              <w:t>⑧</w:t>
            </w:r>
            <w:r>
              <w:rPr>
                <w:rFonts w:hint="default" w:ascii="Times New Roman" w:hAnsi="Times New Roman" w:cs="Times New Roman"/>
                <w:color w:val="auto"/>
                <w:kern w:val="2"/>
              </w:rPr>
              <w:t>废滤芯：</w:t>
            </w:r>
            <w:r>
              <w:rPr>
                <w:rFonts w:hint="eastAsia" w:ascii="Times New Roman" w:cs="Times New Roman"/>
                <w:color w:val="auto"/>
                <w:kern w:val="2"/>
              </w:rPr>
              <w:t>现有</w:t>
            </w:r>
            <w:r>
              <w:rPr>
                <w:rFonts w:hint="default" w:ascii="Times New Roman" w:hAnsi="Times New Roman" w:cs="Times New Roman"/>
                <w:color w:val="auto"/>
                <w:kern w:val="2"/>
              </w:rPr>
              <w:t>项目碳氢清洗机清洗工件时会有少许金属碎屑残留，设备配套设置过滤系统，过滤系统中的滤芯需定期更换，废滤芯（含滤渣）产生量约为0.6t/a。按照危险废物管理要求进行贮存、转移，收集后交由</w:t>
            </w:r>
            <w:r>
              <w:rPr>
                <w:rFonts w:hint="default" w:ascii="Times New Roman" w:hAnsi="Times New Roman" w:eastAsia="宋体" w:cs="Times New Roman"/>
                <w:color w:val="auto"/>
                <w:kern w:val="2"/>
                <w:szCs w:val="28"/>
              </w:rPr>
              <w:t>蚌埠市康城医疗废物集中处置有限公司</w:t>
            </w:r>
            <w:r>
              <w:rPr>
                <w:rFonts w:hint="default" w:ascii="Times New Roman" w:hAnsi="Times New Roman" w:cs="Times New Roman"/>
                <w:color w:val="auto"/>
                <w:kern w:val="2"/>
              </w:rPr>
              <w:t>处理。</w:t>
            </w:r>
          </w:p>
          <w:bookmarkEnd w:id="15"/>
          <w:p w14:paraId="5ECE064E">
            <w:pPr>
              <w:keepNext w:val="0"/>
              <w:keepLines w:val="0"/>
              <w:widowControl/>
              <w:suppressLineNumbers w:val="0"/>
              <w:spacing w:before="0" w:beforeAutospacing="0" w:after="0" w:afterAutospacing="0" w:line="360" w:lineRule="auto"/>
              <w:ind w:left="0" w:right="0" w:firstLine="480" w:firstLineChars="200"/>
              <w:rPr>
                <w:rFonts w:hint="default" w:ascii="Times New Roman" w:cs="Times New Roman"/>
                <w:color w:val="auto"/>
                <w:kern w:val="2"/>
              </w:rPr>
            </w:pPr>
            <w:r>
              <w:rPr>
                <w:rFonts w:hint="eastAsia" w:ascii="Times New Roman" w:cs="Times New Roman"/>
                <w:color w:val="auto"/>
                <w:kern w:val="2"/>
              </w:rPr>
              <w:t>（3）生活垃圾：</w:t>
            </w:r>
            <w:r>
              <w:rPr>
                <w:rFonts w:hint="default" w:ascii="Times New Roman" w:hAnsi="Times New Roman" w:cs="Times New Roman"/>
                <w:color w:val="auto"/>
                <w:kern w:val="2"/>
              </w:rPr>
              <w:t>本项目营运期劳动定员300人，年工作时间260天，生活垃圾产生量为39t/a（150kg/d），委托当地环卫部门进行清运处理。</w:t>
            </w:r>
          </w:p>
          <w:p w14:paraId="1AEDDA13">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eastAsia" w:ascii="Times New Roman" w:hAnsi="Times New Roman" w:cs="Times New Roman"/>
                <w:color w:val="auto"/>
                <w:kern w:val="2"/>
              </w:rPr>
              <w:t>4、现有工程污染物产排情况</w:t>
            </w:r>
          </w:p>
          <w:p w14:paraId="300613EB">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eastAsia" w:ascii="Times New Roman" w:hAnsi="Times New Roman" w:cs="Times New Roman"/>
                <w:color w:val="auto"/>
                <w:kern w:val="2"/>
              </w:rPr>
              <w:t>1）废气</w:t>
            </w:r>
          </w:p>
          <w:p w14:paraId="24DA3290">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eastAsia" w:ascii="Times New Roman" w:hAnsi="Times New Roman" w:cs="Times New Roman"/>
                <w:color w:val="auto"/>
                <w:kern w:val="2"/>
              </w:rPr>
              <w:t>DA001排气筒非甲烷总烃排放量</w:t>
            </w:r>
          </w:p>
          <w:p w14:paraId="117069F4">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eastAsia" w:ascii="Times New Roman" w:hAnsi="Times New Roman" w:cs="Times New Roman"/>
                <w:color w:val="auto"/>
                <w:kern w:val="2"/>
              </w:rPr>
              <w:t>根据DA001排气筒非甲烷总烃监测数据，非甲烷总烃排放速率平均值为1.73×10</w:t>
            </w:r>
            <w:r>
              <w:rPr>
                <w:rFonts w:hint="eastAsia" w:ascii="Times New Roman" w:hAnsi="Times New Roman" w:cs="Times New Roman"/>
                <w:color w:val="auto"/>
                <w:kern w:val="2"/>
                <w:vertAlign w:val="superscript"/>
              </w:rPr>
              <w:t>-2</w:t>
            </w:r>
            <w:r>
              <w:rPr>
                <w:rFonts w:hint="eastAsia" w:ascii="Times New Roman" w:hAnsi="Times New Roman" w:cs="Times New Roman"/>
                <w:color w:val="auto"/>
                <w:kern w:val="2"/>
              </w:rPr>
              <w:t>kg/h，年工作时间为2080h，则DA001排气筒非甲烷总烃排放量为：</w:t>
            </w:r>
          </w:p>
          <w:p w14:paraId="15933CCC">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color w:val="auto"/>
                <w:kern w:val="2"/>
              </w:rPr>
            </w:pPr>
            <w:r>
              <w:rPr>
                <w:rFonts w:hint="eastAsia" w:ascii="Times New Roman" w:hAnsi="Times New Roman" w:cs="Times New Roman"/>
                <w:color w:val="auto"/>
                <w:kern w:val="2"/>
              </w:rPr>
              <w:t>1.73×10</w:t>
            </w:r>
            <w:r>
              <w:rPr>
                <w:rFonts w:hint="eastAsia" w:ascii="Times New Roman" w:hAnsi="Times New Roman" w:cs="Times New Roman"/>
                <w:color w:val="auto"/>
                <w:kern w:val="2"/>
                <w:vertAlign w:val="superscript"/>
              </w:rPr>
              <w:t>-2</w:t>
            </w:r>
            <w:r>
              <w:rPr>
                <w:rFonts w:hint="eastAsia" w:ascii="Times New Roman" w:hAnsi="Times New Roman" w:cs="Times New Roman"/>
                <w:color w:val="auto"/>
                <w:kern w:val="2"/>
              </w:rPr>
              <w:t>kg/h×2080h</w:t>
            </w:r>
            <w:r>
              <w:rPr>
                <w:rFonts w:hint="eastAsia" w:ascii="Times New Roman" w:hAnsi="Times New Roman" w:cs="Times New Roman"/>
                <w:bCs/>
                <w:color w:val="auto"/>
                <w:kern w:val="2"/>
              </w:rPr>
              <w:t>÷1000</w:t>
            </w:r>
            <w:r>
              <w:rPr>
                <w:rFonts w:hint="eastAsia" w:ascii="Times New Roman" w:hAnsi="Times New Roman" w:cs="Times New Roman"/>
                <w:color w:val="auto"/>
                <w:kern w:val="2"/>
              </w:rPr>
              <w:t>=0.036t/a。</w:t>
            </w:r>
          </w:p>
          <w:p w14:paraId="0C450F93">
            <w:pPr>
              <w:keepNext w:val="0"/>
              <w:keepLines w:val="0"/>
              <w:widowControl w:val="0"/>
              <w:suppressLineNumbers w:val="0"/>
              <w:adjustRightInd w:val="0"/>
              <w:spacing w:before="0" w:beforeAutospacing="0" w:after="0" w:afterAutospacing="0" w:line="360" w:lineRule="auto"/>
              <w:ind w:left="0" w:right="0"/>
              <w:jc w:val="center"/>
              <w:rPr>
                <w:rFonts w:hint="default" w:ascii="Times New Roman" w:hAnsi="Times New Roman" w:cs="Times New Roman"/>
                <w:color w:val="auto"/>
                <w:kern w:val="2"/>
              </w:rPr>
            </w:pPr>
            <w:r>
              <w:rPr>
                <w:rFonts w:hint="eastAsia" w:ascii="黑体" w:hAnsi="黑体" w:eastAsia="黑体" w:cs="Times New Roman"/>
                <w:color w:val="auto"/>
                <w:kern w:val="2"/>
              </w:rPr>
              <w:t>表</w:t>
            </w:r>
            <w:r>
              <w:rPr>
                <w:rFonts w:hint="eastAsia" w:ascii="Times New Roman" w:hAnsi="Times New Roman" w:cs="Times New Roman"/>
                <w:color w:val="auto"/>
                <w:kern w:val="2"/>
              </w:rPr>
              <w:t>2-</w:t>
            </w:r>
            <w:r>
              <w:rPr>
                <w:rFonts w:hint="eastAsia" w:ascii="Times New Roman" w:hAnsi="Times New Roman" w:cs="Times New Roman"/>
                <w:color w:val="auto"/>
                <w:kern w:val="2"/>
                <w:lang w:val="en-US" w:eastAsia="zh-CN"/>
              </w:rPr>
              <w:t>17</w:t>
            </w:r>
            <w:r>
              <w:rPr>
                <w:rFonts w:hint="eastAsia" w:ascii="Times New Roman" w:hAnsi="Times New Roman" w:cs="Times New Roman"/>
                <w:color w:val="auto"/>
                <w:kern w:val="2"/>
              </w:rPr>
              <w:t xml:space="preserve">  </w:t>
            </w:r>
            <w:r>
              <w:rPr>
                <w:rFonts w:hint="eastAsia" w:ascii="黑体" w:hAnsi="黑体" w:eastAsia="黑体" w:cs="Times New Roman"/>
                <w:color w:val="auto"/>
                <w:kern w:val="2"/>
              </w:rPr>
              <w:t>现有工程产排污情况一览表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964"/>
              <w:gridCol w:w="3996"/>
              <w:gridCol w:w="504"/>
              <w:gridCol w:w="748"/>
              <w:gridCol w:w="1440"/>
            </w:tblGrid>
            <w:tr w14:paraId="495D81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33EF74E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2"/>
                    </w:rPr>
                  </w:pPr>
                  <w:r>
                    <w:rPr>
                      <w:rFonts w:hint="default" w:ascii="Times New Roman" w:hAnsi="Calibri" w:cs="Times New Roman"/>
                      <w:b/>
                      <w:color w:val="auto"/>
                      <w:kern w:val="2"/>
                      <w:sz w:val="21"/>
                      <w:szCs w:val="22"/>
                    </w:rPr>
                    <w:t>污染物种类</w:t>
                  </w:r>
                </w:p>
              </w:tc>
              <w:tc>
                <w:tcPr>
                  <w:tcW w:w="4960" w:type="dxa"/>
                  <w:gridSpan w:val="2"/>
                  <w:vAlign w:val="center"/>
                </w:tcPr>
                <w:p w14:paraId="72E9A0B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2"/>
                    </w:rPr>
                  </w:pPr>
                  <w:r>
                    <w:rPr>
                      <w:rFonts w:hint="default" w:ascii="Times New Roman" w:hAnsi="Calibri" w:cs="Times New Roman"/>
                      <w:b/>
                      <w:color w:val="auto"/>
                      <w:kern w:val="2"/>
                      <w:sz w:val="21"/>
                      <w:szCs w:val="22"/>
                    </w:rPr>
                    <w:t>污染物名称</w:t>
                  </w:r>
                </w:p>
              </w:tc>
              <w:tc>
                <w:tcPr>
                  <w:tcW w:w="504" w:type="dxa"/>
                  <w:vAlign w:val="center"/>
                </w:tcPr>
                <w:p w14:paraId="0B60DE3B">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b/>
                      <w:color w:val="auto"/>
                      <w:kern w:val="2"/>
                      <w:sz w:val="21"/>
                      <w:szCs w:val="22"/>
                    </w:rPr>
                  </w:pPr>
                  <w:r>
                    <w:rPr>
                      <w:rFonts w:hint="default" w:ascii="Times New Roman" w:hAnsi="Calibri" w:cs="Times New Roman"/>
                      <w:b/>
                      <w:color w:val="auto"/>
                      <w:kern w:val="2"/>
                      <w:sz w:val="21"/>
                      <w:szCs w:val="22"/>
                    </w:rPr>
                    <w:t>单位</w:t>
                  </w:r>
                </w:p>
              </w:tc>
              <w:tc>
                <w:tcPr>
                  <w:tcW w:w="748" w:type="dxa"/>
                  <w:vAlign w:val="center"/>
                </w:tcPr>
                <w:p w14:paraId="634603B7">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b/>
                      <w:color w:val="auto"/>
                      <w:kern w:val="2"/>
                      <w:sz w:val="21"/>
                      <w:szCs w:val="22"/>
                    </w:rPr>
                  </w:pPr>
                  <w:r>
                    <w:rPr>
                      <w:rFonts w:hint="default" w:ascii="Times New Roman" w:hAnsi="Calibri" w:cs="Times New Roman"/>
                      <w:b/>
                      <w:color w:val="auto"/>
                      <w:kern w:val="2"/>
                      <w:sz w:val="21"/>
                      <w:szCs w:val="22"/>
                    </w:rPr>
                    <w:t>排放量</w:t>
                  </w:r>
                </w:p>
              </w:tc>
              <w:tc>
                <w:tcPr>
                  <w:tcW w:w="1440" w:type="dxa"/>
                  <w:vAlign w:val="center"/>
                </w:tcPr>
                <w:p w14:paraId="203C8B69">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b/>
                      <w:color w:val="auto"/>
                      <w:kern w:val="2"/>
                      <w:sz w:val="21"/>
                      <w:szCs w:val="22"/>
                    </w:rPr>
                  </w:pPr>
                  <w:r>
                    <w:rPr>
                      <w:rFonts w:hint="default" w:ascii="Times New Roman" w:hAnsi="Calibri" w:cs="Times New Roman"/>
                      <w:b/>
                      <w:color w:val="auto"/>
                      <w:kern w:val="2"/>
                      <w:sz w:val="21"/>
                      <w:szCs w:val="22"/>
                    </w:rPr>
                    <w:t>原环评中排放量</w:t>
                  </w:r>
                </w:p>
              </w:tc>
            </w:tr>
            <w:tr w14:paraId="361B5F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Align w:val="center"/>
                </w:tcPr>
                <w:p w14:paraId="778EE0E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eastAsia" w:ascii="Times New Roman" w:hAnsi="Times New Roman" w:cs="Times New Roman"/>
                      <w:color w:val="auto"/>
                      <w:kern w:val="2"/>
                      <w:sz w:val="21"/>
                      <w:szCs w:val="22"/>
                    </w:rPr>
                    <w:t>废气</w:t>
                  </w:r>
                </w:p>
              </w:tc>
              <w:tc>
                <w:tcPr>
                  <w:tcW w:w="4960" w:type="dxa"/>
                  <w:gridSpan w:val="2"/>
                  <w:vAlign w:val="center"/>
                </w:tcPr>
                <w:p w14:paraId="3222538F">
                  <w:pPr>
                    <w:keepNext w:val="0"/>
                    <w:keepLines w:val="0"/>
                    <w:widowControl w:val="0"/>
                    <w:suppressLineNumbers w:val="0"/>
                    <w:adjustRightInd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Calibri" w:cs="Times New Roman"/>
                      <w:color w:val="auto"/>
                      <w:kern w:val="2"/>
                      <w:sz w:val="21"/>
                      <w:szCs w:val="21"/>
                    </w:rPr>
                    <w:t>非甲烷总烃</w:t>
                  </w:r>
                </w:p>
              </w:tc>
              <w:tc>
                <w:tcPr>
                  <w:tcW w:w="504" w:type="dxa"/>
                  <w:vAlign w:val="center"/>
                </w:tcPr>
                <w:p w14:paraId="57B540D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default" w:ascii="Times New Roman" w:hAnsi="Times New Roman" w:cs="Times New Roman"/>
                      <w:color w:val="auto"/>
                      <w:kern w:val="2"/>
                      <w:sz w:val="21"/>
                      <w:szCs w:val="22"/>
                    </w:rPr>
                    <w:t>t/a</w:t>
                  </w:r>
                </w:p>
              </w:tc>
              <w:tc>
                <w:tcPr>
                  <w:tcW w:w="748" w:type="dxa"/>
                  <w:vAlign w:val="center"/>
                </w:tcPr>
                <w:p w14:paraId="45C88158">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default" w:ascii="Times New Roman" w:hAnsi="Times New Roman" w:cs="Times New Roman"/>
                      <w:color w:val="auto"/>
                      <w:kern w:val="2"/>
                      <w:sz w:val="21"/>
                      <w:szCs w:val="22"/>
                    </w:rPr>
                    <w:t>0.</w:t>
                  </w:r>
                  <w:r>
                    <w:rPr>
                      <w:rFonts w:hint="eastAsia" w:ascii="Times New Roman" w:hAnsi="Times New Roman" w:cs="Times New Roman"/>
                      <w:color w:val="auto"/>
                      <w:kern w:val="2"/>
                      <w:sz w:val="21"/>
                      <w:szCs w:val="22"/>
                    </w:rPr>
                    <w:t>036</w:t>
                  </w:r>
                </w:p>
              </w:tc>
              <w:tc>
                <w:tcPr>
                  <w:tcW w:w="1440" w:type="dxa"/>
                  <w:vAlign w:val="center"/>
                </w:tcPr>
                <w:p w14:paraId="3F2AC82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default" w:ascii="Times New Roman" w:hAnsi="Times New Roman" w:cs="Times New Roman"/>
                      <w:color w:val="auto"/>
                      <w:kern w:val="2"/>
                      <w:sz w:val="21"/>
                      <w:szCs w:val="22"/>
                    </w:rPr>
                    <w:t>0.454</w:t>
                  </w:r>
                </w:p>
              </w:tc>
            </w:tr>
            <w:tr w14:paraId="703A9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restart"/>
                  <w:vAlign w:val="center"/>
                </w:tcPr>
                <w:p w14:paraId="347FDA93">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default" w:ascii="Times New Roman" w:hAnsi="Times New Roman" w:cs="Times New Roman"/>
                      <w:color w:val="auto"/>
                      <w:kern w:val="2"/>
                      <w:sz w:val="21"/>
                      <w:szCs w:val="22"/>
                    </w:rPr>
                    <w:t>固体废物</w:t>
                  </w:r>
                </w:p>
              </w:tc>
              <w:tc>
                <w:tcPr>
                  <w:tcW w:w="964" w:type="dxa"/>
                  <w:vMerge w:val="restart"/>
                  <w:vAlign w:val="center"/>
                </w:tcPr>
                <w:p w14:paraId="4DC55CD6">
                  <w:pPr>
                    <w:keepNext w:val="0"/>
                    <w:keepLines w:val="0"/>
                    <w:widowControl w:val="0"/>
                    <w:suppressLineNumbers w:val="0"/>
                    <w:adjustRightInd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default" w:ascii="Times New Roman" w:hAnsi="Calibri" w:cs="Times New Roman"/>
                      <w:color w:val="auto"/>
                      <w:kern w:val="2"/>
                      <w:sz w:val="21"/>
                      <w:szCs w:val="21"/>
                    </w:rPr>
                    <w:t>一般工业固体废物</w:t>
                  </w:r>
                </w:p>
              </w:tc>
              <w:tc>
                <w:tcPr>
                  <w:tcW w:w="3996" w:type="dxa"/>
                  <w:vAlign w:val="center"/>
                </w:tcPr>
                <w:p w14:paraId="6CA4F9CB">
                  <w:pPr>
                    <w:keepNext w:val="0"/>
                    <w:keepLines w:val="0"/>
                    <w:widowControl w:val="0"/>
                    <w:suppressLineNumbers w:val="0"/>
                    <w:adjustRightInd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default" w:ascii="Times New Roman" w:hAnsi="Calibri" w:cs="Times New Roman"/>
                      <w:color w:val="auto"/>
                      <w:kern w:val="2"/>
                      <w:sz w:val="21"/>
                      <w:szCs w:val="21"/>
                    </w:rPr>
                    <w:t>不合格零件</w:t>
                  </w:r>
                </w:p>
              </w:tc>
              <w:tc>
                <w:tcPr>
                  <w:tcW w:w="504" w:type="dxa"/>
                  <w:vAlign w:val="center"/>
                </w:tcPr>
                <w:p w14:paraId="3A5D6653">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default" w:ascii="Times New Roman" w:hAnsi="Times New Roman" w:cs="Times New Roman"/>
                      <w:color w:val="auto"/>
                      <w:kern w:val="2"/>
                      <w:sz w:val="21"/>
                      <w:szCs w:val="22"/>
                    </w:rPr>
                    <w:t>t/a</w:t>
                  </w:r>
                </w:p>
              </w:tc>
              <w:tc>
                <w:tcPr>
                  <w:tcW w:w="748" w:type="dxa"/>
                  <w:vAlign w:val="center"/>
                </w:tcPr>
                <w:p w14:paraId="0ECB591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eastAsia" w:ascii="Times New Roman" w:hAnsi="Times New Roman" w:cs="Times New Roman"/>
                      <w:color w:val="auto"/>
                      <w:kern w:val="2"/>
                      <w:sz w:val="21"/>
                      <w:szCs w:val="22"/>
                    </w:rPr>
                    <w:t>2</w:t>
                  </w:r>
                </w:p>
              </w:tc>
              <w:tc>
                <w:tcPr>
                  <w:tcW w:w="1440" w:type="dxa"/>
                  <w:vAlign w:val="center"/>
                </w:tcPr>
                <w:p w14:paraId="330B6186">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eastAsia" w:ascii="Times New Roman" w:hAnsi="Times New Roman" w:cs="Times New Roman"/>
                      <w:color w:val="auto"/>
                      <w:kern w:val="2"/>
                      <w:sz w:val="21"/>
                      <w:szCs w:val="22"/>
                    </w:rPr>
                    <w:t>7</w:t>
                  </w:r>
                </w:p>
              </w:tc>
            </w:tr>
            <w:tr w14:paraId="55A0A0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14:paraId="00B005C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p>
              </w:tc>
              <w:tc>
                <w:tcPr>
                  <w:tcW w:w="964" w:type="dxa"/>
                  <w:vMerge w:val="continue"/>
                  <w:vAlign w:val="center"/>
                </w:tcPr>
                <w:p w14:paraId="4049AF50">
                  <w:pPr>
                    <w:keepNext w:val="0"/>
                    <w:keepLines w:val="0"/>
                    <w:widowControl w:val="0"/>
                    <w:suppressLineNumbers w:val="0"/>
                    <w:adjustRightInd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3996" w:type="dxa"/>
                  <w:vAlign w:val="center"/>
                </w:tcPr>
                <w:p w14:paraId="65745638">
                  <w:pPr>
                    <w:keepNext w:val="0"/>
                    <w:keepLines w:val="0"/>
                    <w:widowControl w:val="0"/>
                    <w:suppressLineNumbers w:val="0"/>
                    <w:adjustRightInd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default" w:ascii="Times New Roman" w:hAnsi="Calibri" w:cs="Times New Roman"/>
                      <w:color w:val="auto"/>
                      <w:kern w:val="2"/>
                      <w:sz w:val="21"/>
                      <w:szCs w:val="21"/>
                    </w:rPr>
                    <w:t>废包装材料</w:t>
                  </w:r>
                </w:p>
              </w:tc>
              <w:tc>
                <w:tcPr>
                  <w:tcW w:w="504" w:type="dxa"/>
                  <w:vAlign w:val="center"/>
                </w:tcPr>
                <w:p w14:paraId="5FE941D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default" w:ascii="Times New Roman" w:hAnsi="Times New Roman" w:cs="Times New Roman"/>
                      <w:color w:val="auto"/>
                      <w:kern w:val="2"/>
                      <w:sz w:val="21"/>
                      <w:szCs w:val="22"/>
                    </w:rPr>
                    <w:t>t/a</w:t>
                  </w:r>
                </w:p>
              </w:tc>
              <w:tc>
                <w:tcPr>
                  <w:tcW w:w="748" w:type="dxa"/>
                  <w:vAlign w:val="center"/>
                </w:tcPr>
                <w:p w14:paraId="36DF8CA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eastAsia" w:ascii="Times New Roman" w:hAnsi="Times New Roman" w:cs="Times New Roman"/>
                      <w:color w:val="auto"/>
                      <w:kern w:val="2"/>
                      <w:sz w:val="21"/>
                      <w:szCs w:val="22"/>
                    </w:rPr>
                    <w:t>1</w:t>
                  </w:r>
                </w:p>
              </w:tc>
              <w:tc>
                <w:tcPr>
                  <w:tcW w:w="1440" w:type="dxa"/>
                  <w:vAlign w:val="center"/>
                </w:tcPr>
                <w:p w14:paraId="6A8661A3">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eastAsia" w:ascii="Times New Roman" w:hAnsi="Times New Roman" w:cs="Times New Roman"/>
                      <w:color w:val="auto"/>
                      <w:kern w:val="2"/>
                      <w:sz w:val="21"/>
                      <w:szCs w:val="22"/>
                    </w:rPr>
                    <w:t>3</w:t>
                  </w:r>
                </w:p>
              </w:tc>
            </w:tr>
            <w:tr w14:paraId="38E2AA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14:paraId="5E2F7A8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p>
              </w:tc>
              <w:tc>
                <w:tcPr>
                  <w:tcW w:w="964" w:type="dxa"/>
                  <w:vMerge w:val="restart"/>
                  <w:vAlign w:val="center"/>
                </w:tcPr>
                <w:p w14:paraId="2D501B74">
                  <w:pPr>
                    <w:keepNext w:val="0"/>
                    <w:keepLines w:val="0"/>
                    <w:widowControl w:val="0"/>
                    <w:suppressLineNumbers w:val="0"/>
                    <w:adjustRightInd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default" w:ascii="Times New Roman" w:hAnsi="Calibri" w:cs="Times New Roman"/>
                      <w:color w:val="auto"/>
                      <w:kern w:val="2"/>
                      <w:sz w:val="21"/>
                      <w:szCs w:val="21"/>
                    </w:rPr>
                    <w:t>危险废物</w:t>
                  </w:r>
                </w:p>
              </w:tc>
              <w:tc>
                <w:tcPr>
                  <w:tcW w:w="3996" w:type="dxa"/>
                  <w:vAlign w:val="center"/>
                </w:tcPr>
                <w:p w14:paraId="0422DFAD">
                  <w:pPr>
                    <w:keepNext w:val="0"/>
                    <w:keepLines w:val="0"/>
                    <w:widowControl/>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default" w:ascii="Times New Roman" w:hAnsi="Times New Roman" w:cs="Times New Roman"/>
                      <w:color w:val="auto"/>
                      <w:kern w:val="2"/>
                      <w:sz w:val="21"/>
                      <w:szCs w:val="21"/>
                    </w:rPr>
                    <w:t>废活性炭</w:t>
                  </w:r>
                </w:p>
              </w:tc>
              <w:tc>
                <w:tcPr>
                  <w:tcW w:w="504" w:type="dxa"/>
                  <w:vAlign w:val="center"/>
                </w:tcPr>
                <w:p w14:paraId="08CFC31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default" w:ascii="Times New Roman" w:hAnsi="Times New Roman" w:cs="Times New Roman"/>
                      <w:color w:val="auto"/>
                      <w:kern w:val="2"/>
                      <w:sz w:val="21"/>
                      <w:szCs w:val="22"/>
                    </w:rPr>
                    <w:t>t/a</w:t>
                  </w:r>
                </w:p>
              </w:tc>
              <w:tc>
                <w:tcPr>
                  <w:tcW w:w="748" w:type="dxa"/>
                  <w:vAlign w:val="center"/>
                </w:tcPr>
                <w:p w14:paraId="3C9751CE">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2"/>
                      <w:lang w:val="en-US" w:eastAsia="zh-CN"/>
                    </w:rPr>
                  </w:pPr>
                  <w:r>
                    <w:rPr>
                      <w:rFonts w:hint="eastAsia" w:ascii="Times New Roman" w:hAnsi="Times New Roman" w:cs="Times New Roman"/>
                      <w:color w:val="auto"/>
                      <w:kern w:val="2"/>
                      <w:sz w:val="21"/>
                      <w:szCs w:val="22"/>
                      <w:lang w:val="en-US" w:eastAsia="zh-CN"/>
                    </w:rPr>
                    <w:t>0.6</w:t>
                  </w:r>
                </w:p>
              </w:tc>
              <w:tc>
                <w:tcPr>
                  <w:tcW w:w="1440" w:type="dxa"/>
                  <w:shd w:val="clear" w:color="auto" w:fill="auto"/>
                  <w:vAlign w:val="center"/>
                </w:tcPr>
                <w:p w14:paraId="5397BD2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11.36</w:t>
                  </w:r>
                </w:p>
              </w:tc>
            </w:tr>
            <w:tr w14:paraId="122886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14:paraId="69B9D2E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p>
              </w:tc>
              <w:tc>
                <w:tcPr>
                  <w:tcW w:w="964" w:type="dxa"/>
                  <w:vMerge w:val="continue"/>
                  <w:vAlign w:val="center"/>
                </w:tcPr>
                <w:p w14:paraId="6279E9D7">
                  <w:pPr>
                    <w:keepNext w:val="0"/>
                    <w:keepLines w:val="0"/>
                    <w:widowControl w:val="0"/>
                    <w:suppressLineNumbers w:val="0"/>
                    <w:adjustRightInd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3996" w:type="dxa"/>
                  <w:vAlign w:val="center"/>
                </w:tcPr>
                <w:p w14:paraId="6AFF8346">
                  <w:pPr>
                    <w:keepNext w:val="0"/>
                    <w:keepLines w:val="0"/>
                    <w:widowControl/>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default" w:ascii="Times New Roman" w:hAnsi="Times New Roman" w:cs="Times New Roman"/>
                      <w:color w:val="auto"/>
                      <w:kern w:val="2"/>
                      <w:sz w:val="21"/>
                      <w:szCs w:val="21"/>
                    </w:rPr>
                    <w:t>废润滑油</w:t>
                  </w:r>
                </w:p>
              </w:tc>
              <w:tc>
                <w:tcPr>
                  <w:tcW w:w="504" w:type="dxa"/>
                  <w:shd w:val="clear" w:color="auto" w:fill="auto"/>
                  <w:vAlign w:val="center"/>
                </w:tcPr>
                <w:p w14:paraId="5CF76816">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default" w:ascii="Times New Roman" w:hAnsi="Times New Roman" w:cs="Times New Roman"/>
                      <w:color w:val="auto"/>
                      <w:kern w:val="2"/>
                      <w:sz w:val="21"/>
                      <w:szCs w:val="22"/>
                    </w:rPr>
                    <w:t>t/a</w:t>
                  </w:r>
                </w:p>
              </w:tc>
              <w:tc>
                <w:tcPr>
                  <w:tcW w:w="748" w:type="dxa"/>
                  <w:shd w:val="clear" w:color="auto" w:fill="auto"/>
                  <w:vAlign w:val="center"/>
                </w:tcPr>
                <w:p w14:paraId="22A9C71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0.01</w:t>
                  </w:r>
                </w:p>
              </w:tc>
              <w:tc>
                <w:tcPr>
                  <w:tcW w:w="1440" w:type="dxa"/>
                  <w:shd w:val="clear" w:color="auto" w:fill="auto"/>
                  <w:vAlign w:val="center"/>
                </w:tcPr>
                <w:p w14:paraId="6BC6C3B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0.01</w:t>
                  </w:r>
                </w:p>
              </w:tc>
            </w:tr>
            <w:tr w14:paraId="6FE5EC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14:paraId="7FC03278">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p>
              </w:tc>
              <w:tc>
                <w:tcPr>
                  <w:tcW w:w="964" w:type="dxa"/>
                  <w:vMerge w:val="continue"/>
                  <w:vAlign w:val="center"/>
                </w:tcPr>
                <w:p w14:paraId="45AF0E5D">
                  <w:pPr>
                    <w:keepNext w:val="0"/>
                    <w:keepLines w:val="0"/>
                    <w:widowControl w:val="0"/>
                    <w:suppressLineNumbers w:val="0"/>
                    <w:adjustRightInd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3996" w:type="dxa"/>
                  <w:vAlign w:val="center"/>
                </w:tcPr>
                <w:p w14:paraId="56315DDD">
                  <w:pPr>
                    <w:keepNext w:val="0"/>
                    <w:keepLines w:val="0"/>
                    <w:widowControl/>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default" w:ascii="Times New Roman" w:hAnsi="Times New Roman" w:cs="Times New Roman"/>
                      <w:color w:val="auto"/>
                      <w:kern w:val="2"/>
                      <w:sz w:val="21"/>
                      <w:szCs w:val="21"/>
                    </w:rPr>
                    <w:t>含油抹布</w:t>
                  </w:r>
                </w:p>
              </w:tc>
              <w:tc>
                <w:tcPr>
                  <w:tcW w:w="504" w:type="dxa"/>
                  <w:shd w:val="clear" w:color="auto" w:fill="auto"/>
                  <w:vAlign w:val="center"/>
                </w:tcPr>
                <w:p w14:paraId="450424A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default" w:ascii="Times New Roman" w:hAnsi="Times New Roman" w:cs="Times New Roman"/>
                      <w:color w:val="auto"/>
                      <w:kern w:val="2"/>
                      <w:sz w:val="21"/>
                      <w:szCs w:val="22"/>
                    </w:rPr>
                    <w:t>t/a</w:t>
                  </w:r>
                </w:p>
              </w:tc>
              <w:tc>
                <w:tcPr>
                  <w:tcW w:w="748" w:type="dxa"/>
                  <w:shd w:val="clear" w:color="auto" w:fill="auto"/>
                  <w:vAlign w:val="center"/>
                </w:tcPr>
                <w:p w14:paraId="52820EE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1440" w:type="dxa"/>
                  <w:shd w:val="clear" w:color="auto" w:fill="auto"/>
                  <w:vAlign w:val="center"/>
                </w:tcPr>
                <w:p w14:paraId="3610EF4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r>
            <w:tr w14:paraId="369D92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14:paraId="51844048">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p>
              </w:tc>
              <w:tc>
                <w:tcPr>
                  <w:tcW w:w="964" w:type="dxa"/>
                  <w:vMerge w:val="continue"/>
                  <w:vAlign w:val="center"/>
                </w:tcPr>
                <w:p w14:paraId="252C61EE">
                  <w:pPr>
                    <w:keepNext w:val="0"/>
                    <w:keepLines w:val="0"/>
                    <w:widowControl w:val="0"/>
                    <w:suppressLineNumbers w:val="0"/>
                    <w:adjustRightInd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3996" w:type="dxa"/>
                  <w:vAlign w:val="center"/>
                </w:tcPr>
                <w:p w14:paraId="158830DC">
                  <w:pPr>
                    <w:keepNext w:val="0"/>
                    <w:keepLines w:val="0"/>
                    <w:widowControl/>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default" w:ascii="Times New Roman" w:hAnsi="Times New Roman" w:cs="Times New Roman"/>
                      <w:color w:val="auto"/>
                      <w:kern w:val="2"/>
                      <w:sz w:val="21"/>
                      <w:szCs w:val="21"/>
                    </w:rPr>
                    <w:t>废包装桶</w:t>
                  </w:r>
                </w:p>
              </w:tc>
              <w:tc>
                <w:tcPr>
                  <w:tcW w:w="504" w:type="dxa"/>
                  <w:shd w:val="clear" w:color="auto" w:fill="auto"/>
                  <w:vAlign w:val="center"/>
                </w:tcPr>
                <w:p w14:paraId="29D5226D">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default" w:ascii="Times New Roman" w:hAnsi="Times New Roman" w:cs="Times New Roman"/>
                      <w:color w:val="auto"/>
                      <w:kern w:val="2"/>
                      <w:sz w:val="21"/>
                      <w:szCs w:val="22"/>
                    </w:rPr>
                    <w:t>t/a</w:t>
                  </w:r>
                </w:p>
              </w:tc>
              <w:tc>
                <w:tcPr>
                  <w:tcW w:w="748" w:type="dxa"/>
                  <w:shd w:val="clear" w:color="auto" w:fill="auto"/>
                  <w:vAlign w:val="center"/>
                </w:tcPr>
                <w:p w14:paraId="45C59B5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0</w:t>
                  </w:r>
                  <w:r>
                    <w:rPr>
                      <w:rFonts w:hint="default" w:ascii="Times New Roman" w:hAnsi="Times New Roman" w:cs="Times New Roman"/>
                      <w:color w:val="auto"/>
                      <w:kern w:val="2"/>
                      <w:sz w:val="21"/>
                      <w:szCs w:val="21"/>
                    </w:rPr>
                    <w:t>.5</w:t>
                  </w:r>
                </w:p>
              </w:tc>
              <w:tc>
                <w:tcPr>
                  <w:tcW w:w="1440" w:type="dxa"/>
                  <w:shd w:val="clear" w:color="auto" w:fill="auto"/>
                  <w:vAlign w:val="center"/>
                </w:tcPr>
                <w:p w14:paraId="01B7BFB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1.5</w:t>
                  </w:r>
                </w:p>
              </w:tc>
            </w:tr>
            <w:tr w14:paraId="53AD5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14:paraId="4E716D6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p>
              </w:tc>
              <w:tc>
                <w:tcPr>
                  <w:tcW w:w="964" w:type="dxa"/>
                  <w:vMerge w:val="continue"/>
                  <w:vAlign w:val="center"/>
                </w:tcPr>
                <w:p w14:paraId="5B9163B1">
                  <w:pPr>
                    <w:keepNext w:val="0"/>
                    <w:keepLines w:val="0"/>
                    <w:widowControl w:val="0"/>
                    <w:suppressLineNumbers w:val="0"/>
                    <w:adjustRightInd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3996" w:type="dxa"/>
                  <w:vAlign w:val="center"/>
                </w:tcPr>
                <w:p w14:paraId="0C1307FF">
                  <w:pPr>
                    <w:keepNext w:val="0"/>
                    <w:keepLines w:val="0"/>
                    <w:widowControl/>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default" w:ascii="Times New Roman" w:hAnsi="Times New Roman" w:cs="Times New Roman"/>
                      <w:color w:val="auto"/>
                      <w:kern w:val="2"/>
                      <w:sz w:val="21"/>
                      <w:szCs w:val="21"/>
                    </w:rPr>
                    <w:t>废胶管</w:t>
                  </w:r>
                </w:p>
              </w:tc>
              <w:tc>
                <w:tcPr>
                  <w:tcW w:w="504" w:type="dxa"/>
                  <w:shd w:val="clear" w:color="auto" w:fill="auto"/>
                  <w:vAlign w:val="center"/>
                </w:tcPr>
                <w:p w14:paraId="4376961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default" w:ascii="Times New Roman" w:hAnsi="Times New Roman" w:cs="Times New Roman"/>
                      <w:color w:val="auto"/>
                      <w:kern w:val="2"/>
                      <w:sz w:val="21"/>
                      <w:szCs w:val="22"/>
                    </w:rPr>
                    <w:t>t/a</w:t>
                  </w:r>
                </w:p>
              </w:tc>
              <w:tc>
                <w:tcPr>
                  <w:tcW w:w="748" w:type="dxa"/>
                  <w:shd w:val="clear" w:color="auto" w:fill="auto"/>
                  <w:vAlign w:val="center"/>
                </w:tcPr>
                <w:p w14:paraId="4344D5F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0.0</w:t>
                  </w:r>
                  <w:r>
                    <w:rPr>
                      <w:rFonts w:hint="eastAsia" w:ascii="Times New Roman" w:hAnsi="Times New Roman" w:cs="Times New Roman"/>
                      <w:color w:val="auto"/>
                      <w:kern w:val="2"/>
                      <w:sz w:val="21"/>
                      <w:szCs w:val="21"/>
                    </w:rPr>
                    <w:t>2</w:t>
                  </w:r>
                </w:p>
              </w:tc>
              <w:tc>
                <w:tcPr>
                  <w:tcW w:w="1440" w:type="dxa"/>
                  <w:shd w:val="clear" w:color="auto" w:fill="auto"/>
                  <w:vAlign w:val="center"/>
                </w:tcPr>
                <w:p w14:paraId="6DE1ED0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0.06</w:t>
                  </w:r>
                </w:p>
              </w:tc>
            </w:tr>
            <w:tr w14:paraId="547168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14:paraId="7E413B1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p>
              </w:tc>
              <w:tc>
                <w:tcPr>
                  <w:tcW w:w="964" w:type="dxa"/>
                  <w:vMerge w:val="continue"/>
                  <w:vAlign w:val="center"/>
                </w:tcPr>
                <w:p w14:paraId="0DD23D84">
                  <w:pPr>
                    <w:keepNext w:val="0"/>
                    <w:keepLines w:val="0"/>
                    <w:widowControl w:val="0"/>
                    <w:suppressLineNumbers w:val="0"/>
                    <w:adjustRightInd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3996" w:type="dxa"/>
                  <w:vAlign w:val="center"/>
                </w:tcPr>
                <w:p w14:paraId="5E8762B8">
                  <w:pPr>
                    <w:keepNext w:val="0"/>
                    <w:keepLines w:val="0"/>
                    <w:widowControl/>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default" w:ascii="Times New Roman" w:hAnsi="Times New Roman" w:cs="Times New Roman"/>
                      <w:color w:val="auto"/>
                      <w:kern w:val="2"/>
                      <w:sz w:val="21"/>
                      <w:szCs w:val="21"/>
                    </w:rPr>
                    <w:t>碳氢清洗蒸馏废液</w:t>
                  </w:r>
                </w:p>
              </w:tc>
              <w:tc>
                <w:tcPr>
                  <w:tcW w:w="504" w:type="dxa"/>
                  <w:shd w:val="clear" w:color="auto" w:fill="auto"/>
                  <w:vAlign w:val="center"/>
                </w:tcPr>
                <w:p w14:paraId="1446BFF0">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default" w:ascii="Times New Roman" w:hAnsi="Times New Roman" w:cs="Times New Roman"/>
                      <w:color w:val="auto"/>
                      <w:kern w:val="2"/>
                      <w:sz w:val="21"/>
                      <w:szCs w:val="22"/>
                    </w:rPr>
                    <w:t>t/a</w:t>
                  </w:r>
                </w:p>
              </w:tc>
              <w:tc>
                <w:tcPr>
                  <w:tcW w:w="748" w:type="dxa"/>
                  <w:vAlign w:val="center"/>
                </w:tcPr>
                <w:p w14:paraId="3DA83743">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2"/>
                      <w:highlight w:val="yellow"/>
                      <w:lang w:val="en-US" w:eastAsia="zh-CN"/>
                    </w:rPr>
                  </w:pPr>
                  <w:r>
                    <w:rPr>
                      <w:rFonts w:hint="eastAsia" w:ascii="Times New Roman" w:hAnsi="Times New Roman" w:cs="Times New Roman"/>
                      <w:color w:val="auto"/>
                      <w:kern w:val="2"/>
                      <w:sz w:val="21"/>
                      <w:szCs w:val="22"/>
                      <w:highlight w:val="none"/>
                      <w:lang w:val="en-US" w:eastAsia="zh-CN"/>
                    </w:rPr>
                    <w:t>1.04</w:t>
                  </w:r>
                </w:p>
              </w:tc>
              <w:tc>
                <w:tcPr>
                  <w:tcW w:w="1440" w:type="dxa"/>
                  <w:shd w:val="clear" w:color="auto" w:fill="auto"/>
                  <w:vAlign w:val="center"/>
                </w:tcPr>
                <w:p w14:paraId="7142809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yellow"/>
                    </w:rPr>
                  </w:pPr>
                  <w:r>
                    <w:rPr>
                      <w:rFonts w:hint="default" w:ascii="Times New Roman" w:hAnsi="Times New Roman" w:cs="Times New Roman"/>
                      <w:color w:val="auto"/>
                      <w:kern w:val="2"/>
                      <w:sz w:val="21"/>
                      <w:szCs w:val="21"/>
                      <w:highlight w:val="none"/>
                    </w:rPr>
                    <w:t>1.04</w:t>
                  </w:r>
                </w:p>
              </w:tc>
            </w:tr>
            <w:tr w14:paraId="0C1CF6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14:paraId="740BBAD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p>
              </w:tc>
              <w:tc>
                <w:tcPr>
                  <w:tcW w:w="964" w:type="dxa"/>
                  <w:vMerge w:val="continue"/>
                  <w:vAlign w:val="center"/>
                </w:tcPr>
                <w:p w14:paraId="02DF3578">
                  <w:pPr>
                    <w:keepNext w:val="0"/>
                    <w:keepLines w:val="0"/>
                    <w:widowControl w:val="0"/>
                    <w:suppressLineNumbers w:val="0"/>
                    <w:adjustRightInd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3996" w:type="dxa"/>
                  <w:vAlign w:val="center"/>
                </w:tcPr>
                <w:p w14:paraId="5D0BC4E3">
                  <w:pPr>
                    <w:keepNext w:val="0"/>
                    <w:keepLines w:val="0"/>
                    <w:widowControl/>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default" w:ascii="Times New Roman" w:hAnsi="Times New Roman" w:cs="Times New Roman"/>
                      <w:color w:val="auto"/>
                      <w:kern w:val="2"/>
                      <w:sz w:val="21"/>
                      <w:szCs w:val="21"/>
                    </w:rPr>
                    <w:t>废槽液</w:t>
                  </w:r>
                </w:p>
              </w:tc>
              <w:tc>
                <w:tcPr>
                  <w:tcW w:w="504" w:type="dxa"/>
                  <w:shd w:val="clear" w:color="auto" w:fill="auto"/>
                  <w:vAlign w:val="center"/>
                </w:tcPr>
                <w:p w14:paraId="47100D50">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default" w:ascii="Times New Roman" w:hAnsi="Times New Roman" w:cs="Times New Roman"/>
                      <w:color w:val="auto"/>
                      <w:kern w:val="2"/>
                      <w:sz w:val="21"/>
                      <w:szCs w:val="22"/>
                    </w:rPr>
                    <w:t>t/a</w:t>
                  </w:r>
                </w:p>
              </w:tc>
              <w:tc>
                <w:tcPr>
                  <w:tcW w:w="748" w:type="dxa"/>
                  <w:vAlign w:val="center"/>
                </w:tcPr>
                <w:p w14:paraId="2B7A58DB">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2"/>
                      <w:highlight w:val="yellow"/>
                      <w:lang w:val="en-US" w:eastAsia="zh-CN"/>
                    </w:rPr>
                  </w:pPr>
                  <w:r>
                    <w:rPr>
                      <w:rFonts w:hint="eastAsia" w:ascii="Times New Roman" w:hAnsi="Times New Roman" w:cs="Times New Roman"/>
                      <w:color w:val="auto"/>
                      <w:kern w:val="2"/>
                      <w:sz w:val="21"/>
                      <w:szCs w:val="22"/>
                      <w:highlight w:val="none"/>
                      <w:lang w:val="en-US" w:eastAsia="zh-CN"/>
                    </w:rPr>
                    <w:t>2.16</w:t>
                  </w:r>
                </w:p>
              </w:tc>
              <w:tc>
                <w:tcPr>
                  <w:tcW w:w="1440" w:type="dxa"/>
                  <w:shd w:val="clear" w:color="auto" w:fill="auto"/>
                  <w:vAlign w:val="center"/>
                </w:tcPr>
                <w:p w14:paraId="4FD7175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yellow"/>
                    </w:rPr>
                  </w:pPr>
                  <w:r>
                    <w:rPr>
                      <w:rFonts w:hint="default" w:ascii="Times New Roman" w:hAnsi="Times New Roman" w:cs="Times New Roman"/>
                      <w:color w:val="auto"/>
                      <w:kern w:val="2"/>
                      <w:sz w:val="21"/>
                      <w:szCs w:val="21"/>
                      <w:highlight w:val="none"/>
                    </w:rPr>
                    <w:t>2.16</w:t>
                  </w:r>
                </w:p>
              </w:tc>
            </w:tr>
            <w:tr w14:paraId="4C08DF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14:paraId="3170832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p>
              </w:tc>
              <w:tc>
                <w:tcPr>
                  <w:tcW w:w="964" w:type="dxa"/>
                  <w:vMerge w:val="continue"/>
                  <w:vAlign w:val="center"/>
                </w:tcPr>
                <w:p w14:paraId="003F72A3">
                  <w:pPr>
                    <w:keepNext w:val="0"/>
                    <w:keepLines w:val="0"/>
                    <w:widowControl w:val="0"/>
                    <w:suppressLineNumbers w:val="0"/>
                    <w:adjustRightInd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3996" w:type="dxa"/>
                  <w:vAlign w:val="center"/>
                </w:tcPr>
                <w:p w14:paraId="0FD53D9A">
                  <w:pPr>
                    <w:keepNext w:val="0"/>
                    <w:keepLines w:val="0"/>
                    <w:widowControl/>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default" w:ascii="Times New Roman" w:hAnsi="Times New Roman" w:cs="Times New Roman"/>
                      <w:color w:val="auto"/>
                      <w:kern w:val="2"/>
                      <w:sz w:val="21"/>
                      <w:szCs w:val="21"/>
                    </w:rPr>
                    <w:t>废滤芯</w:t>
                  </w:r>
                </w:p>
              </w:tc>
              <w:tc>
                <w:tcPr>
                  <w:tcW w:w="504" w:type="dxa"/>
                  <w:shd w:val="clear" w:color="auto" w:fill="auto"/>
                  <w:vAlign w:val="center"/>
                </w:tcPr>
                <w:p w14:paraId="1F471B8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default" w:ascii="Times New Roman" w:hAnsi="Times New Roman" w:cs="Times New Roman"/>
                      <w:color w:val="auto"/>
                      <w:kern w:val="2"/>
                      <w:sz w:val="21"/>
                      <w:szCs w:val="22"/>
                    </w:rPr>
                    <w:t>t/a</w:t>
                  </w:r>
                </w:p>
              </w:tc>
              <w:tc>
                <w:tcPr>
                  <w:tcW w:w="748" w:type="dxa"/>
                  <w:vAlign w:val="center"/>
                </w:tcPr>
                <w:p w14:paraId="1E91161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2"/>
                      <w:highlight w:val="yellow"/>
                      <w:lang w:val="en-US" w:eastAsia="zh-CN"/>
                    </w:rPr>
                  </w:pPr>
                  <w:r>
                    <w:rPr>
                      <w:rFonts w:hint="eastAsia" w:ascii="Times New Roman" w:hAnsi="Times New Roman" w:cs="Times New Roman"/>
                      <w:color w:val="auto"/>
                      <w:kern w:val="2"/>
                      <w:sz w:val="21"/>
                      <w:szCs w:val="22"/>
                      <w:highlight w:val="none"/>
                      <w:lang w:val="en-US" w:eastAsia="zh-CN"/>
                    </w:rPr>
                    <w:t>0.6</w:t>
                  </w:r>
                </w:p>
              </w:tc>
              <w:tc>
                <w:tcPr>
                  <w:tcW w:w="1440" w:type="dxa"/>
                  <w:shd w:val="clear" w:color="auto" w:fill="auto"/>
                  <w:vAlign w:val="center"/>
                </w:tcPr>
                <w:p w14:paraId="738B1D7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yellow"/>
                    </w:rPr>
                  </w:pPr>
                  <w:r>
                    <w:rPr>
                      <w:rFonts w:hint="default" w:ascii="Times New Roman" w:hAnsi="Times New Roman" w:cs="Times New Roman"/>
                      <w:color w:val="auto"/>
                      <w:kern w:val="2"/>
                      <w:sz w:val="21"/>
                      <w:szCs w:val="21"/>
                      <w:highlight w:val="none"/>
                    </w:rPr>
                    <w:t>0.6</w:t>
                  </w:r>
                </w:p>
              </w:tc>
            </w:tr>
            <w:tr w14:paraId="1448DB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6" w:type="dxa"/>
                  <w:vMerge w:val="continue"/>
                  <w:vAlign w:val="center"/>
                </w:tcPr>
                <w:p w14:paraId="6F0F3EA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p>
              </w:tc>
              <w:tc>
                <w:tcPr>
                  <w:tcW w:w="4960" w:type="dxa"/>
                  <w:gridSpan w:val="2"/>
                  <w:vAlign w:val="center"/>
                </w:tcPr>
                <w:p w14:paraId="03E1EF2B">
                  <w:pPr>
                    <w:keepNext w:val="0"/>
                    <w:keepLines w:val="0"/>
                    <w:widowControl w:val="0"/>
                    <w:suppressLineNumbers w:val="0"/>
                    <w:adjustRightInd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default" w:ascii="Times New Roman" w:hAnsi="Calibri" w:cs="Times New Roman"/>
                      <w:color w:val="auto"/>
                      <w:kern w:val="2"/>
                      <w:sz w:val="21"/>
                      <w:szCs w:val="21"/>
                    </w:rPr>
                    <w:t>生活垃圾</w:t>
                  </w:r>
                </w:p>
              </w:tc>
              <w:tc>
                <w:tcPr>
                  <w:tcW w:w="504" w:type="dxa"/>
                  <w:vAlign w:val="center"/>
                </w:tcPr>
                <w:p w14:paraId="2294E6C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default" w:ascii="Times New Roman" w:hAnsi="Times New Roman" w:cs="Times New Roman"/>
                      <w:color w:val="auto"/>
                      <w:kern w:val="2"/>
                      <w:sz w:val="21"/>
                      <w:szCs w:val="22"/>
                    </w:rPr>
                    <w:t>t/a</w:t>
                  </w:r>
                </w:p>
              </w:tc>
              <w:tc>
                <w:tcPr>
                  <w:tcW w:w="748" w:type="dxa"/>
                  <w:vAlign w:val="center"/>
                </w:tcPr>
                <w:p w14:paraId="7F0E0A7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eastAsia" w:ascii="Times New Roman" w:hAnsi="Times New Roman" w:cs="Times New Roman"/>
                      <w:color w:val="auto"/>
                      <w:kern w:val="2"/>
                      <w:sz w:val="21"/>
                      <w:szCs w:val="22"/>
                    </w:rPr>
                    <w:t>39</w:t>
                  </w:r>
                </w:p>
              </w:tc>
              <w:tc>
                <w:tcPr>
                  <w:tcW w:w="1440" w:type="dxa"/>
                  <w:vAlign w:val="center"/>
                </w:tcPr>
                <w:p w14:paraId="539290FB">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2"/>
                    </w:rPr>
                  </w:pPr>
                  <w:r>
                    <w:rPr>
                      <w:rFonts w:hint="eastAsia" w:ascii="Times New Roman" w:hAnsi="Times New Roman" w:cs="Times New Roman"/>
                      <w:color w:val="auto"/>
                      <w:kern w:val="2"/>
                      <w:sz w:val="21"/>
                      <w:szCs w:val="22"/>
                    </w:rPr>
                    <w:t>39</w:t>
                  </w:r>
                </w:p>
              </w:tc>
            </w:tr>
          </w:tbl>
          <w:p w14:paraId="598A6AB5">
            <w:pPr>
              <w:keepNext w:val="0"/>
              <w:keepLines w:val="0"/>
              <w:widowControl w:val="0"/>
              <w:suppressLineNumbers w:val="0"/>
              <w:spacing w:before="0" w:beforeAutospacing="0" w:after="0" w:afterAutospacing="0"/>
              <w:ind w:left="0" w:right="0" w:firstLine="422" w:firstLineChars="200"/>
              <w:jc w:val="both"/>
              <w:rPr>
                <w:rFonts w:hint="default" w:ascii="Times New Roman" w:hAnsi="Times New Roman" w:cs="Times New Roman"/>
                <w:b/>
                <w:color w:val="auto"/>
                <w:kern w:val="2"/>
                <w:sz w:val="21"/>
                <w:szCs w:val="21"/>
              </w:rPr>
            </w:pPr>
            <w:r>
              <w:rPr>
                <w:rFonts w:hint="eastAsia" w:ascii="Times New Roman" w:hAnsi="Times New Roman" w:cs="Times New Roman"/>
                <w:b/>
                <w:color w:val="auto"/>
                <w:kern w:val="2"/>
                <w:sz w:val="21"/>
                <w:szCs w:val="21"/>
              </w:rPr>
              <w:t>注：固体废物排放量为产生量。</w:t>
            </w:r>
          </w:p>
          <w:p w14:paraId="18BC87E9">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eastAsia" w:ascii="Times New Roman" w:hAnsi="Times New Roman" w:cs="Times New Roman"/>
                <w:color w:val="auto"/>
                <w:kern w:val="2"/>
              </w:rPr>
              <w:t>5、现有工程存在的环境问题及整改要求</w:t>
            </w:r>
          </w:p>
          <w:p w14:paraId="7B6E3EE2">
            <w:pPr>
              <w:keepNext w:val="0"/>
              <w:keepLines w:val="0"/>
              <w:widowControl w:val="0"/>
              <w:suppressLineNumbers w:val="0"/>
              <w:adjustRightInd w:val="0"/>
              <w:spacing w:before="0" w:beforeAutospacing="0" w:after="0" w:afterAutospacing="0" w:line="360" w:lineRule="auto"/>
              <w:ind w:left="0" w:right="0" w:firstLine="480" w:firstLineChars="200"/>
              <w:jc w:val="both"/>
              <w:rPr>
                <w:rFonts w:hint="default" w:ascii="黑体" w:hAnsi="黑体" w:eastAsia="黑体" w:cs="Times New Roman"/>
                <w:color w:val="auto"/>
                <w:kern w:val="2"/>
              </w:rPr>
            </w:pPr>
            <w:r>
              <w:rPr>
                <w:rFonts w:hint="eastAsia" w:ascii="Times New Roman" w:hAnsi="Times New Roman" w:cs="Times New Roman"/>
                <w:color w:val="auto"/>
                <w:kern w:val="2"/>
              </w:rPr>
              <w:t>根据现场勘查，现有工程</w:t>
            </w:r>
            <w:r>
              <w:rPr>
                <w:rFonts w:hint="eastAsia" w:ascii="Times New Roman" w:hAnsi="Times New Roman" w:cs="Times New Roman"/>
                <w:color w:val="auto"/>
                <w:kern w:val="2"/>
                <w:lang w:val="en-US" w:eastAsia="zh-CN"/>
              </w:rPr>
              <w:t>未发现</w:t>
            </w:r>
            <w:r>
              <w:rPr>
                <w:rFonts w:hint="eastAsia" w:ascii="Times New Roman" w:hAnsi="Times New Roman" w:cs="Times New Roman"/>
                <w:color w:val="auto"/>
                <w:kern w:val="2"/>
              </w:rPr>
              <w:t>环境问题</w:t>
            </w:r>
            <w:r>
              <w:rPr>
                <w:rFonts w:hint="eastAsia" w:ascii="Times New Roman" w:hAnsi="Times New Roman" w:cs="Times New Roman"/>
                <w:color w:val="auto"/>
                <w:kern w:val="2"/>
                <w:lang w:eastAsia="zh-CN"/>
              </w:rPr>
              <w:t>。</w:t>
            </w:r>
          </w:p>
          <w:p w14:paraId="362D00A6">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cs="Times New Roman"/>
                <w:b/>
                <w:color w:val="auto"/>
                <w:kern w:val="2"/>
                <w:szCs w:val="28"/>
              </w:rPr>
            </w:pPr>
          </w:p>
        </w:tc>
      </w:tr>
    </w:tbl>
    <w:p w14:paraId="217F8B28">
      <w:pPr>
        <w:rPr>
          <w:rFonts w:ascii="Times New Roman" w:hAnsi="Times New Roman"/>
          <w:color w:val="auto"/>
        </w:rPr>
        <w:sectPr>
          <w:pgSz w:w="11906" w:h="16838"/>
          <w:pgMar w:top="1701" w:right="1531" w:bottom="1701" w:left="1531" w:header="851" w:footer="992" w:gutter="0"/>
          <w:cols w:space="720" w:num="1"/>
          <w:docGrid w:type="lines" w:linePitch="326" w:charSpace="0"/>
        </w:sectPr>
      </w:pPr>
    </w:p>
    <w:p w14:paraId="207358DD">
      <w:pPr>
        <w:spacing w:before="100" w:beforeAutospacing="1" w:after="100" w:afterAutospacing="1"/>
        <w:jc w:val="center"/>
        <w:outlineLvl w:val="0"/>
        <w:rPr>
          <w:rFonts w:ascii="Times New Roman" w:hAnsi="Times New Roman" w:eastAsia="黑体" w:cs="Times New Roman"/>
          <w:snapToGrid w:val="0"/>
          <w:color w:val="auto"/>
          <w:sz w:val="30"/>
          <w:szCs w:val="30"/>
        </w:rPr>
      </w:pPr>
      <w:r>
        <w:rPr>
          <w:rFonts w:hint="eastAsia" w:ascii="Times New Roman" w:hAnsi="Times New Roman" w:eastAsia="黑体" w:cs="Times New Roman"/>
          <w:snapToGrid w:val="0"/>
          <w:color w:val="auto"/>
          <w:sz w:val="30"/>
          <w:szCs w:val="30"/>
        </w:rPr>
        <w:t>三、区域环境质量现状、环境保护目标及评价标准</w:t>
      </w: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3"/>
        <w:gridCol w:w="8099"/>
      </w:tblGrid>
      <w:tr w14:paraId="305FC4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48" w:type="pct"/>
            <w:vAlign w:val="center"/>
          </w:tcPr>
          <w:p w14:paraId="30EED3AF">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区域</w:t>
            </w:r>
          </w:p>
          <w:p w14:paraId="0DCF399C">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环境</w:t>
            </w:r>
          </w:p>
          <w:p w14:paraId="5976637C">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质量</w:t>
            </w:r>
          </w:p>
          <w:p w14:paraId="346FE0F1">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color w:val="auto"/>
                <w:kern w:val="2"/>
                <w:szCs w:val="21"/>
              </w:rPr>
            </w:pPr>
            <w:r>
              <w:rPr>
                <w:rFonts w:hint="default" w:ascii="Times New Roman" w:hAnsi="Times New Roman" w:cs="Times New Roman"/>
                <w:color w:val="auto"/>
                <w:kern w:val="2"/>
              </w:rPr>
              <w:t>现状</w:t>
            </w:r>
          </w:p>
        </w:tc>
        <w:tc>
          <w:tcPr>
            <w:tcW w:w="4752" w:type="pct"/>
          </w:tcPr>
          <w:p w14:paraId="2E7B0F40">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default" w:ascii="Times New Roman" w:hAnsi="Times New Roman"/>
                <w:b/>
                <w:color w:val="auto"/>
                <w:kern w:val="2"/>
              </w:rPr>
              <w:t>1、</w:t>
            </w:r>
            <w:r>
              <w:rPr>
                <w:rFonts w:hint="default" w:ascii="Times New Roman" w:hAnsi="Times New Roman"/>
                <w:b/>
                <w:color w:val="auto"/>
                <w:kern w:val="2"/>
                <w:szCs w:val="28"/>
              </w:rPr>
              <w:t>环境空气质量现状</w:t>
            </w:r>
          </w:p>
          <w:p w14:paraId="1D46F3CD">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default" w:ascii="Times New Roman" w:hAnsi="Times New Roman"/>
                <w:b/>
                <w:color w:val="auto"/>
                <w:kern w:val="2"/>
              </w:rPr>
              <w:t>（1）</w:t>
            </w:r>
            <w:r>
              <w:rPr>
                <w:rFonts w:hint="default" w:ascii="Times New Roman" w:hAnsi="Times New Roman"/>
                <w:b/>
                <w:bCs/>
                <w:color w:val="auto"/>
                <w:kern w:val="2"/>
                <w:szCs w:val="28"/>
              </w:rPr>
              <w:t>基本污染物空气质量现状</w:t>
            </w:r>
          </w:p>
          <w:p w14:paraId="042113A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本项目位于安徽省淮南市凤台县经济开发区，项目所在区域属于环境空气质量二类功能区，空气质量标准执行《环境空气质量标准》（GB3095-20</w:t>
            </w:r>
            <w:r>
              <w:rPr>
                <w:rFonts w:hint="eastAsia" w:ascii="Times New Roman" w:hAnsi="Times New Roman"/>
                <w:color w:val="auto"/>
                <w:kern w:val="2"/>
              </w:rPr>
              <w:t>26</w:t>
            </w:r>
            <w:r>
              <w:rPr>
                <w:rFonts w:hint="default" w:ascii="Times New Roman" w:hAnsi="Times New Roman"/>
                <w:color w:val="auto"/>
                <w:kern w:val="2"/>
              </w:rPr>
              <w:t>）。</w:t>
            </w:r>
          </w:p>
          <w:p w14:paraId="2AF351FB">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根据《2024年</w:t>
            </w:r>
            <w:bookmarkStart w:id="16" w:name="OLE_LINK12"/>
            <w:r>
              <w:rPr>
                <w:rFonts w:hint="default" w:ascii="Times New Roman" w:hAnsi="Times New Roman"/>
                <w:color w:val="auto"/>
                <w:kern w:val="2"/>
              </w:rPr>
              <w:t>淮南市生态环境质量状况公报</w:t>
            </w:r>
            <w:bookmarkEnd w:id="16"/>
            <w:r>
              <w:rPr>
                <w:rFonts w:hint="default" w:ascii="Times New Roman" w:hAnsi="Times New Roman"/>
                <w:color w:val="auto"/>
                <w:kern w:val="2"/>
              </w:rPr>
              <w:t>》，2024年全市环境空气质量一级（优）65天，二级（良）218天，三级（轻度污染）69天，四级（中度污染）13天，五级（重度污染）1天；全市年度环境空气达标天数比例为77.3%，与上年相比下降了3.2个百分点；全市环境空气综合指数为3.87，首要污染物为细颗粒物。区域空气质量现状如下表所示。</w:t>
            </w:r>
          </w:p>
          <w:p w14:paraId="1CE41AB7">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color w:val="auto"/>
                <w:kern w:val="2"/>
                <w:szCs w:val="21"/>
              </w:rPr>
            </w:pPr>
            <w:r>
              <w:rPr>
                <w:rFonts w:hint="default" w:ascii="Times New Roman" w:hAnsi="Times New Roman" w:eastAsia="黑体"/>
                <w:color w:val="auto"/>
                <w:kern w:val="2"/>
                <w:szCs w:val="21"/>
              </w:rPr>
              <w:t>表3-1  区域空气质量现状评价表</w:t>
            </w:r>
          </w:p>
          <w:tbl>
            <w:tblPr>
              <w:tblStyle w:val="23"/>
              <w:tblW w:w="78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014"/>
              <w:gridCol w:w="942"/>
              <w:gridCol w:w="1470"/>
              <w:gridCol w:w="1194"/>
              <w:gridCol w:w="834"/>
              <w:gridCol w:w="715"/>
            </w:tblGrid>
            <w:tr w14:paraId="0C9313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5581398A">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污染物</w:t>
                  </w:r>
                </w:p>
              </w:tc>
              <w:tc>
                <w:tcPr>
                  <w:tcW w:w="2014" w:type="dxa"/>
                  <w:noWrap/>
                  <w:vAlign w:val="center"/>
                </w:tcPr>
                <w:p w14:paraId="6E1E6FA5">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年评价指标</w:t>
                  </w:r>
                </w:p>
              </w:tc>
              <w:tc>
                <w:tcPr>
                  <w:tcW w:w="942" w:type="dxa"/>
                  <w:noWrap/>
                  <w:vAlign w:val="center"/>
                </w:tcPr>
                <w:p w14:paraId="790C0DC4">
                  <w:pPr>
                    <w:keepNext w:val="0"/>
                    <w:keepLines w:val="0"/>
                    <w:widowControl/>
                    <w:suppressLineNumbers w:val="0"/>
                    <w:adjustRightInd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现状浓度（μg/m</w:t>
                  </w:r>
                  <w:r>
                    <w:rPr>
                      <w:rFonts w:hint="default" w:ascii="Times New Roman" w:hAnsi="Times New Roman"/>
                      <w:b/>
                      <w:bCs/>
                      <w:color w:val="auto"/>
                      <w:kern w:val="2"/>
                      <w:sz w:val="21"/>
                      <w:szCs w:val="21"/>
                      <w:vertAlign w:val="superscript"/>
                    </w:rPr>
                    <w:t>3</w:t>
                  </w:r>
                  <w:r>
                    <w:rPr>
                      <w:rFonts w:hint="default" w:ascii="Times New Roman" w:hAnsi="Times New Roman"/>
                      <w:b/>
                      <w:bCs/>
                      <w:color w:val="auto"/>
                      <w:kern w:val="2"/>
                      <w:sz w:val="21"/>
                      <w:szCs w:val="21"/>
                    </w:rPr>
                    <w:t>）</w:t>
                  </w:r>
                </w:p>
              </w:tc>
              <w:tc>
                <w:tcPr>
                  <w:tcW w:w="1470" w:type="dxa"/>
                  <w:noWrap/>
                  <w:vAlign w:val="center"/>
                </w:tcPr>
                <w:p w14:paraId="46ED2202">
                  <w:pPr>
                    <w:keepNext w:val="0"/>
                    <w:keepLines w:val="0"/>
                    <w:widowControl/>
                    <w:suppressLineNumbers w:val="0"/>
                    <w:adjustRightInd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标准值（GB3095-2012）（μg/m</w:t>
                  </w:r>
                  <w:r>
                    <w:rPr>
                      <w:rFonts w:hint="default" w:ascii="Times New Roman" w:hAnsi="Times New Roman"/>
                      <w:b/>
                      <w:bCs/>
                      <w:color w:val="auto"/>
                      <w:kern w:val="2"/>
                      <w:sz w:val="21"/>
                      <w:szCs w:val="21"/>
                      <w:vertAlign w:val="superscript"/>
                    </w:rPr>
                    <w:t>3</w:t>
                  </w:r>
                  <w:r>
                    <w:rPr>
                      <w:rFonts w:hint="default" w:ascii="Times New Roman" w:hAnsi="Times New Roman"/>
                      <w:b/>
                      <w:bCs/>
                      <w:color w:val="auto"/>
                      <w:kern w:val="2"/>
                      <w:sz w:val="21"/>
                      <w:szCs w:val="21"/>
                    </w:rPr>
                    <w:t>）</w:t>
                  </w:r>
                </w:p>
              </w:tc>
              <w:tc>
                <w:tcPr>
                  <w:tcW w:w="1194" w:type="dxa"/>
                  <w:noWrap/>
                  <w:vAlign w:val="center"/>
                </w:tcPr>
                <w:p w14:paraId="0EB4AB17">
                  <w:pPr>
                    <w:keepNext w:val="0"/>
                    <w:keepLines w:val="0"/>
                    <w:widowControl/>
                    <w:suppressLineNumbers w:val="0"/>
                    <w:adjustRightInd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标准值（GB3095-2026）过渡阶段（μg/m</w:t>
                  </w:r>
                  <w:r>
                    <w:rPr>
                      <w:rFonts w:hint="default" w:ascii="Times New Roman" w:hAnsi="Times New Roman"/>
                      <w:b/>
                      <w:bCs/>
                      <w:color w:val="auto"/>
                      <w:kern w:val="2"/>
                      <w:sz w:val="21"/>
                      <w:szCs w:val="21"/>
                      <w:vertAlign w:val="superscript"/>
                    </w:rPr>
                    <w:t>3</w:t>
                  </w:r>
                  <w:r>
                    <w:rPr>
                      <w:rFonts w:hint="default" w:ascii="Times New Roman" w:hAnsi="Times New Roman"/>
                      <w:b/>
                      <w:bCs/>
                      <w:color w:val="auto"/>
                      <w:kern w:val="2"/>
                      <w:sz w:val="21"/>
                      <w:szCs w:val="21"/>
                    </w:rPr>
                    <w:t>）</w:t>
                  </w:r>
                </w:p>
              </w:tc>
              <w:tc>
                <w:tcPr>
                  <w:tcW w:w="834" w:type="dxa"/>
                  <w:noWrap/>
                  <w:vAlign w:val="center"/>
                </w:tcPr>
                <w:p w14:paraId="3A09A128">
                  <w:pPr>
                    <w:keepNext w:val="0"/>
                    <w:keepLines w:val="0"/>
                    <w:widowControl/>
                    <w:suppressLineNumbers w:val="0"/>
                    <w:adjustRightInd w:val="0"/>
                    <w:spacing w:before="0" w:beforeAutospacing="0" w:after="0" w:afterAutospacing="0" w:line="276" w:lineRule="auto"/>
                    <w:ind w:left="0" w:right="0"/>
                    <w:jc w:val="center"/>
                    <w:rPr>
                      <w:rFonts w:hint="default" w:ascii="Times New Roman" w:hAnsi="Times New Roman" w:eastAsia="宋体"/>
                      <w:b/>
                      <w:bCs/>
                      <w:color w:val="auto"/>
                      <w:kern w:val="2"/>
                      <w:sz w:val="21"/>
                      <w:szCs w:val="21"/>
                      <w:lang w:val="en-US" w:eastAsia="zh-CN"/>
                    </w:rPr>
                  </w:pPr>
                  <w:r>
                    <w:rPr>
                      <w:rFonts w:hint="default" w:ascii="Times New Roman" w:hAnsi="Times New Roman"/>
                      <w:b/>
                      <w:bCs/>
                      <w:color w:val="auto"/>
                      <w:kern w:val="2"/>
                      <w:sz w:val="21"/>
                      <w:szCs w:val="21"/>
                    </w:rPr>
                    <w:t>占标率</w:t>
                  </w:r>
                  <w:r>
                    <w:rPr>
                      <w:rFonts w:hint="eastAsia" w:ascii="Times New Roman" w:hAnsi="Times New Roman"/>
                      <w:b/>
                      <w:bCs/>
                      <w:color w:val="auto"/>
                      <w:kern w:val="2"/>
                      <w:sz w:val="21"/>
                      <w:szCs w:val="21"/>
                      <w:lang w:eastAsia="zh-CN"/>
                    </w:rPr>
                    <w:t>（</w:t>
                  </w:r>
                  <w:r>
                    <w:rPr>
                      <w:rFonts w:hint="eastAsia" w:ascii="Times New Roman" w:hAnsi="Times New Roman"/>
                      <w:b/>
                      <w:bCs/>
                      <w:color w:val="auto"/>
                      <w:kern w:val="2"/>
                      <w:sz w:val="21"/>
                      <w:szCs w:val="21"/>
                      <w:lang w:val="en-US" w:eastAsia="zh-CN"/>
                    </w:rPr>
                    <w:t>%）</w:t>
                  </w:r>
                </w:p>
              </w:tc>
              <w:tc>
                <w:tcPr>
                  <w:tcW w:w="715" w:type="dxa"/>
                  <w:noWrap/>
                  <w:vAlign w:val="center"/>
                </w:tcPr>
                <w:p w14:paraId="26942B0B">
                  <w:pPr>
                    <w:keepNext w:val="0"/>
                    <w:keepLines w:val="0"/>
                    <w:widowControl/>
                    <w:suppressLineNumbers w:val="0"/>
                    <w:adjustRightInd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达标情况</w:t>
                  </w:r>
                </w:p>
              </w:tc>
            </w:tr>
            <w:tr w14:paraId="51582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5C7607E8">
                  <w:pPr>
                    <w:keepNext w:val="0"/>
                    <w:keepLines w:val="0"/>
                    <w:widowControl/>
                    <w:suppressLineNumbers w:val="0"/>
                    <w:adjustRightInd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SO</w:t>
                  </w:r>
                  <w:r>
                    <w:rPr>
                      <w:rFonts w:hint="default" w:ascii="Times New Roman" w:hAnsi="Times New Roman"/>
                      <w:bCs/>
                      <w:color w:val="auto"/>
                      <w:kern w:val="2"/>
                      <w:sz w:val="21"/>
                      <w:szCs w:val="21"/>
                      <w:vertAlign w:val="subscript"/>
                    </w:rPr>
                    <w:t>2</w:t>
                  </w:r>
                </w:p>
              </w:tc>
              <w:tc>
                <w:tcPr>
                  <w:tcW w:w="2014" w:type="dxa"/>
                  <w:noWrap/>
                  <w:vAlign w:val="center"/>
                </w:tcPr>
                <w:p w14:paraId="3E8F517A">
                  <w:pPr>
                    <w:keepNext w:val="0"/>
                    <w:keepLines w:val="0"/>
                    <w:widowControl/>
                    <w:suppressLineNumbers w:val="0"/>
                    <w:adjustRightInd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年平均质量浓度</w:t>
                  </w:r>
                </w:p>
              </w:tc>
              <w:tc>
                <w:tcPr>
                  <w:tcW w:w="942" w:type="dxa"/>
                  <w:noWrap/>
                  <w:vAlign w:val="center"/>
                </w:tcPr>
                <w:p w14:paraId="5FC9D2CB">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7</w:t>
                  </w:r>
                </w:p>
              </w:tc>
              <w:tc>
                <w:tcPr>
                  <w:tcW w:w="1470" w:type="dxa"/>
                  <w:noWrap/>
                  <w:vAlign w:val="center"/>
                </w:tcPr>
                <w:p w14:paraId="28902690">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60</w:t>
                  </w:r>
                </w:p>
              </w:tc>
              <w:tc>
                <w:tcPr>
                  <w:tcW w:w="1194" w:type="dxa"/>
                  <w:noWrap/>
                  <w:vAlign w:val="center"/>
                </w:tcPr>
                <w:p w14:paraId="46567024">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bCs/>
                      <w:color w:val="auto"/>
                      <w:kern w:val="2"/>
                      <w:sz w:val="21"/>
                      <w:szCs w:val="21"/>
                      <w:lang w:val="en-US" w:eastAsia="zh-CN"/>
                    </w:rPr>
                  </w:pPr>
                  <w:r>
                    <w:rPr>
                      <w:rFonts w:hint="eastAsia" w:ascii="Times New Roman" w:hAnsi="Times New Roman"/>
                      <w:bCs/>
                      <w:color w:val="auto"/>
                      <w:kern w:val="2"/>
                      <w:sz w:val="21"/>
                      <w:szCs w:val="21"/>
                      <w:lang w:val="en-US" w:eastAsia="zh-CN"/>
                    </w:rPr>
                    <w:t>60</w:t>
                  </w:r>
                </w:p>
              </w:tc>
              <w:tc>
                <w:tcPr>
                  <w:tcW w:w="834" w:type="dxa"/>
                  <w:noWrap/>
                  <w:vAlign w:val="center"/>
                </w:tcPr>
                <w:p w14:paraId="3BF962B4">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11.7</w:t>
                  </w:r>
                </w:p>
              </w:tc>
              <w:tc>
                <w:tcPr>
                  <w:tcW w:w="715" w:type="dxa"/>
                  <w:noWrap/>
                  <w:vAlign w:val="center"/>
                </w:tcPr>
                <w:p w14:paraId="713E83BB">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达标</w:t>
                  </w:r>
                </w:p>
              </w:tc>
            </w:tr>
            <w:tr w14:paraId="5662D1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73AA3A22">
                  <w:pPr>
                    <w:keepNext w:val="0"/>
                    <w:keepLines w:val="0"/>
                    <w:widowControl/>
                    <w:suppressLineNumbers w:val="0"/>
                    <w:adjustRightInd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NO</w:t>
                  </w:r>
                  <w:r>
                    <w:rPr>
                      <w:rFonts w:hint="default" w:ascii="Times New Roman" w:hAnsi="Times New Roman"/>
                      <w:bCs/>
                      <w:color w:val="auto"/>
                      <w:kern w:val="2"/>
                      <w:sz w:val="21"/>
                      <w:szCs w:val="21"/>
                      <w:vertAlign w:val="subscript"/>
                    </w:rPr>
                    <w:t>2</w:t>
                  </w:r>
                </w:p>
              </w:tc>
              <w:tc>
                <w:tcPr>
                  <w:tcW w:w="2014" w:type="dxa"/>
                  <w:noWrap/>
                  <w:vAlign w:val="center"/>
                </w:tcPr>
                <w:p w14:paraId="7F5475ED">
                  <w:pPr>
                    <w:keepNext w:val="0"/>
                    <w:keepLines w:val="0"/>
                    <w:widowControl/>
                    <w:suppressLineNumbers w:val="0"/>
                    <w:adjustRightInd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年平均质量浓度</w:t>
                  </w:r>
                </w:p>
              </w:tc>
              <w:tc>
                <w:tcPr>
                  <w:tcW w:w="942" w:type="dxa"/>
                  <w:noWrap/>
                  <w:vAlign w:val="center"/>
                </w:tcPr>
                <w:p w14:paraId="5FEE3290">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19</w:t>
                  </w:r>
                </w:p>
              </w:tc>
              <w:tc>
                <w:tcPr>
                  <w:tcW w:w="1470" w:type="dxa"/>
                  <w:noWrap/>
                  <w:vAlign w:val="center"/>
                </w:tcPr>
                <w:p w14:paraId="6F7BFA41">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40</w:t>
                  </w:r>
                </w:p>
              </w:tc>
              <w:tc>
                <w:tcPr>
                  <w:tcW w:w="1194" w:type="dxa"/>
                  <w:noWrap/>
                  <w:vAlign w:val="center"/>
                </w:tcPr>
                <w:p w14:paraId="2D118EDA">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bCs/>
                      <w:color w:val="auto"/>
                      <w:kern w:val="2"/>
                      <w:sz w:val="21"/>
                      <w:szCs w:val="21"/>
                      <w:lang w:val="en-US" w:eastAsia="zh-CN"/>
                    </w:rPr>
                  </w:pPr>
                  <w:r>
                    <w:rPr>
                      <w:rFonts w:hint="eastAsia" w:ascii="Times New Roman" w:hAnsi="Times New Roman"/>
                      <w:bCs/>
                      <w:color w:val="auto"/>
                      <w:kern w:val="2"/>
                      <w:sz w:val="21"/>
                      <w:szCs w:val="21"/>
                      <w:lang w:val="en-US" w:eastAsia="zh-CN"/>
                    </w:rPr>
                    <w:t>40</w:t>
                  </w:r>
                </w:p>
              </w:tc>
              <w:tc>
                <w:tcPr>
                  <w:tcW w:w="834" w:type="dxa"/>
                  <w:noWrap/>
                  <w:vAlign w:val="center"/>
                </w:tcPr>
                <w:p w14:paraId="3100B718">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47.5</w:t>
                  </w:r>
                </w:p>
              </w:tc>
              <w:tc>
                <w:tcPr>
                  <w:tcW w:w="715" w:type="dxa"/>
                  <w:noWrap/>
                  <w:vAlign w:val="center"/>
                </w:tcPr>
                <w:p w14:paraId="2B6C22B6">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达标</w:t>
                  </w:r>
                </w:p>
              </w:tc>
            </w:tr>
            <w:tr w14:paraId="01480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5E99C620">
                  <w:pPr>
                    <w:keepNext w:val="0"/>
                    <w:keepLines w:val="0"/>
                    <w:widowControl/>
                    <w:suppressLineNumbers w:val="0"/>
                    <w:adjustRightInd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PM</w:t>
                  </w:r>
                  <w:r>
                    <w:rPr>
                      <w:rFonts w:hint="default" w:ascii="Times New Roman" w:hAnsi="Times New Roman"/>
                      <w:bCs/>
                      <w:color w:val="auto"/>
                      <w:kern w:val="2"/>
                      <w:sz w:val="21"/>
                      <w:szCs w:val="21"/>
                      <w:vertAlign w:val="subscript"/>
                    </w:rPr>
                    <w:t>10</w:t>
                  </w:r>
                </w:p>
              </w:tc>
              <w:tc>
                <w:tcPr>
                  <w:tcW w:w="2014" w:type="dxa"/>
                  <w:noWrap/>
                  <w:vAlign w:val="center"/>
                </w:tcPr>
                <w:p w14:paraId="719D2465">
                  <w:pPr>
                    <w:keepNext w:val="0"/>
                    <w:keepLines w:val="0"/>
                    <w:widowControl/>
                    <w:suppressLineNumbers w:val="0"/>
                    <w:adjustRightInd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年平均质量浓度</w:t>
                  </w:r>
                </w:p>
              </w:tc>
              <w:tc>
                <w:tcPr>
                  <w:tcW w:w="942" w:type="dxa"/>
                  <w:noWrap/>
                  <w:vAlign w:val="center"/>
                </w:tcPr>
                <w:p w14:paraId="75903FAF">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65.0</w:t>
                  </w:r>
                </w:p>
              </w:tc>
              <w:tc>
                <w:tcPr>
                  <w:tcW w:w="1470" w:type="dxa"/>
                  <w:noWrap/>
                  <w:vAlign w:val="center"/>
                </w:tcPr>
                <w:p w14:paraId="51EACAE3">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70</w:t>
                  </w:r>
                </w:p>
              </w:tc>
              <w:tc>
                <w:tcPr>
                  <w:tcW w:w="1194" w:type="dxa"/>
                  <w:noWrap/>
                  <w:vAlign w:val="center"/>
                </w:tcPr>
                <w:p w14:paraId="35146D44">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bCs/>
                      <w:color w:val="auto"/>
                      <w:kern w:val="2"/>
                      <w:sz w:val="21"/>
                      <w:szCs w:val="21"/>
                      <w:lang w:val="en-US" w:eastAsia="zh-CN"/>
                    </w:rPr>
                  </w:pPr>
                  <w:r>
                    <w:rPr>
                      <w:rFonts w:hint="eastAsia" w:ascii="Times New Roman" w:hAnsi="Times New Roman"/>
                      <w:bCs/>
                      <w:color w:val="auto"/>
                      <w:kern w:val="2"/>
                      <w:sz w:val="21"/>
                      <w:szCs w:val="21"/>
                      <w:lang w:val="en-US" w:eastAsia="zh-CN"/>
                    </w:rPr>
                    <w:t>60</w:t>
                  </w:r>
                </w:p>
              </w:tc>
              <w:tc>
                <w:tcPr>
                  <w:tcW w:w="834" w:type="dxa"/>
                  <w:noWrap/>
                  <w:vAlign w:val="center"/>
                </w:tcPr>
                <w:p w14:paraId="4669F15A">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lang w:val="en-US" w:eastAsia="zh-CN"/>
                    </w:rPr>
                    <w:t>108.3</w:t>
                  </w:r>
                </w:p>
              </w:tc>
              <w:tc>
                <w:tcPr>
                  <w:tcW w:w="715" w:type="dxa"/>
                  <w:noWrap/>
                  <w:vAlign w:val="center"/>
                </w:tcPr>
                <w:p w14:paraId="266ED9BC">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超标</w:t>
                  </w:r>
                </w:p>
              </w:tc>
            </w:tr>
            <w:tr w14:paraId="40E0E0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5466135E">
                  <w:pPr>
                    <w:keepNext w:val="0"/>
                    <w:keepLines w:val="0"/>
                    <w:widowControl/>
                    <w:suppressLineNumbers w:val="0"/>
                    <w:adjustRightInd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PM</w:t>
                  </w:r>
                  <w:r>
                    <w:rPr>
                      <w:rFonts w:hint="default" w:ascii="Times New Roman" w:hAnsi="Times New Roman"/>
                      <w:bCs/>
                      <w:color w:val="auto"/>
                      <w:kern w:val="2"/>
                      <w:sz w:val="21"/>
                      <w:szCs w:val="21"/>
                      <w:vertAlign w:val="subscript"/>
                    </w:rPr>
                    <w:t>2.5</w:t>
                  </w:r>
                </w:p>
              </w:tc>
              <w:tc>
                <w:tcPr>
                  <w:tcW w:w="2014" w:type="dxa"/>
                  <w:noWrap/>
                  <w:vAlign w:val="center"/>
                </w:tcPr>
                <w:p w14:paraId="1BF7F24F">
                  <w:pPr>
                    <w:keepNext w:val="0"/>
                    <w:keepLines w:val="0"/>
                    <w:widowControl/>
                    <w:suppressLineNumbers w:val="0"/>
                    <w:adjustRightInd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年平均质量浓度</w:t>
                  </w:r>
                </w:p>
              </w:tc>
              <w:tc>
                <w:tcPr>
                  <w:tcW w:w="942" w:type="dxa"/>
                  <w:noWrap/>
                  <w:vAlign w:val="center"/>
                </w:tcPr>
                <w:p w14:paraId="4EEC151F">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40.0</w:t>
                  </w:r>
                </w:p>
              </w:tc>
              <w:tc>
                <w:tcPr>
                  <w:tcW w:w="1470" w:type="dxa"/>
                  <w:noWrap/>
                  <w:vAlign w:val="center"/>
                </w:tcPr>
                <w:p w14:paraId="1F414AAF">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35</w:t>
                  </w:r>
                </w:p>
              </w:tc>
              <w:tc>
                <w:tcPr>
                  <w:tcW w:w="1194" w:type="dxa"/>
                  <w:noWrap/>
                  <w:vAlign w:val="center"/>
                </w:tcPr>
                <w:p w14:paraId="4F3F24ED">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bCs/>
                      <w:color w:val="auto"/>
                      <w:kern w:val="2"/>
                      <w:sz w:val="21"/>
                      <w:szCs w:val="21"/>
                      <w:lang w:val="en-US" w:eastAsia="zh-CN"/>
                    </w:rPr>
                  </w:pPr>
                  <w:r>
                    <w:rPr>
                      <w:rFonts w:hint="eastAsia" w:ascii="Times New Roman" w:hAnsi="Times New Roman"/>
                      <w:bCs/>
                      <w:color w:val="auto"/>
                      <w:kern w:val="2"/>
                      <w:sz w:val="21"/>
                      <w:szCs w:val="21"/>
                      <w:lang w:val="en-US" w:eastAsia="zh-CN"/>
                    </w:rPr>
                    <w:t>30</w:t>
                  </w:r>
                </w:p>
              </w:tc>
              <w:tc>
                <w:tcPr>
                  <w:tcW w:w="834" w:type="dxa"/>
                  <w:noWrap/>
                  <w:vAlign w:val="center"/>
                </w:tcPr>
                <w:p w14:paraId="63B1E84F">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1</w:t>
                  </w:r>
                  <w:r>
                    <w:rPr>
                      <w:rFonts w:hint="eastAsia" w:ascii="Times New Roman" w:hAnsi="Times New Roman"/>
                      <w:bCs/>
                      <w:color w:val="auto"/>
                      <w:kern w:val="2"/>
                      <w:sz w:val="21"/>
                      <w:szCs w:val="21"/>
                      <w:lang w:val="en-US" w:eastAsia="zh-CN"/>
                    </w:rPr>
                    <w:t>33.3</w:t>
                  </w:r>
                </w:p>
              </w:tc>
              <w:tc>
                <w:tcPr>
                  <w:tcW w:w="715" w:type="dxa"/>
                  <w:noWrap/>
                  <w:vAlign w:val="center"/>
                </w:tcPr>
                <w:p w14:paraId="2E45D9DB">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超标</w:t>
                  </w:r>
                </w:p>
              </w:tc>
            </w:tr>
            <w:tr w14:paraId="77941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3351E167">
                  <w:pPr>
                    <w:keepNext w:val="0"/>
                    <w:keepLines w:val="0"/>
                    <w:widowControl/>
                    <w:suppressLineNumbers w:val="0"/>
                    <w:adjustRightInd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CO</w:t>
                  </w:r>
                </w:p>
              </w:tc>
              <w:tc>
                <w:tcPr>
                  <w:tcW w:w="2014" w:type="dxa"/>
                  <w:noWrap/>
                  <w:vAlign w:val="center"/>
                </w:tcPr>
                <w:p w14:paraId="1868A598">
                  <w:pPr>
                    <w:keepNext w:val="0"/>
                    <w:keepLines w:val="0"/>
                    <w:widowControl/>
                    <w:suppressLineNumbers w:val="0"/>
                    <w:adjustRightInd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第95百分位数日平均质量浓度</w:t>
                  </w:r>
                </w:p>
              </w:tc>
              <w:tc>
                <w:tcPr>
                  <w:tcW w:w="942" w:type="dxa"/>
                  <w:noWrap/>
                  <w:vAlign w:val="center"/>
                </w:tcPr>
                <w:p w14:paraId="1B878DEA">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800</w:t>
                  </w:r>
                </w:p>
              </w:tc>
              <w:tc>
                <w:tcPr>
                  <w:tcW w:w="1470" w:type="dxa"/>
                  <w:noWrap/>
                  <w:vAlign w:val="center"/>
                </w:tcPr>
                <w:p w14:paraId="212682AB">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4000</w:t>
                  </w:r>
                </w:p>
              </w:tc>
              <w:tc>
                <w:tcPr>
                  <w:tcW w:w="1194" w:type="dxa"/>
                  <w:noWrap/>
                  <w:vAlign w:val="center"/>
                </w:tcPr>
                <w:p w14:paraId="61BC1B1A">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4000</w:t>
                  </w:r>
                </w:p>
              </w:tc>
              <w:tc>
                <w:tcPr>
                  <w:tcW w:w="834" w:type="dxa"/>
                  <w:noWrap/>
                  <w:vAlign w:val="center"/>
                </w:tcPr>
                <w:p w14:paraId="345B3F17">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20</w:t>
                  </w:r>
                </w:p>
              </w:tc>
              <w:tc>
                <w:tcPr>
                  <w:tcW w:w="715" w:type="dxa"/>
                  <w:noWrap/>
                  <w:vAlign w:val="center"/>
                </w:tcPr>
                <w:p w14:paraId="2B02E2F4">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达标</w:t>
                  </w:r>
                </w:p>
              </w:tc>
            </w:tr>
            <w:tr w14:paraId="09511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7DD174E6">
                  <w:pPr>
                    <w:keepNext w:val="0"/>
                    <w:keepLines w:val="0"/>
                    <w:widowControl/>
                    <w:suppressLineNumbers w:val="0"/>
                    <w:adjustRightInd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O</w:t>
                  </w:r>
                  <w:r>
                    <w:rPr>
                      <w:rFonts w:hint="default" w:ascii="Times New Roman" w:hAnsi="Times New Roman"/>
                      <w:bCs/>
                      <w:color w:val="auto"/>
                      <w:kern w:val="2"/>
                      <w:sz w:val="21"/>
                      <w:szCs w:val="21"/>
                      <w:vertAlign w:val="subscript"/>
                    </w:rPr>
                    <w:t>3</w:t>
                  </w:r>
                </w:p>
              </w:tc>
              <w:tc>
                <w:tcPr>
                  <w:tcW w:w="2014" w:type="dxa"/>
                  <w:noWrap/>
                  <w:vAlign w:val="center"/>
                </w:tcPr>
                <w:p w14:paraId="31E2FEB3">
                  <w:pPr>
                    <w:keepNext w:val="0"/>
                    <w:keepLines w:val="0"/>
                    <w:widowControl/>
                    <w:suppressLineNumbers w:val="0"/>
                    <w:adjustRightInd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第90百分位数日最大8小时平均质量浓度</w:t>
                  </w:r>
                </w:p>
              </w:tc>
              <w:tc>
                <w:tcPr>
                  <w:tcW w:w="942" w:type="dxa"/>
                  <w:noWrap/>
                  <w:vAlign w:val="center"/>
                </w:tcPr>
                <w:p w14:paraId="522F6592">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160</w:t>
                  </w:r>
                </w:p>
              </w:tc>
              <w:tc>
                <w:tcPr>
                  <w:tcW w:w="1470" w:type="dxa"/>
                  <w:noWrap/>
                  <w:vAlign w:val="center"/>
                </w:tcPr>
                <w:p w14:paraId="78702279">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160</w:t>
                  </w:r>
                </w:p>
              </w:tc>
              <w:tc>
                <w:tcPr>
                  <w:tcW w:w="1194" w:type="dxa"/>
                  <w:noWrap/>
                  <w:vAlign w:val="center"/>
                </w:tcPr>
                <w:p w14:paraId="294AE75F">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160</w:t>
                  </w:r>
                </w:p>
              </w:tc>
              <w:tc>
                <w:tcPr>
                  <w:tcW w:w="834" w:type="dxa"/>
                  <w:noWrap/>
                  <w:vAlign w:val="center"/>
                </w:tcPr>
                <w:p w14:paraId="02109AC1">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100</w:t>
                  </w:r>
                </w:p>
              </w:tc>
              <w:tc>
                <w:tcPr>
                  <w:tcW w:w="715" w:type="dxa"/>
                  <w:noWrap/>
                  <w:vAlign w:val="center"/>
                </w:tcPr>
                <w:p w14:paraId="2E2B6904">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达标</w:t>
                  </w:r>
                </w:p>
              </w:tc>
            </w:tr>
          </w:tbl>
          <w:p w14:paraId="412CD1AD">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szCs w:val="21"/>
              </w:rPr>
            </w:pPr>
            <w:r>
              <w:rPr>
                <w:rFonts w:hint="default" w:ascii="Times New Roman" w:hAnsi="Times New Roman"/>
                <w:color w:val="auto"/>
                <w:kern w:val="2"/>
                <w:szCs w:val="21"/>
              </w:rPr>
              <w:t>根据</w:t>
            </w:r>
            <w:bookmarkStart w:id="17" w:name="OLE_LINK30"/>
            <w:bookmarkStart w:id="18" w:name="OLE_LINK31"/>
            <w:r>
              <w:rPr>
                <w:rFonts w:hint="default" w:ascii="Times New Roman" w:hAnsi="Times New Roman"/>
                <w:color w:val="auto"/>
                <w:kern w:val="2"/>
                <w:szCs w:val="21"/>
              </w:rPr>
              <w:t>《2024年淮南市生态环境质量状况公报》</w:t>
            </w:r>
            <w:bookmarkEnd w:id="17"/>
            <w:bookmarkEnd w:id="18"/>
            <w:r>
              <w:rPr>
                <w:rFonts w:hint="default" w:ascii="Times New Roman" w:hAnsi="Times New Roman"/>
                <w:color w:val="auto"/>
                <w:kern w:val="2"/>
                <w:szCs w:val="21"/>
              </w:rPr>
              <w:t>并结合《环境空气质量标准》（GB3095-2012）及其修改清单中的二级标准可知，2024年淮南市环境空气中PM</w:t>
            </w:r>
            <w:r>
              <w:rPr>
                <w:rFonts w:hint="default" w:ascii="Times New Roman" w:hAnsi="Times New Roman"/>
                <w:color w:val="auto"/>
                <w:kern w:val="2"/>
                <w:szCs w:val="21"/>
                <w:vertAlign w:val="subscript"/>
              </w:rPr>
              <w:t>2.5</w:t>
            </w:r>
            <w:r>
              <w:rPr>
                <w:rFonts w:hint="default" w:ascii="Times New Roman" w:hAnsi="Times New Roman"/>
                <w:color w:val="auto"/>
                <w:kern w:val="2"/>
                <w:szCs w:val="21"/>
              </w:rPr>
              <w:t>年平均浓度超过环境空气质量二级标准</w:t>
            </w:r>
            <w:r>
              <w:rPr>
                <w:rFonts w:hint="eastAsia" w:ascii="Times New Roman" w:hAnsi="Times New Roman"/>
                <w:color w:val="auto"/>
                <w:kern w:val="2"/>
                <w:szCs w:val="21"/>
              </w:rPr>
              <w:t>；结合</w:t>
            </w:r>
            <w:r>
              <w:rPr>
                <w:rFonts w:hint="default" w:ascii="Times New Roman" w:hAnsi="Times New Roman"/>
                <w:color w:val="auto"/>
                <w:kern w:val="2"/>
                <w:szCs w:val="21"/>
              </w:rPr>
              <w:t>《环境空气质量标准》（GB3095-20</w:t>
            </w:r>
            <w:r>
              <w:rPr>
                <w:rFonts w:hint="eastAsia" w:ascii="Times New Roman" w:hAnsi="Times New Roman"/>
                <w:color w:val="auto"/>
                <w:kern w:val="2"/>
                <w:szCs w:val="21"/>
              </w:rPr>
              <w:t>26</w:t>
            </w:r>
            <w:r>
              <w:rPr>
                <w:rFonts w:hint="default" w:ascii="Times New Roman" w:hAnsi="Times New Roman"/>
                <w:color w:val="auto"/>
                <w:kern w:val="2"/>
                <w:szCs w:val="21"/>
              </w:rPr>
              <w:t>）</w:t>
            </w:r>
            <w:r>
              <w:rPr>
                <w:rFonts w:hint="eastAsia" w:ascii="Times New Roman" w:hAnsi="Times New Roman"/>
                <w:color w:val="auto"/>
                <w:kern w:val="2"/>
                <w:szCs w:val="21"/>
              </w:rPr>
              <w:t>中过渡阶段浓度限值</w:t>
            </w:r>
            <w:r>
              <w:rPr>
                <w:rFonts w:hint="default" w:ascii="Times New Roman" w:hAnsi="Times New Roman"/>
                <w:color w:val="auto"/>
                <w:kern w:val="2"/>
                <w:szCs w:val="21"/>
              </w:rPr>
              <w:t>二级标准可知</w:t>
            </w:r>
            <w:r>
              <w:rPr>
                <w:rFonts w:hint="eastAsia" w:ascii="Times New Roman" w:hAnsi="Times New Roman"/>
                <w:color w:val="auto"/>
                <w:kern w:val="2"/>
                <w:szCs w:val="21"/>
              </w:rPr>
              <w:t>，</w:t>
            </w:r>
            <w:r>
              <w:rPr>
                <w:rFonts w:hint="default" w:ascii="Times New Roman" w:hAnsi="Times New Roman"/>
                <w:color w:val="auto"/>
                <w:kern w:val="2"/>
                <w:szCs w:val="21"/>
              </w:rPr>
              <w:t>2024年淮南市环境空气中PM</w:t>
            </w:r>
            <w:r>
              <w:rPr>
                <w:rFonts w:hint="eastAsia" w:ascii="Times New Roman" w:hAnsi="Times New Roman"/>
                <w:color w:val="auto"/>
                <w:kern w:val="2"/>
                <w:szCs w:val="21"/>
                <w:vertAlign w:val="subscript"/>
              </w:rPr>
              <w:t>10</w:t>
            </w:r>
            <w:r>
              <w:rPr>
                <w:rFonts w:hint="eastAsia" w:ascii="Times New Roman" w:hAnsi="Times New Roman"/>
                <w:color w:val="auto"/>
                <w:kern w:val="2"/>
                <w:szCs w:val="21"/>
              </w:rPr>
              <w:t>占标率为108.3%、</w:t>
            </w:r>
            <w:r>
              <w:rPr>
                <w:rFonts w:hint="default" w:ascii="Times New Roman" w:hAnsi="Times New Roman"/>
                <w:color w:val="auto"/>
                <w:kern w:val="2"/>
                <w:szCs w:val="21"/>
              </w:rPr>
              <w:t>PM</w:t>
            </w:r>
            <w:r>
              <w:rPr>
                <w:rFonts w:hint="default" w:ascii="Times New Roman" w:hAnsi="Times New Roman"/>
                <w:color w:val="auto"/>
                <w:kern w:val="2"/>
                <w:szCs w:val="21"/>
                <w:vertAlign w:val="subscript"/>
              </w:rPr>
              <w:t>2.5</w:t>
            </w:r>
            <w:r>
              <w:rPr>
                <w:rFonts w:hint="eastAsia" w:ascii="Times New Roman" w:hAnsi="Times New Roman"/>
                <w:color w:val="auto"/>
                <w:kern w:val="2"/>
                <w:szCs w:val="21"/>
              </w:rPr>
              <w:t>占标率为133.3%</w:t>
            </w:r>
            <w:r>
              <w:rPr>
                <w:rFonts w:hint="eastAsia" w:ascii="Times New Roman" w:hAnsi="Times New Roman"/>
                <w:color w:val="auto"/>
                <w:kern w:val="2"/>
                <w:szCs w:val="21"/>
                <w:lang w:eastAsia="zh-CN"/>
              </w:rPr>
              <w:t>，</w:t>
            </w:r>
            <w:r>
              <w:rPr>
                <w:rFonts w:hint="default" w:ascii="Times New Roman" w:hAnsi="Times New Roman"/>
                <w:color w:val="auto"/>
                <w:kern w:val="2"/>
                <w:szCs w:val="21"/>
              </w:rPr>
              <w:t>年平均浓度</w:t>
            </w:r>
            <w:r>
              <w:rPr>
                <w:rFonts w:hint="eastAsia" w:ascii="Times New Roman" w:hAnsi="Times New Roman"/>
                <w:color w:val="auto"/>
                <w:kern w:val="2"/>
                <w:szCs w:val="21"/>
              </w:rPr>
              <w:t>均</w:t>
            </w:r>
            <w:r>
              <w:rPr>
                <w:rFonts w:hint="default" w:ascii="Times New Roman" w:hAnsi="Times New Roman"/>
                <w:color w:val="auto"/>
                <w:kern w:val="2"/>
                <w:szCs w:val="21"/>
              </w:rPr>
              <w:t>超过环境空气质量</w:t>
            </w:r>
            <w:r>
              <w:rPr>
                <w:rFonts w:hint="eastAsia" w:ascii="Times New Roman" w:hAnsi="Times New Roman"/>
                <w:color w:val="auto"/>
                <w:kern w:val="2"/>
                <w:szCs w:val="21"/>
              </w:rPr>
              <w:t>过渡阶段浓度限值</w:t>
            </w:r>
            <w:r>
              <w:rPr>
                <w:rFonts w:hint="default" w:ascii="Times New Roman" w:hAnsi="Times New Roman"/>
                <w:color w:val="auto"/>
                <w:kern w:val="2"/>
                <w:szCs w:val="21"/>
              </w:rPr>
              <w:t>二级标准，经判定，项目所在区为环境空气质量不达标区域。</w:t>
            </w:r>
          </w:p>
          <w:p w14:paraId="3A4F30DF">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szCs w:val="21"/>
              </w:rPr>
            </w:pPr>
            <w:r>
              <w:rPr>
                <w:rFonts w:hint="default" w:ascii="Times New Roman" w:hAnsi="Times New Roman"/>
                <w:color w:val="auto"/>
                <w:kern w:val="2"/>
                <w:szCs w:val="21"/>
              </w:rPr>
              <w:t>淮南市生态环境局就空气质量不达标提出一系列举措，为确保淮南市大气污染防治工作有效推进，目前，淮南市已制订《淮南市</w:t>
            </w:r>
            <w:r>
              <w:rPr>
                <w:rFonts w:hint="default"/>
                <w:color w:val="auto"/>
                <w:kern w:val="2"/>
                <w:szCs w:val="21"/>
              </w:rPr>
              <w:t>“</w:t>
            </w:r>
            <w:r>
              <w:rPr>
                <w:rFonts w:hint="default" w:ascii="Times New Roman" w:hAnsi="Times New Roman"/>
                <w:color w:val="auto"/>
                <w:kern w:val="2"/>
                <w:szCs w:val="21"/>
              </w:rPr>
              <w:t>十四五</w:t>
            </w:r>
            <w:r>
              <w:rPr>
                <w:rFonts w:hint="default"/>
                <w:color w:val="auto"/>
                <w:kern w:val="2"/>
                <w:szCs w:val="21"/>
              </w:rPr>
              <w:t>”</w:t>
            </w:r>
            <w:r>
              <w:rPr>
                <w:rFonts w:hint="default" w:ascii="Times New Roman" w:hAnsi="Times New Roman"/>
                <w:color w:val="auto"/>
                <w:kern w:val="2"/>
                <w:szCs w:val="21"/>
              </w:rPr>
              <w:t>大气污染防治规划（2021-2025年）》，围绕工业大气污染治理、扬（烟）尘污染防治等开展专项治理活动，进一步削减大气污染物排放。</w:t>
            </w:r>
          </w:p>
          <w:p w14:paraId="6D94568F">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default" w:ascii="Times New Roman" w:hAnsi="Times New Roman"/>
                <w:b/>
                <w:color w:val="auto"/>
                <w:kern w:val="2"/>
              </w:rPr>
              <w:t>（2）其他污染物监测结果</w:t>
            </w:r>
          </w:p>
          <w:p w14:paraId="780232BA">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eastAsia" w:ascii="Times New Roman" w:hAnsi="Times New Roman"/>
                <w:color w:val="auto"/>
                <w:kern w:val="2"/>
              </w:rPr>
              <w:t>与本项目有关的其他大气污染物为非甲烷总烃，根据生态环境部环境工程评估中心关于“《建设项目环境影响报告表》内容、格式及编制技术指南常见问题解答”中：技术指南中提到“排放国家、地方环境空气质量标准中有标准限值要求的特征污染物”，其中环境空气质量标准指《环境空气质量标准》（GB3095）和地方的环境空气质量标准，不包括《环境影响评价技术导则 大气环境》（HJ2.2-2018）附录D、《工业企业设计卫生标准》（TJ36-97）、《前苏联居住区标准》（CH245-71）、《环境影响评价技术导则制药建设项目》（HJ611-2011）、《大气污染物综合排放标准详解》等导则或参考资料。排放的特征污染物需要在国家、地方环境空气质量标准中有限值要求才涉及现状监测，且优先引用现有监测数据，</w:t>
            </w:r>
            <w:r>
              <w:rPr>
                <w:rFonts w:hint="default" w:ascii="Times New Roman" w:hAnsi="Times New Roman"/>
                <w:color w:val="auto"/>
                <w:kern w:val="2"/>
              </w:rPr>
              <w:t>环境空气质量标准》（GB3095-20</w:t>
            </w:r>
            <w:r>
              <w:rPr>
                <w:rFonts w:hint="eastAsia" w:ascii="Times New Roman" w:hAnsi="Times New Roman"/>
                <w:color w:val="auto"/>
                <w:kern w:val="2"/>
              </w:rPr>
              <w:t>26</w:t>
            </w:r>
            <w:r>
              <w:rPr>
                <w:rFonts w:hint="default" w:ascii="Times New Roman" w:hAnsi="Times New Roman"/>
                <w:color w:val="auto"/>
                <w:kern w:val="2"/>
              </w:rPr>
              <w:t>）</w:t>
            </w:r>
            <w:r>
              <w:rPr>
                <w:rFonts w:hint="eastAsia" w:ascii="Times New Roman" w:hAnsi="Times New Roman"/>
                <w:color w:val="auto"/>
                <w:kern w:val="2"/>
                <w:lang w:val="en-US" w:eastAsia="zh-CN"/>
              </w:rPr>
              <w:t>中无非甲烷总烃限制要求，</w:t>
            </w:r>
            <w:r>
              <w:rPr>
                <w:rFonts w:hint="eastAsia" w:ascii="Times New Roman" w:hAnsi="Times New Roman"/>
                <w:color w:val="auto"/>
                <w:kern w:val="2"/>
              </w:rPr>
              <w:t>因此本项目非甲烷总烃可不做现状监测。</w:t>
            </w:r>
          </w:p>
          <w:p w14:paraId="364ED591">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default" w:ascii="Times New Roman" w:hAnsi="Times New Roman"/>
                <w:b/>
                <w:color w:val="auto"/>
                <w:kern w:val="2"/>
              </w:rPr>
              <w:t>2、地表水环境质量现状</w:t>
            </w:r>
          </w:p>
          <w:p w14:paraId="7EBEA13E">
            <w:pPr>
              <w:keepNext w:val="0"/>
              <w:keepLines w:val="0"/>
              <w:widowControl/>
              <w:suppressLineNumbers w:val="0"/>
              <w:autoSpaceDE w:val="0"/>
              <w:autoSpaceDN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与本项目有关的地表水体为架河，架河水环境质量执行《地表水环境质量标准》中的Ⅲ类水质标准要求。</w:t>
            </w:r>
          </w:p>
          <w:p w14:paraId="3F16F2BE">
            <w:pPr>
              <w:keepNext w:val="0"/>
              <w:keepLines w:val="0"/>
              <w:widowControl/>
              <w:suppressLineNumbers w:val="0"/>
              <w:autoSpaceDE w:val="0"/>
              <w:autoSpaceDN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根据淮南市生态环境局发布的202</w:t>
            </w:r>
            <w:r>
              <w:rPr>
                <w:rFonts w:hint="eastAsia" w:ascii="Times New Roman" w:hAnsi="Times New Roman"/>
                <w:color w:val="auto"/>
                <w:kern w:val="2"/>
              </w:rPr>
              <w:t>6</w:t>
            </w:r>
            <w:r>
              <w:rPr>
                <w:rFonts w:hint="default" w:ascii="Times New Roman" w:hAnsi="Times New Roman"/>
                <w:color w:val="auto"/>
                <w:kern w:val="2"/>
              </w:rPr>
              <w:t>年</w:t>
            </w:r>
            <w:r>
              <w:rPr>
                <w:rFonts w:hint="eastAsia" w:ascii="Times New Roman" w:hAnsi="Times New Roman"/>
                <w:color w:val="auto"/>
                <w:kern w:val="2"/>
              </w:rPr>
              <w:t>1</w:t>
            </w:r>
            <w:r>
              <w:rPr>
                <w:rFonts w:hint="default" w:ascii="Times New Roman" w:hAnsi="Times New Roman"/>
                <w:color w:val="auto"/>
                <w:kern w:val="2"/>
              </w:rPr>
              <w:t>月</w:t>
            </w:r>
            <w:bookmarkStart w:id="19" w:name="OLE_LINK17"/>
            <w:r>
              <w:rPr>
                <w:rFonts w:hint="default" w:ascii="Times New Roman" w:hAnsi="Times New Roman"/>
                <w:color w:val="auto"/>
                <w:kern w:val="2"/>
              </w:rPr>
              <w:t>环境质量月报</w:t>
            </w:r>
            <w:bookmarkEnd w:id="19"/>
            <w:r>
              <w:rPr>
                <w:rFonts w:hint="default" w:ascii="Times New Roman" w:hAnsi="Times New Roman"/>
                <w:color w:val="auto"/>
                <w:kern w:val="2"/>
              </w:rPr>
              <w:t>，地表水架河评价结果具体见下表。</w:t>
            </w:r>
          </w:p>
          <w:p w14:paraId="20DF78DB">
            <w:pPr>
              <w:keepNext w:val="0"/>
              <w:keepLines w:val="0"/>
              <w:widowControl/>
              <w:suppressLineNumbers w:val="0"/>
              <w:autoSpaceDE w:val="0"/>
              <w:autoSpaceDN w:val="0"/>
              <w:spacing w:before="0" w:beforeAutospacing="0" w:after="0" w:afterAutospacing="0" w:line="360" w:lineRule="auto"/>
              <w:ind w:left="0" w:right="0" w:firstLine="480" w:firstLineChars="200"/>
              <w:jc w:val="center"/>
              <w:rPr>
                <w:rFonts w:hint="default" w:ascii="黑体" w:hAnsi="黑体" w:eastAsia="黑体"/>
                <w:color w:val="auto"/>
                <w:kern w:val="2"/>
              </w:rPr>
            </w:pPr>
            <w:r>
              <w:rPr>
                <w:rFonts w:hint="default" w:ascii="Times New Roman" w:hAnsi="黑体" w:eastAsia="黑体"/>
                <w:color w:val="auto"/>
                <w:kern w:val="2"/>
              </w:rPr>
              <w:t>表</w:t>
            </w:r>
            <w:r>
              <w:rPr>
                <w:rFonts w:hint="default" w:ascii="Times New Roman" w:hAnsi="Times New Roman" w:eastAsia="黑体"/>
                <w:color w:val="auto"/>
                <w:kern w:val="2"/>
              </w:rPr>
              <w:t>3-</w:t>
            </w:r>
            <w:r>
              <w:rPr>
                <w:rFonts w:hint="eastAsia" w:ascii="Times New Roman" w:hAnsi="Times New Roman" w:eastAsia="黑体"/>
                <w:color w:val="auto"/>
                <w:kern w:val="2"/>
                <w:lang w:val="en-US" w:eastAsia="zh-CN"/>
              </w:rPr>
              <w:t>2</w:t>
            </w:r>
            <w:r>
              <w:rPr>
                <w:rFonts w:hint="default" w:ascii="黑体" w:hAnsi="黑体" w:eastAsia="黑体"/>
                <w:color w:val="auto"/>
                <w:kern w:val="2"/>
              </w:rPr>
              <w:t xml:space="preserve">  水质评价结果</w:t>
            </w:r>
          </w:p>
          <w:tbl>
            <w:tblPr>
              <w:tblStyle w:val="23"/>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094"/>
              <w:gridCol w:w="1316"/>
              <w:gridCol w:w="1095"/>
              <w:gridCol w:w="1751"/>
              <w:gridCol w:w="1095"/>
              <w:gridCol w:w="1532"/>
            </w:tblGrid>
            <w:tr w14:paraId="383471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94" w:type="pct"/>
                  <w:vAlign w:val="center"/>
                </w:tcPr>
                <w:p w14:paraId="0FBF18CF">
                  <w:pPr>
                    <w:keepNext w:val="0"/>
                    <w:keepLines w:val="0"/>
                    <w:widowControl/>
                    <w:suppressLineNumbers w:val="0"/>
                    <w:spacing w:before="0" w:beforeAutospacing="0" w:after="0" w:afterAutospacing="0" w:line="273" w:lineRule="auto"/>
                    <w:ind w:left="0" w:right="0"/>
                    <w:jc w:val="center"/>
                    <w:rPr>
                      <w:rFonts w:hint="default"/>
                      <w:b/>
                      <w:bCs/>
                      <w:color w:val="auto"/>
                      <w:kern w:val="2"/>
                      <w:sz w:val="21"/>
                      <w:szCs w:val="21"/>
                    </w:rPr>
                  </w:pPr>
                  <w:r>
                    <w:rPr>
                      <w:rFonts w:hint="default"/>
                      <w:b/>
                      <w:bCs/>
                      <w:color w:val="auto"/>
                      <w:kern w:val="2"/>
                      <w:sz w:val="21"/>
                      <w:szCs w:val="21"/>
                    </w:rPr>
                    <w:t>水体名称</w:t>
                  </w:r>
                </w:p>
              </w:tc>
              <w:tc>
                <w:tcPr>
                  <w:tcW w:w="834" w:type="pct"/>
                  <w:vAlign w:val="center"/>
                </w:tcPr>
                <w:p w14:paraId="7CE328AC">
                  <w:pPr>
                    <w:keepNext w:val="0"/>
                    <w:keepLines w:val="0"/>
                    <w:widowControl/>
                    <w:suppressLineNumbers w:val="0"/>
                    <w:spacing w:before="0" w:beforeAutospacing="0" w:after="0" w:afterAutospacing="0" w:line="273" w:lineRule="auto"/>
                    <w:ind w:left="0" w:right="0"/>
                    <w:jc w:val="center"/>
                    <w:rPr>
                      <w:rFonts w:hint="default"/>
                      <w:b/>
                      <w:bCs/>
                      <w:color w:val="auto"/>
                      <w:kern w:val="2"/>
                      <w:sz w:val="21"/>
                      <w:szCs w:val="21"/>
                    </w:rPr>
                  </w:pPr>
                  <w:r>
                    <w:rPr>
                      <w:rFonts w:hint="default"/>
                      <w:b/>
                      <w:bCs/>
                      <w:color w:val="auto"/>
                      <w:kern w:val="2"/>
                      <w:sz w:val="21"/>
                      <w:szCs w:val="21"/>
                    </w:rPr>
                    <w:t>断面名称</w:t>
                  </w:r>
                </w:p>
              </w:tc>
              <w:tc>
                <w:tcPr>
                  <w:tcW w:w="694" w:type="pct"/>
                  <w:vAlign w:val="center"/>
                </w:tcPr>
                <w:p w14:paraId="5B4235B7">
                  <w:pPr>
                    <w:keepNext w:val="0"/>
                    <w:keepLines w:val="0"/>
                    <w:widowControl/>
                    <w:suppressLineNumbers w:val="0"/>
                    <w:spacing w:before="0" w:beforeAutospacing="0" w:after="0" w:afterAutospacing="0" w:line="273" w:lineRule="auto"/>
                    <w:ind w:left="0" w:right="0"/>
                    <w:jc w:val="center"/>
                    <w:rPr>
                      <w:rFonts w:hint="default"/>
                      <w:b/>
                      <w:bCs/>
                      <w:color w:val="auto"/>
                      <w:kern w:val="2"/>
                      <w:sz w:val="21"/>
                      <w:szCs w:val="21"/>
                    </w:rPr>
                  </w:pPr>
                  <w:r>
                    <w:rPr>
                      <w:rFonts w:hint="default"/>
                      <w:b/>
                      <w:bCs/>
                      <w:color w:val="auto"/>
                      <w:kern w:val="2"/>
                      <w:sz w:val="21"/>
                      <w:szCs w:val="21"/>
                    </w:rPr>
                    <w:t>水质类别</w:t>
                  </w:r>
                </w:p>
              </w:tc>
              <w:tc>
                <w:tcPr>
                  <w:tcW w:w="1110" w:type="pct"/>
                  <w:vAlign w:val="center"/>
                </w:tcPr>
                <w:p w14:paraId="175ED695">
                  <w:pPr>
                    <w:keepNext w:val="0"/>
                    <w:keepLines w:val="0"/>
                    <w:widowControl/>
                    <w:suppressLineNumbers w:val="0"/>
                    <w:spacing w:before="0" w:beforeAutospacing="0" w:after="0" w:afterAutospacing="0" w:line="273" w:lineRule="auto"/>
                    <w:ind w:left="0" w:right="0"/>
                    <w:jc w:val="center"/>
                    <w:rPr>
                      <w:rFonts w:hint="default"/>
                      <w:b/>
                      <w:bCs/>
                      <w:color w:val="auto"/>
                      <w:kern w:val="2"/>
                      <w:sz w:val="21"/>
                      <w:szCs w:val="21"/>
                    </w:rPr>
                  </w:pPr>
                  <w:r>
                    <w:rPr>
                      <w:rFonts w:hint="default"/>
                      <w:b/>
                      <w:bCs/>
                      <w:color w:val="auto"/>
                      <w:kern w:val="2"/>
                      <w:sz w:val="21"/>
                      <w:szCs w:val="21"/>
                    </w:rPr>
                    <w:t>超标因子及倍数</w:t>
                  </w:r>
                </w:p>
              </w:tc>
              <w:tc>
                <w:tcPr>
                  <w:tcW w:w="694" w:type="pct"/>
                  <w:vAlign w:val="center"/>
                </w:tcPr>
                <w:p w14:paraId="3A89F7F7">
                  <w:pPr>
                    <w:keepNext w:val="0"/>
                    <w:keepLines w:val="0"/>
                    <w:widowControl/>
                    <w:suppressLineNumbers w:val="0"/>
                    <w:spacing w:before="0" w:beforeAutospacing="0" w:after="0" w:afterAutospacing="0" w:line="273" w:lineRule="auto"/>
                    <w:ind w:left="0" w:right="0"/>
                    <w:jc w:val="center"/>
                    <w:rPr>
                      <w:rFonts w:hint="default"/>
                      <w:b/>
                      <w:bCs/>
                      <w:color w:val="auto"/>
                      <w:kern w:val="2"/>
                      <w:sz w:val="21"/>
                      <w:szCs w:val="21"/>
                    </w:rPr>
                  </w:pPr>
                  <w:r>
                    <w:rPr>
                      <w:rFonts w:hint="default"/>
                      <w:b/>
                      <w:bCs/>
                      <w:color w:val="auto"/>
                      <w:kern w:val="2"/>
                      <w:sz w:val="21"/>
                      <w:szCs w:val="21"/>
                    </w:rPr>
                    <w:t>上月水质</w:t>
                  </w:r>
                </w:p>
              </w:tc>
              <w:tc>
                <w:tcPr>
                  <w:tcW w:w="971" w:type="pct"/>
                  <w:vAlign w:val="center"/>
                </w:tcPr>
                <w:p w14:paraId="6EB6B7B1">
                  <w:pPr>
                    <w:keepNext w:val="0"/>
                    <w:keepLines w:val="0"/>
                    <w:widowControl/>
                    <w:suppressLineNumbers w:val="0"/>
                    <w:spacing w:before="0" w:beforeAutospacing="0" w:after="0" w:afterAutospacing="0" w:line="273" w:lineRule="auto"/>
                    <w:ind w:left="0" w:right="0"/>
                    <w:jc w:val="center"/>
                    <w:rPr>
                      <w:rFonts w:hint="default"/>
                      <w:b/>
                      <w:bCs/>
                      <w:color w:val="auto"/>
                      <w:kern w:val="2"/>
                      <w:sz w:val="21"/>
                      <w:szCs w:val="21"/>
                    </w:rPr>
                  </w:pPr>
                  <w:r>
                    <w:rPr>
                      <w:rFonts w:hint="default"/>
                      <w:b/>
                      <w:bCs/>
                      <w:color w:val="auto"/>
                      <w:kern w:val="2"/>
                      <w:sz w:val="21"/>
                      <w:szCs w:val="21"/>
                    </w:rPr>
                    <w:t>去年同期水质</w:t>
                  </w:r>
                </w:p>
              </w:tc>
            </w:tr>
            <w:tr w14:paraId="128A07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694" w:type="pct"/>
                  <w:vAlign w:val="center"/>
                </w:tcPr>
                <w:p w14:paraId="31376AFF">
                  <w:pPr>
                    <w:keepNext w:val="0"/>
                    <w:keepLines w:val="0"/>
                    <w:widowControl/>
                    <w:suppressLineNumbers w:val="0"/>
                    <w:spacing w:before="0" w:beforeAutospacing="0" w:after="0" w:afterAutospacing="0" w:line="273" w:lineRule="auto"/>
                    <w:ind w:left="0" w:right="0"/>
                    <w:jc w:val="center"/>
                    <w:rPr>
                      <w:rFonts w:hint="default"/>
                      <w:color w:val="auto"/>
                      <w:kern w:val="2"/>
                      <w:sz w:val="21"/>
                      <w:szCs w:val="21"/>
                    </w:rPr>
                  </w:pPr>
                  <w:r>
                    <w:rPr>
                      <w:rFonts w:hint="default"/>
                      <w:color w:val="auto"/>
                      <w:kern w:val="2"/>
                      <w:sz w:val="21"/>
                      <w:szCs w:val="21"/>
                    </w:rPr>
                    <w:t>架河</w:t>
                  </w:r>
                </w:p>
              </w:tc>
              <w:tc>
                <w:tcPr>
                  <w:tcW w:w="834" w:type="pct"/>
                  <w:vAlign w:val="center"/>
                </w:tcPr>
                <w:p w14:paraId="6AABB5FE">
                  <w:pPr>
                    <w:keepNext w:val="0"/>
                    <w:keepLines w:val="0"/>
                    <w:widowControl/>
                    <w:suppressLineNumbers w:val="0"/>
                    <w:spacing w:before="0" w:beforeAutospacing="0" w:after="0" w:afterAutospacing="0" w:line="273" w:lineRule="auto"/>
                    <w:ind w:left="0" w:right="0"/>
                    <w:jc w:val="center"/>
                    <w:rPr>
                      <w:rFonts w:hint="default"/>
                      <w:color w:val="auto"/>
                      <w:kern w:val="2"/>
                      <w:sz w:val="21"/>
                      <w:szCs w:val="21"/>
                    </w:rPr>
                  </w:pPr>
                  <w:r>
                    <w:rPr>
                      <w:rFonts w:hint="default"/>
                      <w:color w:val="auto"/>
                      <w:kern w:val="2"/>
                      <w:sz w:val="21"/>
                      <w:szCs w:val="21"/>
                    </w:rPr>
                    <w:t>架河入淮口</w:t>
                  </w:r>
                </w:p>
              </w:tc>
              <w:tc>
                <w:tcPr>
                  <w:tcW w:w="694" w:type="pct"/>
                  <w:vAlign w:val="center"/>
                </w:tcPr>
                <w:p w14:paraId="1B387D7B">
                  <w:pPr>
                    <w:keepNext w:val="0"/>
                    <w:keepLines w:val="0"/>
                    <w:widowControl/>
                    <w:suppressLineNumbers w:val="0"/>
                    <w:spacing w:before="0" w:beforeAutospacing="0" w:after="0" w:afterAutospacing="0" w:line="273" w:lineRule="auto"/>
                    <w:ind w:left="0" w:right="0"/>
                    <w:jc w:val="center"/>
                    <w:rPr>
                      <w:rFonts w:hint="default"/>
                      <w:color w:val="auto"/>
                      <w:kern w:val="2"/>
                      <w:sz w:val="21"/>
                      <w:szCs w:val="21"/>
                    </w:rPr>
                  </w:pPr>
                  <w:r>
                    <w:rPr>
                      <w:rFonts w:hint="default"/>
                      <w:color w:val="auto"/>
                      <w:kern w:val="2"/>
                      <w:sz w:val="21"/>
                      <w:szCs w:val="21"/>
                    </w:rPr>
                    <w:t>Ⅲ类</w:t>
                  </w:r>
                </w:p>
              </w:tc>
              <w:tc>
                <w:tcPr>
                  <w:tcW w:w="1110" w:type="pct"/>
                  <w:vAlign w:val="center"/>
                </w:tcPr>
                <w:p w14:paraId="637DAC89">
                  <w:pPr>
                    <w:keepNext w:val="0"/>
                    <w:keepLines w:val="0"/>
                    <w:widowControl/>
                    <w:suppressLineNumbers w:val="0"/>
                    <w:spacing w:before="0" w:beforeAutospacing="0" w:after="0" w:afterAutospacing="0" w:line="273" w:lineRule="auto"/>
                    <w:ind w:left="0" w:right="0"/>
                    <w:jc w:val="center"/>
                    <w:rPr>
                      <w:rFonts w:hint="default"/>
                      <w:color w:val="auto"/>
                      <w:kern w:val="2"/>
                      <w:sz w:val="21"/>
                      <w:szCs w:val="21"/>
                    </w:rPr>
                  </w:pPr>
                  <w:r>
                    <w:rPr>
                      <w:rFonts w:hint="default"/>
                      <w:color w:val="auto"/>
                      <w:kern w:val="2"/>
                      <w:sz w:val="21"/>
                      <w:szCs w:val="21"/>
                    </w:rPr>
                    <w:t>/</w:t>
                  </w:r>
                </w:p>
              </w:tc>
              <w:tc>
                <w:tcPr>
                  <w:tcW w:w="694" w:type="pct"/>
                  <w:vAlign w:val="center"/>
                </w:tcPr>
                <w:p w14:paraId="79B49434">
                  <w:pPr>
                    <w:keepNext w:val="0"/>
                    <w:keepLines w:val="0"/>
                    <w:widowControl/>
                    <w:suppressLineNumbers w:val="0"/>
                    <w:spacing w:before="0" w:beforeAutospacing="0" w:after="0" w:afterAutospacing="0" w:line="273" w:lineRule="auto"/>
                    <w:ind w:left="0" w:right="0"/>
                    <w:jc w:val="center"/>
                    <w:rPr>
                      <w:rFonts w:hint="default"/>
                      <w:color w:val="auto"/>
                      <w:kern w:val="2"/>
                      <w:sz w:val="21"/>
                      <w:szCs w:val="21"/>
                    </w:rPr>
                  </w:pPr>
                  <w:r>
                    <w:rPr>
                      <w:rFonts w:hint="default"/>
                      <w:color w:val="auto"/>
                      <w:kern w:val="2"/>
                      <w:sz w:val="21"/>
                      <w:szCs w:val="21"/>
                    </w:rPr>
                    <w:t>Ⅲ类</w:t>
                  </w:r>
                </w:p>
              </w:tc>
              <w:tc>
                <w:tcPr>
                  <w:tcW w:w="971" w:type="pct"/>
                  <w:vAlign w:val="center"/>
                </w:tcPr>
                <w:p w14:paraId="4CC9AC22">
                  <w:pPr>
                    <w:keepNext w:val="0"/>
                    <w:keepLines w:val="0"/>
                    <w:widowControl/>
                    <w:suppressLineNumbers w:val="0"/>
                    <w:spacing w:before="0" w:beforeAutospacing="0" w:after="0" w:afterAutospacing="0" w:line="273" w:lineRule="auto"/>
                    <w:ind w:left="0" w:right="0"/>
                    <w:jc w:val="center"/>
                    <w:rPr>
                      <w:rFonts w:hint="default"/>
                      <w:color w:val="auto"/>
                      <w:kern w:val="2"/>
                      <w:sz w:val="21"/>
                      <w:szCs w:val="21"/>
                    </w:rPr>
                  </w:pPr>
                  <w:r>
                    <w:rPr>
                      <w:rFonts w:hint="default"/>
                      <w:color w:val="auto"/>
                      <w:kern w:val="2"/>
                      <w:sz w:val="21"/>
                      <w:szCs w:val="21"/>
                    </w:rPr>
                    <w:t>Ⅲ类</w:t>
                  </w:r>
                </w:p>
              </w:tc>
            </w:tr>
          </w:tbl>
          <w:p w14:paraId="57914134">
            <w:pPr>
              <w:keepNext w:val="0"/>
              <w:keepLines w:val="0"/>
              <w:widowControl/>
              <w:suppressLineNumbers w:val="0"/>
              <w:autoSpaceDE w:val="0"/>
              <w:autoSpaceDN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根据淮南市202</w:t>
            </w:r>
            <w:r>
              <w:rPr>
                <w:rFonts w:hint="eastAsia" w:ascii="Times New Roman" w:hAnsi="Times New Roman"/>
                <w:color w:val="auto"/>
                <w:kern w:val="2"/>
              </w:rPr>
              <w:t>6</w:t>
            </w:r>
            <w:r>
              <w:rPr>
                <w:rFonts w:hint="default" w:ascii="Times New Roman" w:hAnsi="Times New Roman"/>
                <w:color w:val="auto"/>
                <w:kern w:val="2"/>
              </w:rPr>
              <w:t>年</w:t>
            </w:r>
            <w:r>
              <w:rPr>
                <w:rFonts w:hint="eastAsia" w:ascii="Times New Roman" w:hAnsi="Times New Roman"/>
                <w:color w:val="auto"/>
                <w:kern w:val="2"/>
              </w:rPr>
              <w:t>1</w:t>
            </w:r>
            <w:r>
              <w:rPr>
                <w:rFonts w:hint="default" w:ascii="Times New Roman" w:hAnsi="Times New Roman"/>
                <w:color w:val="auto"/>
                <w:kern w:val="2"/>
              </w:rPr>
              <w:t>月环境质量月报，架河水环境质量现状满足《地表水环境质量标准》（GB3838-2002）中Ⅲ类水质标准，地表水环境质量现状水质较好</w:t>
            </w:r>
            <w:r>
              <w:rPr>
                <w:rFonts w:hint="eastAsia" w:ascii="Times New Roman" w:hAnsi="Times New Roman"/>
                <w:color w:val="auto"/>
                <w:kern w:val="2"/>
              </w:rPr>
              <w:t>；</w:t>
            </w:r>
            <w:r>
              <w:rPr>
                <w:rFonts w:hint="default" w:ascii="Times New Roman" w:hAnsi="Times New Roman"/>
                <w:color w:val="auto"/>
                <w:kern w:val="2"/>
              </w:rPr>
              <w:t>根据</w:t>
            </w:r>
            <w:r>
              <w:rPr>
                <w:rFonts w:hint="default" w:ascii="Times New Roman" w:hAnsi="Times New Roman"/>
                <w:color w:val="auto"/>
                <w:kern w:val="2"/>
                <w:szCs w:val="21"/>
              </w:rPr>
              <w:t>《2024年淮南市生态环境质量状况公报》</w:t>
            </w:r>
            <w:r>
              <w:rPr>
                <w:rFonts w:hint="default" w:ascii="Times New Roman" w:hAnsi="Times New Roman"/>
                <w:color w:val="auto"/>
                <w:kern w:val="2"/>
              </w:rPr>
              <w:t>，架河年</w:t>
            </w:r>
            <w:r>
              <w:rPr>
                <w:rFonts w:hint="eastAsia" w:ascii="Times New Roman" w:hAnsi="Times New Roman"/>
                <w:color w:val="auto"/>
                <w:kern w:val="2"/>
              </w:rPr>
              <w:t>水质状况为良好。</w:t>
            </w:r>
          </w:p>
          <w:p w14:paraId="5615AA19">
            <w:pPr>
              <w:keepNext w:val="0"/>
              <w:keepLines w:val="0"/>
              <w:widowControl/>
              <w:suppressLineNumbers w:val="0"/>
              <w:wordWrap w:val="0"/>
              <w:autoSpaceDE w:val="0"/>
              <w:autoSpaceDN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default" w:ascii="Times New Roman" w:hAnsi="Times New Roman"/>
                <w:b/>
                <w:color w:val="auto"/>
                <w:kern w:val="2"/>
              </w:rPr>
              <w:t>3、声环境质量现状</w:t>
            </w:r>
          </w:p>
          <w:p w14:paraId="1AF0593F">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本项目位于</w:t>
            </w:r>
            <w:r>
              <w:rPr>
                <w:rFonts w:hint="eastAsia" w:ascii="Times New Roman" w:hAnsi="Times New Roman"/>
                <w:color w:val="auto"/>
                <w:kern w:val="2"/>
              </w:rPr>
              <w:t>安徽省</w:t>
            </w:r>
            <w:r>
              <w:rPr>
                <w:rFonts w:hint="default" w:ascii="Times New Roman" w:hAnsi="Times New Roman"/>
                <w:color w:val="auto"/>
                <w:kern w:val="2"/>
              </w:rPr>
              <w:t>淮南市凤台县凤台经济开发区凤凰产业园电子智造园</w:t>
            </w:r>
            <w:r>
              <w:rPr>
                <w:rFonts w:hint="eastAsia" w:ascii="Times New Roman" w:hAnsi="Times New Roman"/>
                <w:color w:val="auto"/>
                <w:kern w:val="2"/>
              </w:rPr>
              <w:t>内</w:t>
            </w:r>
            <w:r>
              <w:rPr>
                <w:rFonts w:hint="default" w:ascii="Times New Roman" w:hAnsi="Times New Roman"/>
                <w:color w:val="auto"/>
                <w:kern w:val="2"/>
              </w:rPr>
              <w:t>，其厂界50米范围内无声环境保护目标。根据《建设项目环境影响报告表编制技术指南（污染影响类）（试行）》，本项目不需要进行声环境现状监测。</w:t>
            </w:r>
          </w:p>
          <w:p w14:paraId="417D5F7C">
            <w:pPr>
              <w:keepNext w:val="0"/>
              <w:keepLines w:val="0"/>
              <w:widowControl/>
              <w:suppressLineNumbers w:val="0"/>
              <w:wordWrap w:val="0"/>
              <w:autoSpaceDE w:val="0"/>
              <w:autoSpaceDN w:val="0"/>
              <w:spacing w:before="0" w:beforeAutospacing="0" w:after="0" w:afterAutospacing="0" w:line="360" w:lineRule="auto"/>
              <w:ind w:left="0" w:right="0" w:firstLine="482" w:firstLineChars="200"/>
              <w:rPr>
                <w:rFonts w:hint="default" w:ascii="Times New Roman" w:hAnsi="Times New Roman"/>
                <w:bCs/>
                <w:color w:val="auto"/>
                <w:kern w:val="2"/>
              </w:rPr>
            </w:pPr>
            <w:r>
              <w:rPr>
                <w:rFonts w:hint="default" w:ascii="Times New Roman" w:hAnsi="Times New Roman"/>
                <w:b/>
                <w:color w:val="auto"/>
                <w:kern w:val="2"/>
              </w:rPr>
              <w:t>4、生态环境质量现状</w:t>
            </w:r>
          </w:p>
          <w:p w14:paraId="67D45F5F">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本项目位于安徽省淮南市凤台县凤台经济开发区凤凰产业园电子智造园</w:t>
            </w:r>
            <w:r>
              <w:rPr>
                <w:rFonts w:hint="eastAsia" w:ascii="Times New Roman" w:hAnsi="Times New Roman"/>
                <w:color w:val="auto"/>
                <w:kern w:val="2"/>
              </w:rPr>
              <w:t>内</w:t>
            </w:r>
            <w:r>
              <w:rPr>
                <w:rFonts w:hint="default" w:ascii="Times New Roman" w:hAnsi="Times New Roman"/>
                <w:color w:val="auto"/>
                <w:kern w:val="2"/>
              </w:rPr>
              <w:t>，用地性质属于工业用地，用地范围内不涉及生态环境保护目标，根据《建设项目环境影响报告表编制技术指南（污染影响类）（试行）》，本项目不需要进行生态环境现状调查</w:t>
            </w:r>
            <w:r>
              <w:rPr>
                <w:rFonts w:hint="default" w:ascii="Times New Roman" w:hAnsi="Times New Roman"/>
                <w:color w:val="auto"/>
                <w:kern w:val="2"/>
                <w:szCs w:val="28"/>
              </w:rPr>
              <w:t>。</w:t>
            </w:r>
          </w:p>
          <w:p w14:paraId="156AC766">
            <w:pPr>
              <w:keepNext w:val="0"/>
              <w:keepLines w:val="0"/>
              <w:widowControl/>
              <w:suppressLineNumbers w:val="0"/>
              <w:wordWrap w:val="0"/>
              <w:autoSpaceDE w:val="0"/>
              <w:autoSpaceDN w:val="0"/>
              <w:spacing w:before="0" w:beforeAutospacing="0" w:after="0" w:afterAutospacing="0" w:line="360" w:lineRule="auto"/>
              <w:ind w:left="0" w:right="0" w:firstLine="482" w:firstLineChars="200"/>
              <w:rPr>
                <w:rFonts w:hint="default" w:ascii="Times New Roman" w:hAnsi="Times New Roman"/>
                <w:b/>
                <w:bCs/>
                <w:color w:val="auto"/>
                <w:kern w:val="2"/>
              </w:rPr>
            </w:pPr>
            <w:r>
              <w:rPr>
                <w:rFonts w:hint="default" w:ascii="Times New Roman" w:hAnsi="Times New Roman"/>
                <w:b/>
                <w:bCs/>
                <w:color w:val="auto"/>
                <w:kern w:val="2"/>
              </w:rPr>
              <w:t>5、电磁辐射</w:t>
            </w:r>
          </w:p>
          <w:p w14:paraId="76FF6EB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本新建项目不涉及电磁辐射，无需开展现状监测。</w:t>
            </w:r>
          </w:p>
          <w:p w14:paraId="4845C4FA">
            <w:pPr>
              <w:keepNext w:val="0"/>
              <w:keepLines w:val="0"/>
              <w:widowControl/>
              <w:suppressLineNumbers w:val="0"/>
              <w:wordWrap w:val="0"/>
              <w:autoSpaceDE w:val="0"/>
              <w:autoSpaceDN w:val="0"/>
              <w:spacing w:before="0" w:beforeAutospacing="0" w:after="0" w:afterAutospacing="0" w:line="360" w:lineRule="auto"/>
              <w:ind w:left="0" w:right="0" w:firstLine="482" w:firstLineChars="200"/>
              <w:rPr>
                <w:rFonts w:hint="default" w:ascii="Times New Roman" w:hAnsi="Times New Roman"/>
                <w:b/>
                <w:bCs/>
                <w:color w:val="auto"/>
                <w:kern w:val="2"/>
              </w:rPr>
            </w:pPr>
            <w:r>
              <w:rPr>
                <w:rFonts w:hint="default" w:ascii="Times New Roman" w:hAnsi="Times New Roman"/>
                <w:b/>
                <w:bCs/>
                <w:color w:val="auto"/>
                <w:kern w:val="2"/>
              </w:rPr>
              <w:t>6、地下水、土壤环境质量现状</w:t>
            </w:r>
          </w:p>
          <w:p w14:paraId="7A24878B">
            <w:pPr>
              <w:keepNext w:val="0"/>
              <w:keepLines w:val="0"/>
              <w:widowControl/>
              <w:suppressLineNumbers w:val="0"/>
              <w:autoSpaceDE w:val="0"/>
              <w:autoSpaceDN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default" w:ascii="Times New Roman" w:hAnsi="Times New Roman"/>
                <w:bCs/>
                <w:color w:val="auto"/>
                <w:kern w:val="2"/>
              </w:rPr>
              <w:t>根据《建设项目环境影响报告表编制技术指南（污染影响类）（试行）》，本项目采取有效的防渗防漏措施，基本无污染地下水、土壤环境途径，且项目采取了分区防渗措施。项目周边为工业企业，500m范围内无地下水集中式饮用水水源和热水、矿泉水、温泉等特殊地下水资源，因此本项目周边无地下水及土壤环境污染途径，故本次不开展土壤、地下水环境质量现状调查。</w:t>
            </w:r>
          </w:p>
          <w:p w14:paraId="1E5DD236">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5A2C63E0">
            <w:pPr>
              <w:pStyle w:val="31"/>
              <w:keepNext w:val="0"/>
              <w:keepLines w:val="0"/>
              <w:widowControl/>
              <w:suppressLineNumbers w:val="0"/>
              <w:spacing w:before="0" w:beforeAutospacing="0" w:after="0" w:afterAutospacing="0"/>
              <w:ind w:left="0" w:leftChars="0" w:right="0" w:firstLine="0" w:firstLineChars="0"/>
              <w:rPr>
                <w:rFonts w:hint="default"/>
                <w:color w:val="auto"/>
                <w:kern w:val="2"/>
              </w:rPr>
            </w:pPr>
          </w:p>
          <w:p w14:paraId="669CC917">
            <w:pPr>
              <w:pStyle w:val="31"/>
              <w:keepNext w:val="0"/>
              <w:keepLines w:val="0"/>
              <w:widowControl/>
              <w:suppressLineNumbers w:val="0"/>
              <w:spacing w:before="0" w:beforeAutospacing="0" w:after="0" w:afterAutospacing="0"/>
              <w:ind w:left="0" w:right="0" w:firstLine="480"/>
              <w:rPr>
                <w:rFonts w:hint="default"/>
                <w:color w:val="auto"/>
                <w:kern w:val="2"/>
              </w:rPr>
            </w:pPr>
          </w:p>
          <w:p w14:paraId="121AC2E7">
            <w:pPr>
              <w:pStyle w:val="31"/>
              <w:keepNext w:val="0"/>
              <w:keepLines w:val="0"/>
              <w:widowControl/>
              <w:suppressLineNumbers w:val="0"/>
              <w:spacing w:before="0" w:beforeAutospacing="0" w:after="0" w:afterAutospacing="0"/>
              <w:ind w:left="0" w:right="0" w:firstLine="480"/>
              <w:rPr>
                <w:rFonts w:hint="default"/>
                <w:color w:val="auto"/>
                <w:kern w:val="2"/>
              </w:rPr>
            </w:pPr>
          </w:p>
          <w:p w14:paraId="56E96712">
            <w:pPr>
              <w:pStyle w:val="31"/>
              <w:keepNext w:val="0"/>
              <w:keepLines w:val="0"/>
              <w:widowControl/>
              <w:suppressLineNumbers w:val="0"/>
              <w:spacing w:before="0" w:beforeAutospacing="0" w:after="0" w:afterAutospacing="0"/>
              <w:ind w:left="0" w:right="0" w:firstLine="480"/>
              <w:rPr>
                <w:rFonts w:hint="default"/>
                <w:color w:val="auto"/>
                <w:kern w:val="2"/>
              </w:rPr>
            </w:pPr>
          </w:p>
          <w:p w14:paraId="4441AE86">
            <w:pPr>
              <w:pStyle w:val="31"/>
              <w:keepNext w:val="0"/>
              <w:keepLines w:val="0"/>
              <w:widowControl/>
              <w:suppressLineNumbers w:val="0"/>
              <w:spacing w:before="0" w:beforeAutospacing="0" w:after="0" w:afterAutospacing="0"/>
              <w:ind w:left="0" w:right="0" w:firstLine="480"/>
              <w:rPr>
                <w:rFonts w:hint="default"/>
                <w:color w:val="auto"/>
                <w:kern w:val="2"/>
              </w:rPr>
            </w:pPr>
          </w:p>
          <w:p w14:paraId="518695E7">
            <w:pPr>
              <w:pStyle w:val="31"/>
              <w:keepNext w:val="0"/>
              <w:keepLines w:val="0"/>
              <w:widowControl/>
              <w:suppressLineNumbers w:val="0"/>
              <w:spacing w:before="0" w:beforeAutospacing="0" w:after="0" w:afterAutospacing="0"/>
              <w:ind w:left="0" w:right="0" w:firstLine="480"/>
              <w:rPr>
                <w:rFonts w:hint="default"/>
                <w:color w:val="auto"/>
                <w:kern w:val="2"/>
              </w:rPr>
            </w:pPr>
          </w:p>
          <w:p w14:paraId="4A9EBE70">
            <w:pPr>
              <w:pStyle w:val="31"/>
              <w:keepNext w:val="0"/>
              <w:keepLines w:val="0"/>
              <w:widowControl/>
              <w:suppressLineNumbers w:val="0"/>
              <w:spacing w:before="0" w:beforeAutospacing="0" w:after="0" w:afterAutospacing="0"/>
              <w:ind w:left="0" w:right="0" w:firstLine="480"/>
              <w:rPr>
                <w:rFonts w:hint="default"/>
                <w:color w:val="auto"/>
                <w:kern w:val="2"/>
              </w:rPr>
            </w:pPr>
          </w:p>
          <w:p w14:paraId="7524DA91">
            <w:pPr>
              <w:pStyle w:val="31"/>
              <w:keepNext w:val="0"/>
              <w:keepLines w:val="0"/>
              <w:widowControl/>
              <w:suppressLineNumbers w:val="0"/>
              <w:spacing w:before="0" w:beforeAutospacing="0" w:after="0" w:afterAutospacing="0"/>
              <w:ind w:left="0" w:right="0" w:firstLine="480"/>
              <w:rPr>
                <w:rFonts w:hint="default"/>
                <w:color w:val="auto"/>
                <w:kern w:val="2"/>
              </w:rPr>
            </w:pPr>
          </w:p>
        </w:tc>
      </w:tr>
      <w:tr w14:paraId="1D82D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82" w:hRule="atLeast"/>
          <w:jc w:val="center"/>
        </w:trPr>
        <w:tc>
          <w:tcPr>
            <w:tcW w:w="248" w:type="pct"/>
            <w:vAlign w:val="center"/>
          </w:tcPr>
          <w:p w14:paraId="7F54A517">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环境保护目标</w:t>
            </w:r>
          </w:p>
        </w:tc>
        <w:tc>
          <w:tcPr>
            <w:tcW w:w="4752" w:type="pct"/>
          </w:tcPr>
          <w:p w14:paraId="47A70005">
            <w:pPr>
              <w:keepNext w:val="0"/>
              <w:keepLines w:val="0"/>
              <w:widowControl/>
              <w:suppressLineNumbers w:val="0"/>
              <w:wordWrap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default" w:ascii="Times New Roman" w:hAnsi="Times New Roman" w:cs="Times New Roman"/>
                <w:color w:val="auto"/>
                <w:kern w:val="2"/>
                <w:szCs w:val="20"/>
              </w:rPr>
              <w:t>本项目位于</w:t>
            </w:r>
            <w:r>
              <w:rPr>
                <w:rFonts w:hint="eastAsia" w:ascii="Times New Roman" w:hAnsi="Times New Roman" w:cs="Times New Roman"/>
                <w:color w:val="auto"/>
                <w:kern w:val="2"/>
                <w:szCs w:val="20"/>
              </w:rPr>
              <w:t>安徽省</w:t>
            </w:r>
            <w:r>
              <w:rPr>
                <w:rFonts w:hint="default" w:ascii="Times New Roman" w:hAnsi="Times New Roman" w:cs="Times New Roman"/>
                <w:color w:val="auto"/>
                <w:kern w:val="2"/>
              </w:rPr>
              <w:t>淮南市凤台县凤台经济开发区凤凰产业园电子智造园</w:t>
            </w:r>
            <w:r>
              <w:rPr>
                <w:rFonts w:hint="eastAsia" w:ascii="Times New Roman" w:hAnsi="Times New Roman" w:cs="Times New Roman"/>
                <w:color w:val="auto"/>
                <w:kern w:val="2"/>
              </w:rPr>
              <w:t>内。根据建设项目污染特征及区域环境现状，其主要环境保护目标如下。</w:t>
            </w:r>
          </w:p>
          <w:p w14:paraId="00D3EE41">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snapToGrid w:val="0"/>
                <w:color w:val="auto"/>
                <w:kern w:val="2"/>
              </w:rPr>
            </w:pPr>
            <w:r>
              <w:rPr>
                <w:rFonts w:hint="default" w:ascii="Times New Roman" w:hAnsi="Times New Roman"/>
                <w:b/>
                <w:snapToGrid w:val="0"/>
                <w:color w:val="auto"/>
                <w:kern w:val="2"/>
              </w:rPr>
              <w:t>1、大气环境</w:t>
            </w:r>
          </w:p>
          <w:p w14:paraId="3E9A8AF4">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snapToGrid w:val="0"/>
                <w:color w:val="auto"/>
                <w:kern w:val="2"/>
              </w:rPr>
            </w:pPr>
            <w:r>
              <w:rPr>
                <w:rFonts w:hint="eastAsia" w:ascii="Times New Roman" w:hAnsi="Times New Roman"/>
                <w:snapToGrid w:val="0"/>
                <w:color w:val="auto"/>
                <w:kern w:val="2"/>
              </w:rPr>
              <w:t>本项目</w:t>
            </w:r>
            <w:r>
              <w:rPr>
                <w:rFonts w:hint="default" w:ascii="Times New Roman" w:hAnsi="Times New Roman"/>
                <w:snapToGrid w:val="0"/>
                <w:color w:val="auto"/>
                <w:kern w:val="2"/>
              </w:rPr>
              <w:t>厂界外500m范围内无自然保护区、风景名胜区和文物古迹等需要特殊保护的环境敏感对象。</w:t>
            </w:r>
          </w:p>
          <w:p w14:paraId="4D893A5C">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snapToGrid w:val="0"/>
                <w:color w:val="auto"/>
                <w:kern w:val="2"/>
              </w:rPr>
            </w:pPr>
            <w:r>
              <w:rPr>
                <w:rFonts w:hint="default" w:ascii="Times New Roman" w:hAnsi="Times New Roman"/>
                <w:b/>
                <w:snapToGrid w:val="0"/>
                <w:color w:val="auto"/>
                <w:kern w:val="2"/>
              </w:rPr>
              <w:t>2、声环境</w:t>
            </w:r>
          </w:p>
          <w:p w14:paraId="77E2D152">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snapToGrid w:val="0"/>
                <w:color w:val="auto"/>
                <w:kern w:val="2"/>
              </w:rPr>
            </w:pPr>
            <w:r>
              <w:rPr>
                <w:rFonts w:hint="default" w:ascii="Times New Roman" w:hAnsi="Times New Roman"/>
                <w:snapToGrid w:val="0"/>
                <w:color w:val="auto"/>
                <w:kern w:val="2"/>
              </w:rPr>
              <w:t>本项目厂界外周边50m范围内不存在声环境保护目标。</w:t>
            </w:r>
          </w:p>
          <w:p w14:paraId="0559AD3C">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snapToGrid w:val="0"/>
                <w:color w:val="auto"/>
                <w:kern w:val="2"/>
              </w:rPr>
            </w:pPr>
            <w:r>
              <w:rPr>
                <w:rFonts w:hint="default" w:ascii="Times New Roman" w:hAnsi="Times New Roman"/>
                <w:b/>
                <w:snapToGrid w:val="0"/>
                <w:color w:val="auto"/>
                <w:kern w:val="2"/>
              </w:rPr>
              <w:t>3、地下水环境</w:t>
            </w:r>
          </w:p>
          <w:p w14:paraId="570A14D9">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snapToGrid w:val="0"/>
                <w:color w:val="auto"/>
                <w:kern w:val="2"/>
              </w:rPr>
            </w:pPr>
            <w:r>
              <w:rPr>
                <w:rFonts w:hint="default" w:ascii="Times New Roman" w:hAnsi="Times New Roman"/>
                <w:snapToGrid w:val="0"/>
                <w:color w:val="auto"/>
                <w:kern w:val="2"/>
              </w:rPr>
              <w:t>本项目位于</w:t>
            </w:r>
            <w:r>
              <w:rPr>
                <w:rFonts w:hint="eastAsia" w:ascii="Times New Roman" w:hAnsi="Times New Roman" w:cs="Times New Roman"/>
                <w:color w:val="auto"/>
                <w:kern w:val="2"/>
                <w:szCs w:val="20"/>
              </w:rPr>
              <w:t>安徽省</w:t>
            </w:r>
            <w:r>
              <w:rPr>
                <w:rFonts w:hint="default" w:ascii="Times New Roman" w:hAnsi="Times New Roman" w:cs="Times New Roman"/>
                <w:color w:val="auto"/>
                <w:kern w:val="2"/>
              </w:rPr>
              <w:t>淮南市凤台县凤台经济开发区凤凰产业园电子智造园</w:t>
            </w:r>
            <w:r>
              <w:rPr>
                <w:rFonts w:hint="eastAsia" w:ascii="Times New Roman" w:hAnsi="Times New Roman" w:cs="Times New Roman"/>
                <w:color w:val="auto"/>
                <w:kern w:val="2"/>
              </w:rPr>
              <w:t>内</w:t>
            </w:r>
            <w:r>
              <w:rPr>
                <w:rFonts w:hint="default" w:ascii="Times New Roman" w:hAnsi="Times New Roman"/>
                <w:snapToGrid w:val="0"/>
                <w:color w:val="auto"/>
                <w:kern w:val="2"/>
              </w:rPr>
              <w:t>，项目厂界外500m范围内无地下水集中式饮用水水源和热水、矿泉水、温泉等特殊地下水资源。</w:t>
            </w:r>
          </w:p>
          <w:p w14:paraId="33367DAF">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snapToGrid w:val="0"/>
                <w:color w:val="auto"/>
                <w:kern w:val="2"/>
              </w:rPr>
            </w:pPr>
            <w:r>
              <w:rPr>
                <w:rFonts w:hint="default" w:ascii="Times New Roman" w:hAnsi="Times New Roman"/>
                <w:b/>
                <w:snapToGrid w:val="0"/>
                <w:color w:val="auto"/>
                <w:kern w:val="2"/>
              </w:rPr>
              <w:t>4、生态环境</w:t>
            </w:r>
          </w:p>
          <w:p w14:paraId="384540AB">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snapToGrid w:val="0"/>
                <w:color w:val="auto"/>
                <w:kern w:val="2"/>
              </w:rPr>
            </w:pPr>
            <w:r>
              <w:rPr>
                <w:rFonts w:hint="default" w:ascii="Times New Roman" w:hAnsi="Times New Roman"/>
                <w:snapToGrid w:val="0"/>
                <w:color w:val="auto"/>
                <w:kern w:val="2"/>
              </w:rPr>
              <w:t>本项目位于</w:t>
            </w:r>
            <w:r>
              <w:rPr>
                <w:rFonts w:hint="eastAsia" w:ascii="Times New Roman" w:hAnsi="Times New Roman" w:cs="Times New Roman"/>
                <w:color w:val="auto"/>
                <w:kern w:val="2"/>
                <w:szCs w:val="20"/>
              </w:rPr>
              <w:t>安徽省</w:t>
            </w:r>
            <w:r>
              <w:rPr>
                <w:rFonts w:hint="default" w:ascii="Times New Roman" w:hAnsi="Times New Roman" w:cs="Times New Roman"/>
                <w:color w:val="auto"/>
                <w:kern w:val="2"/>
              </w:rPr>
              <w:t>淮南市凤台县凤台经济开发区凤凰产业园电子智造园</w:t>
            </w:r>
            <w:r>
              <w:rPr>
                <w:rFonts w:hint="eastAsia" w:ascii="Times New Roman" w:hAnsi="Times New Roman" w:cs="Times New Roman"/>
                <w:color w:val="auto"/>
                <w:kern w:val="2"/>
              </w:rPr>
              <w:t>内</w:t>
            </w:r>
            <w:r>
              <w:rPr>
                <w:rFonts w:hint="default" w:ascii="Times New Roman" w:hAnsi="Times New Roman"/>
                <w:snapToGrid w:val="0"/>
                <w:color w:val="auto"/>
                <w:kern w:val="2"/>
              </w:rPr>
              <w:t>，位于凤台经济开发区范围内，用地范围内无生态环境保护目标，故本项目的实施不会改变区域生态环境现有功能。</w:t>
            </w:r>
          </w:p>
          <w:p w14:paraId="3385F469">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snapToGrid w:val="0"/>
                <w:color w:val="auto"/>
                <w:kern w:val="2"/>
              </w:rPr>
            </w:pPr>
            <w:r>
              <w:rPr>
                <w:rFonts w:hint="default" w:ascii="Times New Roman" w:hAnsi="Times New Roman"/>
                <w:snapToGrid w:val="0"/>
                <w:color w:val="auto"/>
                <w:kern w:val="2"/>
              </w:rPr>
              <w:t>本项目周边环境保护</w:t>
            </w:r>
            <w:r>
              <w:rPr>
                <w:rFonts w:hint="eastAsia" w:ascii="Times New Roman" w:hAnsi="Times New Roman"/>
                <w:snapToGrid w:val="0"/>
                <w:color w:val="auto"/>
                <w:kern w:val="2"/>
              </w:rPr>
              <w:t>目标</w:t>
            </w:r>
            <w:r>
              <w:rPr>
                <w:rFonts w:hint="default" w:ascii="Times New Roman" w:hAnsi="Times New Roman"/>
                <w:snapToGrid w:val="0"/>
                <w:color w:val="auto"/>
                <w:kern w:val="2"/>
              </w:rPr>
              <w:t>情况如下表所示：</w:t>
            </w:r>
          </w:p>
          <w:p w14:paraId="7378933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color w:val="auto"/>
                <w:kern w:val="2"/>
              </w:rPr>
            </w:pPr>
            <w:r>
              <w:rPr>
                <w:rFonts w:hint="default" w:ascii="Times New Roman" w:hAnsi="Times New Roman" w:eastAsia="黑体"/>
                <w:color w:val="auto"/>
                <w:kern w:val="2"/>
              </w:rPr>
              <w:t>表3-</w:t>
            </w:r>
            <w:r>
              <w:rPr>
                <w:rFonts w:hint="eastAsia" w:ascii="Times New Roman" w:hAnsi="Times New Roman" w:eastAsia="黑体"/>
                <w:color w:val="auto"/>
                <w:kern w:val="2"/>
                <w:lang w:val="en-US" w:eastAsia="zh-CN"/>
              </w:rPr>
              <w:t>3</w:t>
            </w:r>
            <w:r>
              <w:rPr>
                <w:rFonts w:hint="default" w:ascii="Times New Roman" w:hAnsi="Times New Roman" w:eastAsia="黑体"/>
                <w:color w:val="auto"/>
                <w:kern w:val="2"/>
              </w:rPr>
              <w:t xml:space="preserve">  主要环境保护目标一览表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98"/>
              <w:gridCol w:w="982"/>
              <w:gridCol w:w="1101"/>
              <w:gridCol w:w="478"/>
              <w:gridCol w:w="1121"/>
              <w:gridCol w:w="856"/>
              <w:gridCol w:w="2747"/>
            </w:tblGrid>
            <w:tr w14:paraId="296BB5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79" w:type="pct"/>
                  <w:tcBorders>
                    <w:top w:val="single" w:color="auto" w:sz="12" w:space="0"/>
                    <w:left w:val="nil"/>
                    <w:bottom w:val="single" w:color="auto" w:sz="4" w:space="0"/>
                    <w:right w:val="single" w:color="auto" w:sz="4" w:space="0"/>
                  </w:tcBorders>
                  <w:vAlign w:val="center"/>
                </w:tcPr>
                <w:p w14:paraId="05D720E7">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环境要素</w:t>
                  </w:r>
                </w:p>
              </w:tc>
              <w:tc>
                <w:tcPr>
                  <w:tcW w:w="623" w:type="pct"/>
                  <w:tcBorders>
                    <w:top w:val="single" w:color="auto" w:sz="12" w:space="0"/>
                    <w:left w:val="nil"/>
                    <w:bottom w:val="single" w:color="auto" w:sz="4" w:space="0"/>
                    <w:right w:val="single" w:color="auto" w:sz="4" w:space="0"/>
                  </w:tcBorders>
                  <w:vAlign w:val="center"/>
                </w:tcPr>
                <w:p w14:paraId="1D7B22D4">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环境保护目标</w:t>
                  </w:r>
                </w:p>
              </w:tc>
              <w:tc>
                <w:tcPr>
                  <w:tcW w:w="698" w:type="pct"/>
                  <w:tcBorders>
                    <w:top w:val="single" w:color="auto" w:sz="12" w:space="0"/>
                    <w:left w:val="nil"/>
                    <w:bottom w:val="single" w:color="auto" w:sz="4" w:space="0"/>
                    <w:right w:val="single" w:color="auto" w:sz="4" w:space="0"/>
                  </w:tcBorders>
                  <w:vAlign w:val="center"/>
                </w:tcPr>
                <w:p w14:paraId="72350E20">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坐标/m</w:t>
                  </w:r>
                </w:p>
                <w:p w14:paraId="4C03A1F1">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b/>
                      <w:color w:val="auto"/>
                      <w:kern w:val="2"/>
                      <w:sz w:val="21"/>
                      <w:szCs w:val="21"/>
                    </w:rPr>
                    <w:t>(</w:t>
                  </w:r>
                  <w:r>
                    <w:rPr>
                      <w:rFonts w:hint="default" w:ascii="Times New Roman" w:hAnsi="Times New Roman"/>
                      <w:b/>
                      <w:color w:val="auto"/>
                      <w:kern w:val="2"/>
                      <w:sz w:val="21"/>
                      <w:szCs w:val="21"/>
                    </w:rPr>
                    <w:t>X</w:t>
                  </w:r>
                  <w:r>
                    <w:rPr>
                      <w:rFonts w:hint="default"/>
                      <w:b/>
                      <w:color w:val="auto"/>
                      <w:kern w:val="2"/>
                      <w:sz w:val="21"/>
                      <w:szCs w:val="21"/>
                    </w:rPr>
                    <w:t>,</w:t>
                  </w:r>
                  <w:r>
                    <w:rPr>
                      <w:rFonts w:hint="default" w:ascii="Times New Roman" w:hAnsi="Times New Roman"/>
                      <w:b/>
                      <w:color w:val="auto"/>
                      <w:kern w:val="2"/>
                      <w:sz w:val="21"/>
                      <w:szCs w:val="21"/>
                    </w:rPr>
                    <w:t>Y</w:t>
                  </w:r>
                  <w:r>
                    <w:rPr>
                      <w:rFonts w:hint="default"/>
                      <w:b/>
                      <w:color w:val="auto"/>
                      <w:kern w:val="2"/>
                      <w:sz w:val="21"/>
                      <w:szCs w:val="21"/>
                    </w:rPr>
                    <w:t>)</w:t>
                  </w:r>
                </w:p>
              </w:tc>
              <w:tc>
                <w:tcPr>
                  <w:tcW w:w="303" w:type="pct"/>
                  <w:tcBorders>
                    <w:top w:val="single" w:color="auto" w:sz="12" w:space="0"/>
                    <w:left w:val="nil"/>
                    <w:bottom w:val="single" w:color="auto" w:sz="4" w:space="0"/>
                    <w:right w:val="single" w:color="auto" w:sz="4" w:space="0"/>
                  </w:tcBorders>
                  <w:vAlign w:val="center"/>
                </w:tcPr>
                <w:p w14:paraId="6E49379F">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方位</w:t>
                  </w:r>
                </w:p>
              </w:tc>
              <w:tc>
                <w:tcPr>
                  <w:tcW w:w="711" w:type="pct"/>
                  <w:tcBorders>
                    <w:top w:val="single" w:color="auto" w:sz="12" w:space="0"/>
                    <w:left w:val="nil"/>
                    <w:bottom w:val="single" w:color="auto" w:sz="4" w:space="0"/>
                    <w:right w:val="single" w:color="auto" w:sz="4" w:space="0"/>
                  </w:tcBorders>
                  <w:vAlign w:val="center"/>
                </w:tcPr>
                <w:p w14:paraId="3D5E0B75">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距离（m）</w:t>
                  </w:r>
                </w:p>
              </w:tc>
              <w:tc>
                <w:tcPr>
                  <w:tcW w:w="543" w:type="pct"/>
                  <w:tcBorders>
                    <w:top w:val="single" w:color="auto" w:sz="12" w:space="0"/>
                    <w:left w:val="nil"/>
                    <w:bottom w:val="single" w:color="auto" w:sz="4" w:space="0"/>
                    <w:right w:val="single" w:color="auto" w:sz="4" w:space="0"/>
                  </w:tcBorders>
                  <w:vAlign w:val="center"/>
                </w:tcPr>
                <w:p w14:paraId="488253B3">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环境保护目</w:t>
                  </w:r>
                </w:p>
                <w:p w14:paraId="6C21B9A7">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标情况</w:t>
                  </w:r>
                </w:p>
              </w:tc>
              <w:tc>
                <w:tcPr>
                  <w:tcW w:w="1739" w:type="pct"/>
                  <w:tcBorders>
                    <w:top w:val="single" w:color="auto" w:sz="12" w:space="0"/>
                    <w:left w:val="nil"/>
                    <w:bottom w:val="single" w:color="auto" w:sz="4" w:space="0"/>
                    <w:right w:val="nil"/>
                  </w:tcBorders>
                  <w:vAlign w:val="center"/>
                </w:tcPr>
                <w:p w14:paraId="62D4000F">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保护级别</w:t>
                  </w:r>
                </w:p>
              </w:tc>
            </w:tr>
            <w:tr w14:paraId="375F4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79" w:type="pct"/>
                  <w:tcBorders>
                    <w:top w:val="single" w:color="auto" w:sz="4" w:space="0"/>
                    <w:left w:val="nil"/>
                    <w:bottom w:val="single" w:color="auto" w:sz="4" w:space="0"/>
                    <w:right w:val="single" w:color="auto" w:sz="4" w:space="0"/>
                  </w:tcBorders>
                  <w:vAlign w:val="center"/>
                </w:tcPr>
                <w:p w14:paraId="75C4B300">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大气环境</w:t>
                  </w:r>
                </w:p>
              </w:tc>
              <w:tc>
                <w:tcPr>
                  <w:tcW w:w="4620" w:type="pct"/>
                  <w:gridSpan w:val="6"/>
                  <w:tcBorders>
                    <w:top w:val="single" w:color="auto" w:sz="4" w:space="0"/>
                    <w:left w:val="nil"/>
                    <w:bottom w:val="single" w:color="auto" w:sz="4" w:space="0"/>
                    <w:right w:val="nil"/>
                  </w:tcBorders>
                  <w:vAlign w:val="center"/>
                </w:tcPr>
                <w:p w14:paraId="0A8C121F">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snapToGrid w:val="0"/>
                      <w:color w:val="auto"/>
                      <w:kern w:val="2"/>
                      <w:sz w:val="21"/>
                      <w:szCs w:val="21"/>
                    </w:rPr>
                    <w:t>本项目</w:t>
                  </w:r>
                  <w:r>
                    <w:rPr>
                      <w:rFonts w:hint="default" w:ascii="Times New Roman" w:hAnsi="Times New Roman"/>
                      <w:snapToGrid w:val="0"/>
                      <w:color w:val="auto"/>
                      <w:kern w:val="2"/>
                      <w:sz w:val="21"/>
                      <w:szCs w:val="21"/>
                    </w:rPr>
                    <w:t>厂界外500m范围内无自然保护区、风景名胜区和文物古迹等需要特殊保护的环境敏感对象</w:t>
                  </w:r>
                </w:p>
              </w:tc>
            </w:tr>
            <w:tr w14:paraId="7BE491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79" w:type="pct"/>
                  <w:tcBorders>
                    <w:top w:val="single" w:color="auto" w:sz="4" w:space="0"/>
                    <w:left w:val="nil"/>
                    <w:bottom w:val="single" w:color="auto" w:sz="4" w:space="0"/>
                    <w:right w:val="single" w:color="auto" w:sz="4" w:space="0"/>
                  </w:tcBorders>
                  <w:vAlign w:val="center"/>
                </w:tcPr>
                <w:p w14:paraId="4DA00F77">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声环境</w:t>
                  </w:r>
                </w:p>
              </w:tc>
              <w:tc>
                <w:tcPr>
                  <w:tcW w:w="4620" w:type="pct"/>
                  <w:gridSpan w:val="6"/>
                  <w:tcBorders>
                    <w:top w:val="single" w:color="auto" w:sz="4" w:space="0"/>
                    <w:left w:val="nil"/>
                    <w:bottom w:val="single" w:color="auto" w:sz="4" w:space="0"/>
                    <w:right w:val="nil"/>
                  </w:tcBorders>
                  <w:vAlign w:val="center"/>
                </w:tcPr>
                <w:p w14:paraId="1D98375D">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本项目厂界外周边50m范围内无声环境保护目标</w:t>
                  </w:r>
                </w:p>
              </w:tc>
            </w:tr>
            <w:tr w14:paraId="3E04B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79" w:type="pct"/>
                  <w:tcBorders>
                    <w:top w:val="single" w:color="auto" w:sz="4" w:space="0"/>
                    <w:left w:val="nil"/>
                    <w:bottom w:val="single" w:color="auto" w:sz="4" w:space="0"/>
                    <w:right w:val="single" w:color="auto" w:sz="4" w:space="0"/>
                  </w:tcBorders>
                  <w:vAlign w:val="center"/>
                </w:tcPr>
                <w:p w14:paraId="1B360726">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地下水环境</w:t>
                  </w:r>
                </w:p>
              </w:tc>
              <w:tc>
                <w:tcPr>
                  <w:tcW w:w="4620" w:type="pct"/>
                  <w:gridSpan w:val="6"/>
                  <w:tcBorders>
                    <w:top w:val="single" w:color="auto" w:sz="4" w:space="0"/>
                    <w:left w:val="nil"/>
                    <w:bottom w:val="single" w:color="auto" w:sz="4" w:space="0"/>
                    <w:right w:val="nil"/>
                  </w:tcBorders>
                  <w:vAlign w:val="center"/>
                </w:tcPr>
                <w:p w14:paraId="1EC66293">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项目厂界外500m范围内无地下水集中式饮用水水源和热水、矿泉水、温泉等特殊地下水资源</w:t>
                  </w:r>
                </w:p>
              </w:tc>
            </w:tr>
            <w:tr w14:paraId="0382D5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79" w:type="pct"/>
                  <w:tcBorders>
                    <w:top w:val="single" w:color="auto" w:sz="4" w:space="0"/>
                    <w:left w:val="nil"/>
                    <w:bottom w:val="single" w:color="auto" w:sz="12" w:space="0"/>
                    <w:right w:val="single" w:color="auto" w:sz="4" w:space="0"/>
                  </w:tcBorders>
                  <w:vAlign w:val="center"/>
                </w:tcPr>
                <w:p w14:paraId="43657675">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生态环境</w:t>
                  </w:r>
                </w:p>
              </w:tc>
              <w:tc>
                <w:tcPr>
                  <w:tcW w:w="4620" w:type="pct"/>
                  <w:gridSpan w:val="6"/>
                  <w:tcBorders>
                    <w:top w:val="single" w:color="auto" w:sz="4" w:space="0"/>
                    <w:left w:val="nil"/>
                    <w:bottom w:val="single" w:color="auto" w:sz="12" w:space="0"/>
                    <w:right w:val="nil"/>
                  </w:tcBorders>
                  <w:vAlign w:val="center"/>
                </w:tcPr>
                <w:p w14:paraId="6FFD937A">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本项目位于凤台经济开发区范围内，用地范围内无生态环境保护目标</w:t>
                  </w:r>
                </w:p>
              </w:tc>
            </w:tr>
          </w:tbl>
          <w:p w14:paraId="4618B3E8">
            <w:pPr>
              <w:keepNext w:val="0"/>
              <w:keepLines w:val="0"/>
              <w:widowControl/>
              <w:suppressLineNumbers w:val="0"/>
              <w:spacing w:before="0" w:beforeAutospacing="0" w:after="0" w:afterAutospacing="0"/>
              <w:ind w:left="0" w:right="0"/>
              <w:rPr>
                <w:rFonts w:hint="default" w:ascii="Times New Roman" w:hAnsi="Times New Roman" w:eastAsia="黑体"/>
                <w:color w:val="auto"/>
                <w:kern w:val="2"/>
                <w:sz w:val="21"/>
                <w:szCs w:val="21"/>
              </w:rPr>
            </w:pPr>
            <w:r>
              <w:rPr>
                <w:rFonts w:hint="default" w:ascii="Times New Roman" w:hAnsi="Times New Roman" w:eastAsia="黑体"/>
                <w:color w:val="auto"/>
                <w:kern w:val="2"/>
                <w:sz w:val="21"/>
                <w:szCs w:val="21"/>
              </w:rPr>
              <w:t>注：以项目厂界中心为坐标原点（0,0）</w:t>
            </w:r>
            <w:r>
              <w:rPr>
                <w:rFonts w:hint="eastAsia" w:ascii="Times New Roman" w:hAnsi="Times New Roman" w:eastAsia="黑体"/>
                <w:color w:val="auto"/>
                <w:kern w:val="2"/>
                <w:sz w:val="21"/>
                <w:szCs w:val="21"/>
              </w:rPr>
              <w:t>，</w:t>
            </w:r>
            <w:r>
              <w:rPr>
                <w:rFonts w:hint="default" w:ascii="Times New Roman" w:hAnsi="Times New Roman" w:eastAsia="黑体"/>
                <w:color w:val="auto"/>
                <w:kern w:val="2"/>
                <w:sz w:val="21"/>
                <w:szCs w:val="21"/>
              </w:rPr>
              <w:t>向东为X轴，向北为Y轴。</w:t>
            </w:r>
          </w:p>
          <w:p w14:paraId="6B4B7913">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2"/>
                <w:szCs w:val="21"/>
              </w:rPr>
            </w:pPr>
          </w:p>
        </w:tc>
      </w:tr>
    </w:tbl>
    <w:p w14:paraId="5F1A8038">
      <w:pPr>
        <w:rPr>
          <w:rFonts w:ascii="Times New Roman" w:hAnsi="Times New Roman"/>
          <w:color w:val="auto"/>
        </w:rPr>
        <w:sectPr>
          <w:pgSz w:w="11906" w:h="16838"/>
          <w:pgMar w:top="1440" w:right="1800" w:bottom="1440" w:left="1800" w:header="851" w:footer="992" w:gutter="0"/>
          <w:cols w:space="720" w:num="1"/>
          <w:docGrid w:type="lines" w:linePitch="312" w:charSpace="0"/>
        </w:sectPr>
      </w:pPr>
    </w:p>
    <w:tbl>
      <w:tblPr>
        <w:tblStyle w:val="23"/>
        <w:tblW w:w="50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064"/>
      </w:tblGrid>
      <w:tr w14:paraId="4195BD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30" w:hRule="atLeast"/>
          <w:jc w:val="center"/>
        </w:trPr>
        <w:tc>
          <w:tcPr>
            <w:tcW w:w="268" w:type="pct"/>
            <w:tcMar>
              <w:left w:w="28" w:type="dxa"/>
              <w:right w:w="28" w:type="dxa"/>
            </w:tcMar>
            <w:vAlign w:val="center"/>
          </w:tcPr>
          <w:p w14:paraId="10B82754">
            <w:pPr>
              <w:keepNext w:val="0"/>
              <w:keepLines w:val="0"/>
              <w:widowControl/>
              <w:suppressLineNumbers w:val="0"/>
              <w:spacing w:before="0" w:beforeAutospacing="0" w:after="0" w:afterAutospacing="0" w:line="360" w:lineRule="auto"/>
              <w:ind w:left="0" w:right="0"/>
              <w:jc w:val="center"/>
              <w:rPr>
                <w:rFonts w:hint="default" w:ascii="Times New Roman" w:hAnsi="Times New Roman"/>
                <w:color w:val="auto"/>
                <w:kern w:val="2"/>
                <w:szCs w:val="21"/>
              </w:rPr>
            </w:pPr>
            <w:r>
              <w:rPr>
                <w:rFonts w:hint="eastAsia" w:ascii="Times New Roman" w:hAnsi="Times New Roman"/>
                <w:bCs/>
                <w:color w:val="auto"/>
                <w:kern w:val="2"/>
              </w:rPr>
              <w:t>污染物排放控制标准</w:t>
            </w:r>
          </w:p>
        </w:tc>
        <w:tc>
          <w:tcPr>
            <w:tcW w:w="4732" w:type="pct"/>
          </w:tcPr>
          <w:p w14:paraId="31E4777F">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bCs/>
                <w:color w:val="auto"/>
                <w:kern w:val="2"/>
              </w:rPr>
            </w:pPr>
            <w:r>
              <w:rPr>
                <w:rFonts w:hint="default" w:ascii="Times New Roman" w:hAnsi="Times New Roman"/>
                <w:b/>
                <w:bCs/>
                <w:color w:val="auto"/>
                <w:kern w:val="2"/>
              </w:rPr>
              <w:t>1、大气污染物排放标准</w:t>
            </w:r>
          </w:p>
          <w:p w14:paraId="323F5AF5">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default" w:ascii="Times New Roman" w:hAnsi="Times New Roman"/>
                <w:bCs/>
                <w:color w:val="auto"/>
                <w:kern w:val="2"/>
              </w:rPr>
              <w:t>本项目废气主要为</w:t>
            </w:r>
            <w:r>
              <w:rPr>
                <w:rFonts w:hint="eastAsia" w:ascii="Times New Roman" w:hAnsi="Times New Roman"/>
                <w:bCs/>
                <w:color w:val="auto"/>
                <w:kern w:val="2"/>
              </w:rPr>
              <w:t>涂胶、变速器加油、</w:t>
            </w:r>
            <w:r>
              <w:rPr>
                <w:rFonts w:hint="default" w:ascii="Times New Roman" w:hAnsi="Times New Roman" w:cs="Times New Roman"/>
                <w:color w:val="auto"/>
                <w:kern w:val="2"/>
              </w:rPr>
              <w:t>碳氢清洗</w:t>
            </w:r>
            <w:r>
              <w:rPr>
                <w:rFonts w:hint="default" w:ascii="Times New Roman" w:hAnsi="Times New Roman"/>
                <w:bCs/>
                <w:color w:val="auto"/>
                <w:kern w:val="2"/>
              </w:rPr>
              <w:t>工序</w:t>
            </w:r>
            <w:r>
              <w:rPr>
                <w:rFonts w:hint="eastAsia" w:ascii="Times New Roman" w:hAnsi="Times New Roman"/>
                <w:bCs/>
                <w:color w:val="auto"/>
                <w:kern w:val="2"/>
                <w:lang w:eastAsia="zh-CN"/>
              </w:rPr>
              <w:t>、</w:t>
            </w:r>
            <w:r>
              <w:rPr>
                <w:rFonts w:hint="eastAsia" w:ascii="Times New Roman" w:hAnsi="Times New Roman"/>
                <w:bCs/>
                <w:color w:val="auto"/>
                <w:kern w:val="2"/>
                <w:lang w:val="en-US" w:eastAsia="zh-CN"/>
              </w:rPr>
              <w:t>蒸馏再生工序</w:t>
            </w:r>
            <w:r>
              <w:rPr>
                <w:rFonts w:hint="default" w:ascii="Times New Roman" w:hAnsi="Times New Roman"/>
                <w:bCs/>
                <w:color w:val="auto"/>
                <w:kern w:val="2"/>
              </w:rPr>
              <w:t>产生的</w:t>
            </w:r>
            <w:r>
              <w:rPr>
                <w:rFonts w:hint="eastAsia" w:ascii="Times New Roman" w:hAnsi="Times New Roman"/>
                <w:bCs/>
                <w:color w:val="auto"/>
                <w:kern w:val="2"/>
              </w:rPr>
              <w:t>废</w:t>
            </w:r>
            <w:r>
              <w:rPr>
                <w:rFonts w:hint="default" w:ascii="Times New Roman" w:hAnsi="Times New Roman"/>
                <w:bCs/>
                <w:color w:val="auto"/>
                <w:kern w:val="2"/>
              </w:rPr>
              <w:t>气</w:t>
            </w:r>
            <w:r>
              <w:rPr>
                <w:rFonts w:hint="eastAsia" w:ascii="Times New Roman" w:hAnsi="Times New Roman"/>
                <w:bCs/>
                <w:color w:val="auto"/>
                <w:kern w:val="2"/>
              </w:rPr>
              <w:t>，本项目周边200m范围内无超过10m高建筑。</w:t>
            </w:r>
          </w:p>
          <w:p w14:paraId="78FF17F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default" w:ascii="Times New Roman" w:hAnsi="Times New Roman" w:cs="Times New Roman"/>
                <w:color w:val="auto"/>
                <w:kern w:val="2"/>
              </w:rPr>
              <w:t>碳氢清洗</w:t>
            </w:r>
            <w:r>
              <w:rPr>
                <w:rFonts w:hint="default" w:ascii="Times New Roman" w:hAnsi="Times New Roman"/>
                <w:bCs/>
                <w:color w:val="auto"/>
                <w:kern w:val="2"/>
              </w:rPr>
              <w:t>工序</w:t>
            </w:r>
            <w:r>
              <w:rPr>
                <w:rFonts w:hint="eastAsia" w:ascii="Times New Roman" w:hAnsi="Times New Roman"/>
                <w:bCs/>
                <w:color w:val="auto"/>
                <w:kern w:val="2"/>
                <w:lang w:eastAsia="zh-CN"/>
              </w:rPr>
              <w:t>、</w:t>
            </w:r>
            <w:r>
              <w:rPr>
                <w:rFonts w:hint="eastAsia" w:ascii="Times New Roman" w:hAnsi="Times New Roman"/>
                <w:bCs/>
                <w:color w:val="auto"/>
                <w:kern w:val="2"/>
                <w:lang w:val="en-US" w:eastAsia="zh-CN"/>
              </w:rPr>
              <w:t>蒸馏再生工序</w:t>
            </w:r>
            <w:r>
              <w:rPr>
                <w:rFonts w:hint="default" w:ascii="Times New Roman" w:hAnsi="Times New Roman"/>
                <w:bCs/>
                <w:color w:val="auto"/>
                <w:kern w:val="2"/>
              </w:rPr>
              <w:t>废气非甲烷总烃有组织排放执行安徽省地方标准《固定源挥发性有机物综合排放标准 第6部分：其他行业》（DB34/4812.6-2024）表1</w:t>
            </w:r>
            <w:r>
              <w:rPr>
                <w:rFonts w:hint="eastAsia" w:ascii="Times New Roman" w:hAnsi="Times New Roman"/>
                <w:bCs/>
                <w:color w:val="auto"/>
                <w:kern w:val="2"/>
              </w:rPr>
              <w:t>汽车零部件制造的工业限值要求</w:t>
            </w:r>
            <w:r>
              <w:rPr>
                <w:rFonts w:hint="default" w:ascii="Times New Roman" w:hAnsi="Times New Roman"/>
                <w:bCs/>
                <w:color w:val="auto"/>
                <w:kern w:val="2"/>
              </w:rPr>
              <w:t>。具体标准限值见</w:t>
            </w:r>
            <w:r>
              <w:rPr>
                <w:rFonts w:hint="eastAsia" w:ascii="Times New Roman" w:hAnsi="Times New Roman"/>
                <w:bCs/>
                <w:color w:val="auto"/>
                <w:kern w:val="2"/>
              </w:rPr>
              <w:t>下表。</w:t>
            </w:r>
          </w:p>
          <w:p w14:paraId="3FFAD7FE">
            <w:pPr>
              <w:keepNext w:val="0"/>
              <w:keepLines w:val="0"/>
              <w:widowControl/>
              <w:suppressLineNumbers w:val="0"/>
              <w:spacing w:before="0" w:beforeAutospacing="0" w:after="0" w:afterAutospacing="0" w:line="360" w:lineRule="auto"/>
              <w:ind w:left="0" w:right="0" w:firstLine="480" w:firstLineChars="200"/>
              <w:jc w:val="center"/>
              <w:rPr>
                <w:rFonts w:hint="default" w:ascii="Times New Roman" w:hAnsi="Times New Roman"/>
                <w:bCs/>
                <w:color w:val="auto"/>
                <w:kern w:val="2"/>
              </w:rPr>
            </w:pPr>
            <w:r>
              <w:rPr>
                <w:rFonts w:hint="default" w:ascii="Times New Roman" w:hAnsi="Times New Roman" w:eastAsia="黑体"/>
                <w:bCs/>
                <w:color w:val="auto"/>
                <w:kern w:val="2"/>
              </w:rPr>
              <w:t>表3-</w:t>
            </w:r>
            <w:r>
              <w:rPr>
                <w:rFonts w:hint="eastAsia" w:ascii="Times New Roman" w:hAnsi="Times New Roman" w:eastAsia="黑体"/>
                <w:bCs/>
                <w:color w:val="auto"/>
                <w:kern w:val="2"/>
                <w:lang w:val="en-US" w:eastAsia="zh-CN"/>
              </w:rPr>
              <w:t>4</w:t>
            </w:r>
            <w:r>
              <w:rPr>
                <w:rFonts w:hint="default" w:ascii="Times New Roman" w:hAnsi="Times New Roman" w:eastAsia="黑体"/>
                <w:bCs/>
                <w:color w:val="auto"/>
                <w:kern w:val="2"/>
              </w:rPr>
              <w:t xml:space="preserve">  </w:t>
            </w:r>
            <w:r>
              <w:rPr>
                <w:rFonts w:hint="eastAsia" w:ascii="Times New Roman" w:hAnsi="Times New Roman" w:eastAsia="黑体"/>
                <w:bCs/>
                <w:color w:val="auto"/>
                <w:kern w:val="2"/>
              </w:rPr>
              <w:t>固化废气</w:t>
            </w:r>
            <w:r>
              <w:rPr>
                <w:rFonts w:hint="default" w:ascii="Times New Roman" w:hAnsi="Times New Roman" w:eastAsia="黑体"/>
                <w:bCs/>
                <w:color w:val="auto"/>
                <w:kern w:val="2"/>
              </w:rPr>
              <w:t>有组织排放限值标准一览表</w:t>
            </w:r>
          </w:p>
          <w:tbl>
            <w:tblPr>
              <w:tblStyle w:val="23"/>
              <w:tblW w:w="0" w:type="auto"/>
              <w:jc w:val="center"/>
              <w:tblBorders>
                <w:top w:val="single" w:color="000000" w:sz="4"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37"/>
              <w:gridCol w:w="3158"/>
              <w:gridCol w:w="1550"/>
              <w:gridCol w:w="997"/>
              <w:gridCol w:w="1152"/>
            </w:tblGrid>
            <w:tr w14:paraId="2B55ECED">
              <w:tblPrEx>
                <w:tblBorders>
                  <w:top w:val="single" w:color="000000" w:sz="4"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37" w:type="dxa"/>
                  <w:vMerge w:val="restart"/>
                  <w:tcBorders>
                    <w:top w:val="single" w:color="auto" w:sz="12" w:space="0"/>
                  </w:tcBorders>
                  <w:vAlign w:val="center"/>
                </w:tcPr>
                <w:p w14:paraId="0C6B98C2">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污染物</w:t>
                  </w:r>
                </w:p>
              </w:tc>
              <w:tc>
                <w:tcPr>
                  <w:tcW w:w="6857" w:type="dxa"/>
                  <w:gridSpan w:val="4"/>
                  <w:tcBorders>
                    <w:top w:val="single" w:color="auto" w:sz="12" w:space="0"/>
                  </w:tcBorders>
                  <w:vAlign w:val="center"/>
                </w:tcPr>
                <w:p w14:paraId="3216A062">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排放标准</w:t>
                  </w:r>
                </w:p>
              </w:tc>
            </w:tr>
            <w:tr w14:paraId="7023E3DF">
              <w:tblPrEx>
                <w:tblBorders>
                  <w:top w:val="single" w:color="000000" w:sz="4"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1" w:hRule="atLeast"/>
                <w:jc w:val="center"/>
              </w:trPr>
              <w:tc>
                <w:tcPr>
                  <w:tcW w:w="937" w:type="dxa"/>
                  <w:vMerge w:val="continue"/>
                  <w:vAlign w:val="center"/>
                </w:tcPr>
                <w:p w14:paraId="2A5178E1">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p>
              </w:tc>
              <w:tc>
                <w:tcPr>
                  <w:tcW w:w="3158" w:type="dxa"/>
                  <w:vAlign w:val="center"/>
                </w:tcPr>
                <w:p w14:paraId="0824F8CD">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标准名称</w:t>
                  </w:r>
                </w:p>
              </w:tc>
              <w:tc>
                <w:tcPr>
                  <w:tcW w:w="1550" w:type="dxa"/>
                  <w:vAlign w:val="center"/>
                </w:tcPr>
                <w:p w14:paraId="5EBF4F57">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bCs/>
                      <w:color w:val="auto"/>
                      <w:kern w:val="2"/>
                      <w:sz w:val="21"/>
                      <w:szCs w:val="21"/>
                    </w:rPr>
                    <w:t>浓度限值（mg/m</w:t>
                  </w:r>
                  <w:r>
                    <w:rPr>
                      <w:rFonts w:hint="default" w:ascii="Times New Roman" w:hAnsi="Times New Roman"/>
                      <w:b/>
                      <w:bCs/>
                      <w:color w:val="auto"/>
                      <w:kern w:val="2"/>
                      <w:sz w:val="21"/>
                      <w:szCs w:val="21"/>
                      <w:vertAlign w:val="superscript"/>
                    </w:rPr>
                    <w:t>3</w:t>
                  </w:r>
                  <w:r>
                    <w:rPr>
                      <w:rFonts w:hint="default" w:ascii="Times New Roman" w:hAnsi="Times New Roman"/>
                      <w:b/>
                      <w:bCs/>
                      <w:color w:val="auto"/>
                      <w:kern w:val="2"/>
                      <w:sz w:val="21"/>
                      <w:szCs w:val="21"/>
                    </w:rPr>
                    <w:t>）</w:t>
                  </w:r>
                </w:p>
              </w:tc>
              <w:tc>
                <w:tcPr>
                  <w:tcW w:w="997" w:type="dxa"/>
                  <w:vAlign w:val="center"/>
                </w:tcPr>
                <w:p w14:paraId="05A6CA26">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eastAsia" w:ascii="Times New Roman" w:hAnsi="Times New Roman"/>
                      <w:b/>
                      <w:color w:val="auto"/>
                      <w:kern w:val="2"/>
                      <w:sz w:val="21"/>
                      <w:szCs w:val="21"/>
                    </w:rPr>
                    <w:t>排气筒高度</w:t>
                  </w:r>
                  <w:r>
                    <w:rPr>
                      <w:rFonts w:hint="default" w:ascii="Times New Roman" w:hAnsi="Times New Roman" w:cs="Times New Roman"/>
                      <w:b/>
                      <w:bCs/>
                      <w:color w:val="auto"/>
                      <w:kern w:val="2"/>
                      <w:sz w:val="21"/>
                      <w:szCs w:val="21"/>
                    </w:rPr>
                    <w:t>（m）</w:t>
                  </w:r>
                </w:p>
              </w:tc>
              <w:tc>
                <w:tcPr>
                  <w:tcW w:w="1152" w:type="dxa"/>
                  <w:vAlign w:val="center"/>
                </w:tcPr>
                <w:p w14:paraId="4D88F902">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color w:val="auto"/>
                      <w:kern w:val="2"/>
                      <w:sz w:val="21"/>
                      <w:szCs w:val="21"/>
                    </w:rPr>
                    <w:t>速率限值（kg/h）</w:t>
                  </w:r>
                </w:p>
              </w:tc>
            </w:tr>
            <w:tr w14:paraId="0D9E122E">
              <w:tblPrEx>
                <w:tblBorders>
                  <w:top w:val="single" w:color="000000" w:sz="4"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1" w:hRule="atLeast"/>
                <w:jc w:val="center"/>
              </w:trPr>
              <w:tc>
                <w:tcPr>
                  <w:tcW w:w="937" w:type="dxa"/>
                  <w:vAlign w:val="center"/>
                </w:tcPr>
                <w:p w14:paraId="6F663CA0">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Cs/>
                      <w:color w:val="auto"/>
                      <w:kern w:val="2"/>
                      <w:sz w:val="21"/>
                      <w:szCs w:val="21"/>
                    </w:rPr>
                    <w:t>NMHC</w:t>
                  </w:r>
                </w:p>
              </w:tc>
              <w:tc>
                <w:tcPr>
                  <w:tcW w:w="3158" w:type="dxa"/>
                  <w:vAlign w:val="center"/>
                </w:tcPr>
                <w:p w14:paraId="28238AFD">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Cs/>
                      <w:color w:val="auto"/>
                      <w:kern w:val="2"/>
                      <w:sz w:val="21"/>
                      <w:szCs w:val="21"/>
                    </w:rPr>
                    <w:t>安徽省地方标准《固定源挥发性有机物综合排放标准 第6部分：其他行业》（DB34/4812.6-2024）</w:t>
                  </w:r>
                </w:p>
              </w:tc>
              <w:tc>
                <w:tcPr>
                  <w:tcW w:w="1550" w:type="dxa"/>
                  <w:vAlign w:val="center"/>
                </w:tcPr>
                <w:p w14:paraId="05BEB4C4">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60</w:t>
                  </w:r>
                </w:p>
              </w:tc>
              <w:tc>
                <w:tcPr>
                  <w:tcW w:w="997" w:type="dxa"/>
                  <w:vAlign w:val="center"/>
                </w:tcPr>
                <w:p w14:paraId="60E0407D">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color w:val="auto"/>
                      <w:kern w:val="2"/>
                      <w:sz w:val="21"/>
                      <w:szCs w:val="21"/>
                    </w:rPr>
                    <w:t>15</w:t>
                  </w:r>
                </w:p>
              </w:tc>
              <w:tc>
                <w:tcPr>
                  <w:tcW w:w="1152" w:type="dxa"/>
                  <w:vAlign w:val="center"/>
                </w:tcPr>
                <w:p w14:paraId="50395CC9">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2.0</w:t>
                  </w:r>
                </w:p>
              </w:tc>
            </w:tr>
          </w:tbl>
          <w:p w14:paraId="395DB043">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黑体"/>
                <w:bCs/>
                <w:color w:val="auto"/>
                <w:kern w:val="2"/>
              </w:rPr>
            </w:pPr>
            <w:r>
              <w:rPr>
                <w:rFonts w:hint="default" w:ascii="Times New Roman" w:hAnsi="Times New Roman"/>
                <w:bCs/>
                <w:color w:val="auto"/>
                <w:kern w:val="2"/>
              </w:rPr>
              <w:t>非甲烷总烃厂界无组织浓度执行</w:t>
            </w:r>
            <w:r>
              <w:rPr>
                <w:rFonts w:hint="eastAsia" w:ascii="Times New Roman" w:hAnsi="Times New Roman"/>
                <w:bCs/>
                <w:color w:val="auto"/>
                <w:kern w:val="2"/>
              </w:rPr>
              <w:t>《大气污染物综合排放标准》（GB16297-1996）表2中厂界监控浓度限值</w:t>
            </w:r>
            <w:r>
              <w:rPr>
                <w:rFonts w:hint="default" w:ascii="Times New Roman" w:hAnsi="Times New Roman"/>
                <w:bCs/>
                <w:color w:val="auto"/>
                <w:kern w:val="2"/>
              </w:rPr>
              <w:t>；</w:t>
            </w:r>
            <w:r>
              <w:rPr>
                <w:rFonts w:hint="eastAsia" w:ascii="Times New Roman" w:hAnsi="Times New Roman"/>
                <w:bCs/>
                <w:color w:val="auto"/>
                <w:kern w:val="2"/>
              </w:rPr>
              <w:t>非甲烷总烃厂区内无组织排放监控浓度</w:t>
            </w:r>
            <w:r>
              <w:rPr>
                <w:rFonts w:hint="default" w:ascii="Times New Roman" w:hAnsi="Times New Roman"/>
                <w:bCs/>
                <w:color w:val="auto"/>
                <w:kern w:val="2"/>
              </w:rPr>
              <w:t>执行安徽省地方标准《固定源挥发性有机物综合排放标准 第6部分：其他行业》（DB34/4812.6-2024）表4中特别排放限值要求。具体标准限值见</w:t>
            </w:r>
            <w:r>
              <w:rPr>
                <w:rFonts w:hint="eastAsia" w:ascii="Times New Roman" w:hAnsi="Times New Roman"/>
                <w:bCs/>
                <w:color w:val="auto"/>
                <w:kern w:val="2"/>
              </w:rPr>
              <w:t>下表。</w:t>
            </w:r>
          </w:p>
          <w:p w14:paraId="57A0F04D">
            <w:pPr>
              <w:keepNext w:val="0"/>
              <w:keepLines w:val="0"/>
              <w:widowControl/>
              <w:suppressLineNumbers w:val="0"/>
              <w:spacing w:before="0" w:beforeAutospacing="0" w:after="0" w:afterAutospacing="0" w:line="360" w:lineRule="auto"/>
              <w:ind w:left="0" w:right="0" w:firstLine="480" w:firstLineChars="200"/>
              <w:jc w:val="center"/>
              <w:rPr>
                <w:rFonts w:hint="default" w:ascii="Times New Roman" w:hAnsi="Times New Roman"/>
                <w:bCs/>
                <w:color w:val="auto"/>
                <w:kern w:val="2"/>
              </w:rPr>
            </w:pPr>
            <w:r>
              <w:rPr>
                <w:rFonts w:hint="default" w:ascii="Times New Roman" w:hAnsi="Times New Roman" w:eastAsia="黑体"/>
                <w:bCs/>
                <w:color w:val="auto"/>
                <w:kern w:val="2"/>
              </w:rPr>
              <w:t>表3-</w:t>
            </w:r>
            <w:r>
              <w:rPr>
                <w:rFonts w:hint="eastAsia" w:ascii="Times New Roman" w:hAnsi="Times New Roman" w:eastAsia="黑体"/>
                <w:bCs/>
                <w:color w:val="auto"/>
                <w:kern w:val="2"/>
                <w:lang w:val="en-US" w:eastAsia="zh-CN"/>
              </w:rPr>
              <w:t>5</w:t>
            </w:r>
            <w:r>
              <w:rPr>
                <w:rFonts w:hint="default" w:ascii="Times New Roman" w:hAnsi="Times New Roman" w:eastAsia="黑体"/>
                <w:bCs/>
                <w:color w:val="auto"/>
                <w:kern w:val="2"/>
              </w:rPr>
              <w:t xml:space="preserve">  项目无组织排放监控浓度限值一览表</w:t>
            </w:r>
          </w:p>
          <w:tbl>
            <w:tblPr>
              <w:tblStyle w:val="23"/>
              <w:tblW w:w="5000" w:type="pct"/>
              <w:jc w:val="center"/>
              <w:tblBorders>
                <w:top w:val="single" w:color="000000" w:sz="4"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509"/>
              <w:gridCol w:w="1727"/>
              <w:gridCol w:w="832"/>
              <w:gridCol w:w="1305"/>
              <w:gridCol w:w="2475"/>
            </w:tblGrid>
            <w:tr w14:paraId="2636A023">
              <w:tblPrEx>
                <w:tblBorders>
                  <w:top w:val="single" w:color="000000" w:sz="4"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961" w:type="pct"/>
                  <w:tcBorders>
                    <w:top w:val="single" w:color="auto" w:sz="12" w:space="0"/>
                  </w:tcBorders>
                  <w:vAlign w:val="center"/>
                </w:tcPr>
                <w:p w14:paraId="6C6D61A6">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污染物项目</w:t>
                  </w:r>
                </w:p>
              </w:tc>
              <w:tc>
                <w:tcPr>
                  <w:tcW w:w="1100" w:type="pct"/>
                  <w:tcBorders>
                    <w:top w:val="single" w:color="auto" w:sz="12" w:space="0"/>
                  </w:tcBorders>
                  <w:vAlign w:val="center"/>
                </w:tcPr>
                <w:p w14:paraId="142AB242">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浓度（mg/m</w:t>
                  </w:r>
                  <w:r>
                    <w:rPr>
                      <w:rFonts w:hint="default" w:ascii="Times New Roman" w:hAnsi="Times New Roman"/>
                      <w:b/>
                      <w:bCs/>
                      <w:color w:val="auto"/>
                      <w:kern w:val="2"/>
                      <w:sz w:val="21"/>
                      <w:szCs w:val="21"/>
                      <w:vertAlign w:val="superscript"/>
                    </w:rPr>
                    <w:t>3</w:t>
                  </w:r>
                  <w:r>
                    <w:rPr>
                      <w:rFonts w:hint="default" w:ascii="Times New Roman" w:hAnsi="Times New Roman"/>
                      <w:b/>
                      <w:bCs/>
                      <w:color w:val="auto"/>
                      <w:kern w:val="2"/>
                      <w:sz w:val="21"/>
                      <w:szCs w:val="21"/>
                    </w:rPr>
                    <w:t>）</w:t>
                  </w:r>
                </w:p>
              </w:tc>
              <w:tc>
                <w:tcPr>
                  <w:tcW w:w="530" w:type="pct"/>
                  <w:tcBorders>
                    <w:top w:val="single" w:color="auto" w:sz="12" w:space="0"/>
                  </w:tcBorders>
                  <w:vAlign w:val="center"/>
                </w:tcPr>
                <w:p w14:paraId="5771030A">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限值含义</w:t>
                  </w:r>
                </w:p>
              </w:tc>
              <w:tc>
                <w:tcPr>
                  <w:tcW w:w="831" w:type="pct"/>
                  <w:tcBorders>
                    <w:top w:val="single" w:color="auto" w:sz="12" w:space="0"/>
                  </w:tcBorders>
                  <w:vAlign w:val="center"/>
                </w:tcPr>
                <w:p w14:paraId="6D124A2A">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无组织排放监控位置</w:t>
                  </w:r>
                </w:p>
              </w:tc>
              <w:tc>
                <w:tcPr>
                  <w:tcW w:w="1576" w:type="pct"/>
                  <w:tcBorders>
                    <w:top w:val="single" w:color="auto" w:sz="12" w:space="0"/>
                  </w:tcBorders>
                  <w:vAlign w:val="center"/>
                </w:tcPr>
                <w:p w14:paraId="5845EBFF">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执行标准</w:t>
                  </w:r>
                </w:p>
              </w:tc>
            </w:tr>
            <w:tr w14:paraId="7E29D5A1">
              <w:tblPrEx>
                <w:tblBorders>
                  <w:top w:val="single" w:color="000000" w:sz="4" w:space="0"/>
                  <w:left w:val="none" w:color="auto" w:sz="0" w:space="0"/>
                  <w:bottom w:val="single" w:color="auto"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55" w:hRule="atLeast"/>
                <w:jc w:val="center"/>
              </w:trPr>
              <w:tc>
                <w:tcPr>
                  <w:tcW w:w="961" w:type="pct"/>
                  <w:vAlign w:val="center"/>
                </w:tcPr>
                <w:p w14:paraId="2126F1C5">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NMHC</w:t>
                  </w:r>
                </w:p>
              </w:tc>
              <w:tc>
                <w:tcPr>
                  <w:tcW w:w="1100" w:type="pct"/>
                  <w:vAlign w:val="center"/>
                </w:tcPr>
                <w:p w14:paraId="12B2705D">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4</w:t>
                  </w:r>
                </w:p>
              </w:tc>
              <w:tc>
                <w:tcPr>
                  <w:tcW w:w="530" w:type="pct"/>
                  <w:vAlign w:val="center"/>
                </w:tcPr>
                <w:p w14:paraId="0F6C5AF4">
                  <w:pPr>
                    <w:keepNext w:val="0"/>
                    <w:keepLines w:val="0"/>
                    <w:widowControl/>
                    <w:suppressLineNumbers w:val="0"/>
                    <w:adjustRightInd w:val="0"/>
                    <w:snapToGrid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周界外浓度最高点</w:t>
                  </w:r>
                </w:p>
              </w:tc>
              <w:tc>
                <w:tcPr>
                  <w:tcW w:w="831" w:type="pct"/>
                  <w:vAlign w:val="center"/>
                </w:tcPr>
                <w:p w14:paraId="4CD5E8FB">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厂界</w:t>
                  </w:r>
                </w:p>
              </w:tc>
              <w:tc>
                <w:tcPr>
                  <w:tcW w:w="1576" w:type="pct"/>
                  <w:vAlign w:val="center"/>
                </w:tcPr>
                <w:p w14:paraId="31FF3F77">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《大气污染物综合排放标准》（GB16297-1996）</w:t>
                  </w:r>
                </w:p>
              </w:tc>
            </w:tr>
          </w:tbl>
          <w:p w14:paraId="380A3069">
            <w:pPr>
              <w:keepNext w:val="0"/>
              <w:keepLines w:val="0"/>
              <w:widowControl/>
              <w:suppressLineNumbers w:val="0"/>
              <w:spacing w:before="0" w:beforeAutospacing="0" w:after="0" w:afterAutospacing="0" w:line="360" w:lineRule="auto"/>
              <w:ind w:left="0" w:right="0"/>
              <w:jc w:val="center"/>
              <w:rPr>
                <w:rFonts w:hint="default" w:ascii="Times New Roman" w:hAnsi="黑体" w:eastAsia="黑体"/>
                <w:bCs/>
                <w:color w:val="auto"/>
                <w:kern w:val="2"/>
              </w:rPr>
            </w:pPr>
            <w:r>
              <w:rPr>
                <w:rFonts w:hint="default" w:ascii="Times New Roman" w:hAnsi="黑体" w:eastAsia="黑体"/>
                <w:bCs/>
                <w:color w:val="auto"/>
                <w:kern w:val="2"/>
              </w:rPr>
              <w:t>表</w:t>
            </w:r>
            <w:r>
              <w:rPr>
                <w:rFonts w:hint="default" w:ascii="Times New Roman" w:hAnsi="Times New Roman" w:eastAsia="黑体"/>
                <w:bCs/>
                <w:color w:val="auto"/>
                <w:kern w:val="2"/>
              </w:rPr>
              <w:t>3</w:t>
            </w:r>
            <w:r>
              <w:rPr>
                <w:rFonts w:hint="eastAsia" w:ascii="Times New Roman" w:hAnsi="Times New Roman" w:eastAsia="黑体"/>
                <w:bCs/>
                <w:color w:val="auto"/>
                <w:kern w:val="2"/>
              </w:rPr>
              <w:t>-</w:t>
            </w:r>
            <w:r>
              <w:rPr>
                <w:rFonts w:hint="eastAsia" w:ascii="Times New Roman" w:hAnsi="Times New Roman" w:eastAsia="黑体"/>
                <w:bCs/>
                <w:color w:val="auto"/>
                <w:kern w:val="2"/>
                <w:lang w:val="en-US" w:eastAsia="zh-CN"/>
              </w:rPr>
              <w:t>6</w:t>
            </w:r>
            <w:r>
              <w:rPr>
                <w:rFonts w:hint="eastAsia" w:ascii="Times New Roman" w:hAnsi="Times New Roman" w:eastAsia="黑体"/>
                <w:bCs/>
                <w:color w:val="auto"/>
                <w:kern w:val="2"/>
              </w:rPr>
              <w:t xml:space="preserve">  </w:t>
            </w:r>
            <w:r>
              <w:rPr>
                <w:rFonts w:hint="eastAsia" w:ascii="Times New Roman" w:hAnsi="黑体" w:eastAsia="黑体"/>
                <w:bCs/>
                <w:color w:val="auto"/>
                <w:kern w:val="2"/>
              </w:rPr>
              <w:t>厂区内VOCs无组织排放限值</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844"/>
              <w:gridCol w:w="1090"/>
              <w:gridCol w:w="1385"/>
              <w:gridCol w:w="1518"/>
              <w:gridCol w:w="3008"/>
            </w:tblGrid>
            <w:tr w14:paraId="2A953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38" w:type="pct"/>
                  <w:vAlign w:val="center"/>
                </w:tcPr>
                <w:p w14:paraId="683B8C02">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b/>
                      <w:bCs/>
                      <w:color w:val="auto"/>
                      <w:kern w:val="2"/>
                      <w:sz w:val="21"/>
                      <w:szCs w:val="21"/>
                    </w:rPr>
                    <w:t>污染物项目</w:t>
                  </w:r>
                </w:p>
              </w:tc>
              <w:tc>
                <w:tcPr>
                  <w:tcW w:w="694" w:type="pct"/>
                  <w:vAlign w:val="center"/>
                </w:tcPr>
                <w:p w14:paraId="5E97B5E2">
                  <w:pPr>
                    <w:keepNext w:val="0"/>
                    <w:keepLines w:val="0"/>
                    <w:widowControl/>
                    <w:suppressLineNumbers w:val="0"/>
                    <w:spacing w:before="0" w:beforeAutospacing="0" w:after="0" w:afterAutospacing="0" w:line="276" w:lineRule="auto"/>
                    <w:ind w:left="0" w:right="0"/>
                    <w:jc w:val="center"/>
                    <w:rPr>
                      <w:rFonts w:hint="default" w:ascii="Times New Roman"/>
                      <w:b/>
                      <w:bCs/>
                      <w:color w:val="auto"/>
                      <w:kern w:val="2"/>
                      <w:sz w:val="21"/>
                      <w:szCs w:val="21"/>
                    </w:rPr>
                  </w:pPr>
                  <w:r>
                    <w:rPr>
                      <w:rFonts w:hint="eastAsia" w:ascii="Times New Roman"/>
                      <w:b/>
                      <w:bCs/>
                      <w:color w:val="auto"/>
                      <w:kern w:val="2"/>
                      <w:sz w:val="21"/>
                      <w:szCs w:val="21"/>
                    </w:rPr>
                    <w:t>最高</w:t>
                  </w:r>
                  <w:r>
                    <w:rPr>
                      <w:rFonts w:hint="default" w:ascii="Times New Roman"/>
                      <w:b/>
                      <w:bCs/>
                      <w:color w:val="auto"/>
                      <w:kern w:val="2"/>
                      <w:sz w:val="21"/>
                      <w:szCs w:val="21"/>
                    </w:rPr>
                    <w:t>允许排放浓度</w:t>
                  </w:r>
                  <w:r>
                    <w:rPr>
                      <w:rFonts w:hint="eastAsia" w:ascii="Times New Roman"/>
                      <w:b/>
                      <w:bCs/>
                      <w:color w:val="auto"/>
                      <w:kern w:val="2"/>
                      <w:sz w:val="21"/>
                      <w:szCs w:val="21"/>
                    </w:rPr>
                    <w:t>，</w:t>
                  </w:r>
                  <w:r>
                    <w:rPr>
                      <w:rFonts w:hint="default" w:ascii="Times New Roman" w:hAnsi="Times New Roman"/>
                      <w:b/>
                      <w:bCs/>
                      <w:color w:val="auto"/>
                      <w:kern w:val="2"/>
                      <w:sz w:val="21"/>
                      <w:szCs w:val="21"/>
                    </w:rPr>
                    <w:t>mg/m</w:t>
                  </w:r>
                  <w:r>
                    <w:rPr>
                      <w:rFonts w:hint="default" w:ascii="Times New Roman" w:hAnsi="Times New Roman"/>
                      <w:b/>
                      <w:bCs/>
                      <w:color w:val="auto"/>
                      <w:kern w:val="2"/>
                      <w:sz w:val="21"/>
                      <w:szCs w:val="21"/>
                      <w:vertAlign w:val="superscript"/>
                    </w:rPr>
                    <w:t>3</w:t>
                  </w:r>
                </w:p>
              </w:tc>
              <w:tc>
                <w:tcPr>
                  <w:tcW w:w="882" w:type="pct"/>
                  <w:vAlign w:val="center"/>
                </w:tcPr>
                <w:p w14:paraId="5A7BE4C0">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eastAsia" w:ascii="Times New Roman"/>
                      <w:b/>
                      <w:bCs/>
                      <w:color w:val="auto"/>
                      <w:kern w:val="2"/>
                      <w:sz w:val="21"/>
                      <w:szCs w:val="21"/>
                    </w:rPr>
                    <w:t>排放限值</w:t>
                  </w:r>
                  <w:r>
                    <w:rPr>
                      <w:rFonts w:hint="default" w:ascii="Times New Roman"/>
                      <w:b/>
                      <w:bCs/>
                      <w:color w:val="auto"/>
                      <w:kern w:val="2"/>
                      <w:sz w:val="21"/>
                      <w:szCs w:val="21"/>
                    </w:rPr>
                    <w:t>含义</w:t>
                  </w:r>
                </w:p>
              </w:tc>
              <w:tc>
                <w:tcPr>
                  <w:tcW w:w="967" w:type="pct"/>
                  <w:vAlign w:val="center"/>
                </w:tcPr>
                <w:p w14:paraId="0A26D8F2">
                  <w:pPr>
                    <w:keepNext w:val="0"/>
                    <w:keepLines w:val="0"/>
                    <w:widowControl/>
                    <w:suppressLineNumbers w:val="0"/>
                    <w:spacing w:before="0" w:beforeAutospacing="0" w:after="0" w:afterAutospacing="0" w:line="276" w:lineRule="auto"/>
                    <w:ind w:left="0" w:right="0"/>
                    <w:jc w:val="center"/>
                    <w:rPr>
                      <w:rFonts w:hint="default" w:ascii="Times New Roman"/>
                      <w:b/>
                      <w:bCs/>
                      <w:color w:val="auto"/>
                      <w:kern w:val="2"/>
                      <w:sz w:val="21"/>
                      <w:szCs w:val="21"/>
                    </w:rPr>
                  </w:pPr>
                  <w:r>
                    <w:rPr>
                      <w:rFonts w:hint="eastAsia" w:ascii="Times New Roman"/>
                      <w:b/>
                      <w:bCs/>
                      <w:color w:val="auto"/>
                      <w:kern w:val="2"/>
                      <w:sz w:val="21"/>
                      <w:szCs w:val="21"/>
                    </w:rPr>
                    <w:t>无组织排放监控位置</w:t>
                  </w:r>
                </w:p>
              </w:tc>
              <w:tc>
                <w:tcPr>
                  <w:tcW w:w="1916" w:type="pct"/>
                  <w:vAlign w:val="center"/>
                </w:tcPr>
                <w:p w14:paraId="510A3D89">
                  <w:pPr>
                    <w:keepNext w:val="0"/>
                    <w:keepLines w:val="0"/>
                    <w:widowControl/>
                    <w:suppressLineNumbers w:val="0"/>
                    <w:spacing w:before="0" w:beforeAutospacing="0" w:after="0" w:afterAutospacing="0" w:line="276" w:lineRule="auto"/>
                    <w:ind w:left="0" w:right="0"/>
                    <w:jc w:val="center"/>
                    <w:rPr>
                      <w:rFonts w:hint="default" w:ascii="Times New Roman"/>
                      <w:b/>
                      <w:bCs/>
                      <w:color w:val="auto"/>
                      <w:kern w:val="2"/>
                      <w:sz w:val="21"/>
                      <w:szCs w:val="21"/>
                    </w:rPr>
                  </w:pPr>
                  <w:r>
                    <w:rPr>
                      <w:rFonts w:hint="eastAsia" w:ascii="Times New Roman"/>
                      <w:b/>
                      <w:bCs/>
                      <w:color w:val="auto"/>
                      <w:kern w:val="2"/>
                      <w:sz w:val="21"/>
                      <w:szCs w:val="21"/>
                    </w:rPr>
                    <w:t>执行标准</w:t>
                  </w:r>
                </w:p>
              </w:tc>
            </w:tr>
            <w:tr w14:paraId="1E79F6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38" w:type="pct"/>
                  <w:vMerge w:val="restart"/>
                  <w:vAlign w:val="center"/>
                </w:tcPr>
                <w:p w14:paraId="493E1C1A">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NMH</w:t>
                  </w:r>
                  <w:r>
                    <w:rPr>
                      <w:rFonts w:hint="default" w:ascii="Times New Roman" w:hAnsi="Times New Roman"/>
                      <w:bCs/>
                      <w:color w:val="auto"/>
                      <w:kern w:val="2"/>
                      <w:sz w:val="21"/>
                      <w:szCs w:val="21"/>
                    </w:rPr>
                    <w:t>C</w:t>
                  </w:r>
                </w:p>
              </w:tc>
              <w:tc>
                <w:tcPr>
                  <w:tcW w:w="694" w:type="pct"/>
                  <w:vAlign w:val="center"/>
                </w:tcPr>
                <w:p w14:paraId="32AFF050">
                  <w:pPr>
                    <w:keepNext w:val="0"/>
                    <w:keepLines w:val="0"/>
                    <w:widowControl/>
                    <w:suppressLineNumbers w:val="0"/>
                    <w:tabs>
                      <w:tab w:val="left" w:pos="0"/>
                    </w:tabs>
                    <w:spacing w:before="0" w:beforeAutospacing="0" w:after="0" w:afterAutospacing="0" w:line="276" w:lineRule="auto"/>
                    <w:ind w:left="0" w:right="0"/>
                    <w:jc w:val="center"/>
                    <w:rPr>
                      <w:rFonts w:hint="default" w:ascii="Times New Roman"/>
                      <w:color w:val="auto"/>
                      <w:kern w:val="2"/>
                      <w:sz w:val="21"/>
                      <w:szCs w:val="21"/>
                    </w:rPr>
                  </w:pPr>
                  <w:r>
                    <w:rPr>
                      <w:rFonts w:hint="eastAsia" w:ascii="Times New Roman"/>
                      <w:color w:val="auto"/>
                      <w:kern w:val="2"/>
                      <w:sz w:val="21"/>
                      <w:szCs w:val="21"/>
                    </w:rPr>
                    <w:t>6</w:t>
                  </w:r>
                </w:p>
              </w:tc>
              <w:tc>
                <w:tcPr>
                  <w:tcW w:w="882" w:type="pct"/>
                  <w:vAlign w:val="center"/>
                </w:tcPr>
                <w:p w14:paraId="5D591879">
                  <w:pPr>
                    <w:keepNext w:val="0"/>
                    <w:keepLines w:val="0"/>
                    <w:widowControl/>
                    <w:suppressLineNumbers w:val="0"/>
                    <w:tabs>
                      <w:tab w:val="left" w:pos="0"/>
                    </w:tabs>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监控点处</w:t>
                  </w:r>
                  <w:r>
                    <w:rPr>
                      <w:rFonts w:hint="eastAsia" w:ascii="Times New Roman" w:hAnsi="Times New Roman"/>
                      <w:color w:val="auto"/>
                      <w:kern w:val="2"/>
                      <w:sz w:val="21"/>
                      <w:szCs w:val="21"/>
                    </w:rPr>
                    <w:t>1h平均浓度值</w:t>
                  </w:r>
                </w:p>
              </w:tc>
              <w:tc>
                <w:tcPr>
                  <w:tcW w:w="967" w:type="pct"/>
                  <w:vMerge w:val="restart"/>
                  <w:vAlign w:val="center"/>
                </w:tcPr>
                <w:p w14:paraId="543A99E7">
                  <w:pPr>
                    <w:keepNext w:val="0"/>
                    <w:keepLines w:val="0"/>
                    <w:widowControl/>
                    <w:suppressLineNumbers w:val="0"/>
                    <w:tabs>
                      <w:tab w:val="left" w:pos="0"/>
                    </w:tabs>
                    <w:spacing w:before="0" w:beforeAutospacing="0" w:after="0" w:afterAutospacing="0" w:line="276" w:lineRule="auto"/>
                    <w:ind w:left="0" w:right="0"/>
                    <w:jc w:val="center"/>
                    <w:rPr>
                      <w:rFonts w:hint="default" w:ascii="Times New Roman"/>
                      <w:color w:val="auto"/>
                      <w:kern w:val="2"/>
                      <w:sz w:val="21"/>
                      <w:szCs w:val="21"/>
                    </w:rPr>
                  </w:pPr>
                  <w:r>
                    <w:rPr>
                      <w:rFonts w:hint="eastAsia" w:ascii="Times New Roman"/>
                      <w:color w:val="auto"/>
                      <w:kern w:val="2"/>
                      <w:sz w:val="21"/>
                      <w:szCs w:val="21"/>
                    </w:rPr>
                    <w:t>在</w:t>
                  </w:r>
                  <w:r>
                    <w:rPr>
                      <w:rFonts w:hint="default" w:ascii="Times New Roman"/>
                      <w:color w:val="auto"/>
                      <w:kern w:val="2"/>
                      <w:sz w:val="21"/>
                      <w:szCs w:val="21"/>
                    </w:rPr>
                    <w:t>厂房外设置监控点</w:t>
                  </w:r>
                </w:p>
              </w:tc>
              <w:tc>
                <w:tcPr>
                  <w:tcW w:w="1916" w:type="pct"/>
                  <w:vMerge w:val="restart"/>
                  <w:vAlign w:val="center"/>
                </w:tcPr>
                <w:p w14:paraId="412C31BF">
                  <w:pPr>
                    <w:keepNext w:val="0"/>
                    <w:keepLines w:val="0"/>
                    <w:widowControl/>
                    <w:suppressLineNumbers w:val="0"/>
                    <w:tabs>
                      <w:tab w:val="left" w:pos="0"/>
                    </w:tabs>
                    <w:spacing w:before="0" w:beforeAutospacing="0" w:after="0" w:afterAutospacing="0" w:line="276" w:lineRule="auto"/>
                    <w:ind w:left="0" w:right="0"/>
                    <w:jc w:val="center"/>
                    <w:rPr>
                      <w:rFonts w:hint="default" w:ascii="Times New Roman"/>
                      <w:color w:val="auto"/>
                      <w:kern w:val="2"/>
                      <w:sz w:val="21"/>
                      <w:szCs w:val="21"/>
                    </w:rPr>
                  </w:pPr>
                  <w:r>
                    <w:rPr>
                      <w:rFonts w:hint="eastAsia" w:ascii="Times New Roman"/>
                      <w:bCs/>
                      <w:color w:val="auto"/>
                      <w:kern w:val="2"/>
                      <w:sz w:val="21"/>
                      <w:szCs w:val="21"/>
                    </w:rPr>
                    <w:t>安徽省地方标准《固定源挥发性有机物综合排放标准 第6部分：其他行业》（</w:t>
                  </w:r>
                  <w:r>
                    <w:rPr>
                      <w:rFonts w:hint="default" w:ascii="Times New Roman"/>
                      <w:bCs/>
                      <w:color w:val="auto"/>
                      <w:kern w:val="2"/>
                      <w:sz w:val="21"/>
                      <w:szCs w:val="21"/>
                    </w:rPr>
                    <w:t>DB34/4812.6</w:t>
                  </w:r>
                  <w:r>
                    <w:rPr>
                      <w:rFonts w:hint="eastAsia" w:ascii="Times New Roman"/>
                      <w:bCs/>
                      <w:color w:val="auto"/>
                      <w:kern w:val="2"/>
                      <w:sz w:val="21"/>
                      <w:szCs w:val="21"/>
                    </w:rPr>
                    <w:t>-</w:t>
                  </w:r>
                  <w:r>
                    <w:rPr>
                      <w:rFonts w:hint="default" w:ascii="Times New Roman"/>
                      <w:bCs/>
                      <w:color w:val="auto"/>
                      <w:kern w:val="2"/>
                      <w:sz w:val="21"/>
                      <w:szCs w:val="21"/>
                    </w:rPr>
                    <w:t>2024</w:t>
                  </w:r>
                  <w:r>
                    <w:rPr>
                      <w:rFonts w:hint="eastAsia" w:ascii="Times New Roman"/>
                      <w:bCs/>
                      <w:color w:val="auto"/>
                      <w:kern w:val="2"/>
                      <w:sz w:val="21"/>
                      <w:szCs w:val="21"/>
                    </w:rPr>
                    <w:t>）</w:t>
                  </w:r>
                </w:p>
              </w:tc>
            </w:tr>
            <w:tr w14:paraId="58BF11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538" w:type="pct"/>
                  <w:vMerge w:val="continue"/>
                  <w:vAlign w:val="center"/>
                </w:tcPr>
                <w:p w14:paraId="24EFAFA8">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p>
              </w:tc>
              <w:tc>
                <w:tcPr>
                  <w:tcW w:w="694" w:type="pct"/>
                  <w:vAlign w:val="center"/>
                </w:tcPr>
                <w:p w14:paraId="26849074">
                  <w:pPr>
                    <w:keepNext w:val="0"/>
                    <w:keepLines w:val="0"/>
                    <w:widowControl/>
                    <w:suppressLineNumbers w:val="0"/>
                    <w:spacing w:before="0" w:beforeAutospacing="0" w:after="0" w:afterAutospacing="0" w:line="276" w:lineRule="auto"/>
                    <w:ind w:left="0" w:right="0"/>
                    <w:jc w:val="center"/>
                    <w:rPr>
                      <w:rFonts w:hint="default" w:ascii="Times New Roman"/>
                      <w:color w:val="auto"/>
                      <w:kern w:val="2"/>
                      <w:sz w:val="21"/>
                      <w:szCs w:val="21"/>
                    </w:rPr>
                  </w:pPr>
                  <w:r>
                    <w:rPr>
                      <w:rFonts w:hint="eastAsia" w:ascii="Times New Roman"/>
                      <w:color w:val="auto"/>
                      <w:kern w:val="2"/>
                      <w:sz w:val="21"/>
                      <w:szCs w:val="21"/>
                    </w:rPr>
                    <w:t>20</w:t>
                  </w:r>
                </w:p>
              </w:tc>
              <w:tc>
                <w:tcPr>
                  <w:tcW w:w="882" w:type="pct"/>
                  <w:vAlign w:val="center"/>
                </w:tcPr>
                <w:p w14:paraId="2D199E53">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监控点处任意一次浓度值</w:t>
                  </w:r>
                </w:p>
              </w:tc>
              <w:tc>
                <w:tcPr>
                  <w:tcW w:w="967" w:type="pct"/>
                  <w:vMerge w:val="continue"/>
                  <w:vAlign w:val="center"/>
                </w:tcPr>
                <w:p w14:paraId="4930C5A7">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p>
              </w:tc>
              <w:tc>
                <w:tcPr>
                  <w:tcW w:w="1916" w:type="pct"/>
                  <w:vMerge w:val="continue"/>
                  <w:vAlign w:val="center"/>
                </w:tcPr>
                <w:p w14:paraId="5F20B35B">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p>
              </w:tc>
            </w:tr>
          </w:tbl>
          <w:p w14:paraId="79D6DF7D">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default" w:ascii="Times New Roman" w:hAnsi="Times New Roman"/>
                <w:b/>
                <w:color w:val="auto"/>
                <w:kern w:val="2"/>
              </w:rPr>
              <w:t>2、噪声</w:t>
            </w:r>
          </w:p>
          <w:p w14:paraId="55B35521">
            <w:pPr>
              <w:keepNext w:val="0"/>
              <w:keepLines w:val="0"/>
              <w:widowControl/>
              <w:suppressLineNumbers w:val="0"/>
              <w:wordWrap w:val="0"/>
              <w:spacing w:before="0" w:beforeAutospacing="0" w:after="0" w:afterAutospacing="0" w:line="360" w:lineRule="auto"/>
              <w:ind w:left="0" w:right="0" w:firstLine="480" w:firstLineChars="200"/>
              <w:rPr>
                <w:rFonts w:hint="default" w:ascii="Times New Roman" w:hAnsi="Times New Roman" w:eastAsia="黑体"/>
                <w:bCs/>
                <w:color w:val="auto"/>
                <w:kern w:val="2"/>
              </w:rPr>
            </w:pPr>
            <w:r>
              <w:rPr>
                <w:rFonts w:hint="eastAsia" w:ascii="Times New Roman" w:hAnsi="Times New Roman"/>
                <w:bCs/>
                <w:color w:val="auto"/>
                <w:kern w:val="2"/>
              </w:rPr>
              <w:t>根据《凤台县城区声环境功能区划分方案（2022版）》，本项目所在区域为3类声环境功能区，因此</w:t>
            </w:r>
            <w:r>
              <w:rPr>
                <w:rFonts w:hint="default" w:ascii="Times New Roman" w:hAnsi="Times New Roman"/>
                <w:bCs/>
                <w:color w:val="auto"/>
                <w:kern w:val="2"/>
              </w:rPr>
              <w:t>本项目运营期厂界执行《工业企业厂界环境噪声排放标准》（GB12348-2008）中3类标准。具体详见下表。</w:t>
            </w:r>
          </w:p>
          <w:p w14:paraId="06DA481E">
            <w:pPr>
              <w:keepNext w:val="0"/>
              <w:keepLines w:val="0"/>
              <w:widowControl/>
              <w:suppressLineNumbers w:val="0"/>
              <w:spacing w:before="0" w:beforeAutospacing="0" w:after="0" w:afterAutospacing="0" w:line="360" w:lineRule="auto"/>
              <w:ind w:left="0" w:right="0"/>
              <w:jc w:val="center"/>
              <w:rPr>
                <w:rFonts w:hint="eastAsia" w:ascii="Times New Roman" w:hAnsi="Times New Roman" w:eastAsia="黑体"/>
                <w:bCs/>
                <w:color w:val="auto"/>
                <w:kern w:val="2"/>
                <w:lang w:eastAsia="zh-CN"/>
              </w:rPr>
            </w:pPr>
            <w:r>
              <w:rPr>
                <w:rFonts w:hint="default" w:ascii="Times New Roman" w:hAnsi="Times New Roman" w:eastAsia="黑体"/>
                <w:bCs/>
                <w:color w:val="auto"/>
                <w:kern w:val="2"/>
              </w:rPr>
              <w:t>表3-</w:t>
            </w:r>
            <w:r>
              <w:rPr>
                <w:rFonts w:hint="eastAsia" w:ascii="Times New Roman" w:hAnsi="Times New Roman" w:eastAsia="黑体"/>
                <w:bCs/>
                <w:color w:val="auto"/>
                <w:kern w:val="2"/>
                <w:lang w:val="en-US" w:eastAsia="zh-CN"/>
              </w:rPr>
              <w:t>7</w:t>
            </w:r>
            <w:r>
              <w:rPr>
                <w:rFonts w:hint="default" w:ascii="Times New Roman" w:hAnsi="Times New Roman" w:eastAsia="黑体"/>
                <w:bCs/>
                <w:color w:val="auto"/>
                <w:kern w:val="2"/>
              </w:rPr>
              <w:t xml:space="preserve">  工业企业厂界环境噪声排放标准单位：dB</w:t>
            </w:r>
            <w:r>
              <w:rPr>
                <w:rFonts w:hint="eastAsia" w:ascii="Times New Roman" w:hAnsi="Times New Roman" w:eastAsia="宋体"/>
                <w:bCs/>
                <w:color w:val="auto"/>
                <w:kern w:val="2"/>
                <w:lang w:eastAsia="zh-CN"/>
              </w:rPr>
              <w:t>（</w:t>
            </w:r>
            <w:r>
              <w:rPr>
                <w:rFonts w:hint="default" w:ascii="Times New Roman" w:hAnsi="Times New Roman" w:eastAsia="黑体"/>
                <w:bCs/>
                <w:color w:val="auto"/>
                <w:kern w:val="2"/>
              </w:rPr>
              <w:t>A</w:t>
            </w:r>
            <w:r>
              <w:rPr>
                <w:rFonts w:hint="eastAsia" w:ascii="Times New Roman" w:hAnsi="Times New Roman" w:eastAsia="宋体"/>
                <w:bCs/>
                <w:color w:val="auto"/>
                <w:kern w:val="2"/>
                <w:lang w:eastAsia="zh-CN"/>
              </w:rPr>
              <w:t>）</w:t>
            </w:r>
          </w:p>
          <w:tbl>
            <w:tblPr>
              <w:tblStyle w:val="23"/>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558"/>
              <w:gridCol w:w="2035"/>
              <w:gridCol w:w="2255"/>
            </w:tblGrid>
            <w:tr w14:paraId="18E73C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3650" w:type="dxa"/>
                  <w:vAlign w:val="center"/>
                </w:tcPr>
                <w:p w14:paraId="0C488770">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标准</w:t>
                  </w:r>
                </w:p>
              </w:tc>
              <w:tc>
                <w:tcPr>
                  <w:tcW w:w="2126" w:type="dxa"/>
                  <w:vAlign w:val="center"/>
                </w:tcPr>
                <w:p w14:paraId="3D60CA38">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昼间</w:t>
                  </w:r>
                </w:p>
              </w:tc>
              <w:tc>
                <w:tcPr>
                  <w:tcW w:w="2359" w:type="dxa"/>
                  <w:vAlign w:val="center"/>
                </w:tcPr>
                <w:p w14:paraId="2594AABC">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夜间</w:t>
                  </w:r>
                </w:p>
              </w:tc>
            </w:tr>
            <w:tr w14:paraId="55BFE8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3650" w:type="dxa"/>
                  <w:vAlign w:val="center"/>
                </w:tcPr>
                <w:p w14:paraId="3BF57BB2">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（GB12348-2008）中3类标准</w:t>
                  </w:r>
                </w:p>
              </w:tc>
              <w:tc>
                <w:tcPr>
                  <w:tcW w:w="2126" w:type="dxa"/>
                  <w:vAlign w:val="center"/>
                </w:tcPr>
                <w:p w14:paraId="382EF668">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65</w:t>
                  </w:r>
                </w:p>
              </w:tc>
              <w:tc>
                <w:tcPr>
                  <w:tcW w:w="2359" w:type="dxa"/>
                  <w:vAlign w:val="center"/>
                </w:tcPr>
                <w:p w14:paraId="5F68A41C">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55</w:t>
                  </w:r>
                </w:p>
              </w:tc>
            </w:tr>
          </w:tbl>
          <w:p w14:paraId="5576EF89">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default" w:ascii="Times New Roman" w:hAnsi="Times New Roman"/>
                <w:b/>
                <w:color w:val="auto"/>
                <w:kern w:val="2"/>
              </w:rPr>
              <w:t>4、固体废物</w:t>
            </w:r>
          </w:p>
          <w:p w14:paraId="64274463">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snapToGrid w:val="0"/>
                <w:color w:val="auto"/>
                <w:kern w:val="2"/>
              </w:rPr>
              <w:t>按照《中华人民共和国固体废物污染环境防治法》的要求，固体废物要妥善处置，不得形成二次污染。</w:t>
            </w:r>
            <w:r>
              <w:rPr>
                <w:rFonts w:hint="default" w:ascii="Times New Roman" w:hAnsi="Times New Roman"/>
                <w:color w:val="auto"/>
                <w:kern w:val="2"/>
              </w:rPr>
              <w:t>一般工业固体废物参照执行《一般工业固体废物贮存和填埋污染控制标准》（GB18599-2020）中有关规定；危险废物贮存执行《危险废物贮存污染控制标准》（GB18597-2023）。</w:t>
            </w:r>
          </w:p>
          <w:p w14:paraId="3038CE76">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bCs/>
                <w:color w:val="auto"/>
                <w:kern w:val="2"/>
              </w:rPr>
            </w:pPr>
          </w:p>
        </w:tc>
      </w:tr>
    </w:tbl>
    <w:p w14:paraId="7089EC8F">
      <w:pPr>
        <w:jc w:val="center"/>
        <w:rPr>
          <w:rFonts w:ascii="Times New Roman" w:hAnsi="Times New Roman"/>
          <w:bCs/>
          <w:color w:val="auto"/>
        </w:rPr>
        <w:sectPr>
          <w:pgSz w:w="11906" w:h="16838"/>
          <w:pgMar w:top="1440" w:right="1800" w:bottom="1440" w:left="1800" w:header="851" w:footer="992" w:gutter="0"/>
          <w:cols w:space="720" w:num="1"/>
          <w:docGrid w:type="lines" w:linePitch="312" w:charSpace="0"/>
        </w:sectPr>
      </w:pPr>
    </w:p>
    <w:tbl>
      <w:tblPr>
        <w:tblStyle w:val="2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063"/>
      </w:tblGrid>
      <w:tr w14:paraId="307799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88" w:hRule="atLeast"/>
          <w:jc w:val="center"/>
        </w:trPr>
        <w:tc>
          <w:tcPr>
            <w:tcW w:w="268" w:type="pct"/>
            <w:vAlign w:val="center"/>
          </w:tcPr>
          <w:p w14:paraId="3646BA49">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Cs w:val="21"/>
              </w:rPr>
            </w:pPr>
            <w:r>
              <w:rPr>
                <w:rFonts w:hint="eastAsia" w:ascii="Times New Roman" w:hAnsi="Times New Roman"/>
                <w:bCs/>
                <w:color w:val="auto"/>
                <w:kern w:val="2"/>
              </w:rPr>
              <w:t>总量控制指标</w:t>
            </w:r>
          </w:p>
        </w:tc>
        <w:tc>
          <w:tcPr>
            <w:tcW w:w="4732" w:type="pct"/>
          </w:tcPr>
          <w:p w14:paraId="7735AAE7">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szCs w:val="20"/>
              </w:rPr>
            </w:pPr>
            <w:r>
              <w:rPr>
                <w:rFonts w:hint="default" w:ascii="Times New Roman" w:hAnsi="Times New Roman"/>
                <w:color w:val="auto"/>
                <w:kern w:val="2"/>
                <w:szCs w:val="20"/>
              </w:rPr>
              <w:t>根据安徽省人民政府《安徽省大气污染防治行动计划实施方案》（皖政[2013]89号）中第（四）类19条和《关于进一步加强建设项目新增大气污染物总量控制指标工作的通知》（皖环发[2017]19号）中的规定，严格实施主要污染物排放总量控制，水污染物总量控制指标为COD、氨氮，大气污染物总量指标在二氧化硫（SO</w:t>
            </w:r>
            <w:r>
              <w:rPr>
                <w:rFonts w:hint="default" w:ascii="Times New Roman" w:hAnsi="Times New Roman"/>
                <w:color w:val="auto"/>
                <w:kern w:val="2"/>
                <w:szCs w:val="20"/>
                <w:vertAlign w:val="subscript"/>
              </w:rPr>
              <w:t>2</w:t>
            </w:r>
            <w:r>
              <w:rPr>
                <w:rFonts w:hint="default" w:ascii="Times New Roman" w:hAnsi="Times New Roman"/>
                <w:color w:val="auto"/>
                <w:kern w:val="2"/>
                <w:szCs w:val="20"/>
              </w:rPr>
              <w:t>）、氮氧化物（NOx）的基础上增加烟（粉）尘、挥发性有机物（VOCs）两项指标。</w:t>
            </w:r>
          </w:p>
          <w:p w14:paraId="6ED0AE09">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szCs w:val="20"/>
                <w:highlight w:val="none"/>
              </w:rPr>
            </w:pPr>
            <w:r>
              <w:rPr>
                <w:rFonts w:hint="eastAsia" w:ascii="Times New Roman" w:hAnsi="Times New Roman"/>
                <w:color w:val="auto"/>
                <w:kern w:val="2"/>
                <w:szCs w:val="20"/>
                <w:highlight w:val="none"/>
              </w:rPr>
              <w:t>本项目大气污染物为</w:t>
            </w:r>
            <w:r>
              <w:rPr>
                <w:rFonts w:hint="default" w:ascii="Times New Roman" w:hAnsi="Times New Roman"/>
                <w:color w:val="auto"/>
                <w:kern w:val="2"/>
                <w:szCs w:val="20"/>
                <w:highlight w:val="none"/>
              </w:rPr>
              <w:t>VOCs</w:t>
            </w:r>
            <w:r>
              <w:rPr>
                <w:rFonts w:hint="eastAsia" w:ascii="Times New Roman" w:hAnsi="Times New Roman"/>
                <w:color w:val="auto"/>
                <w:kern w:val="2"/>
                <w:szCs w:val="20"/>
                <w:highlight w:val="none"/>
                <w:lang w:eastAsia="zh-CN"/>
              </w:rPr>
              <w:t>，</w:t>
            </w:r>
            <w:r>
              <w:rPr>
                <w:rFonts w:hint="eastAsia" w:ascii="Times New Roman" w:hAnsi="Times New Roman"/>
                <w:color w:val="auto"/>
                <w:kern w:val="2"/>
                <w:szCs w:val="20"/>
                <w:highlight w:val="none"/>
              </w:rPr>
              <w:t>由于新增</w:t>
            </w:r>
            <w:r>
              <w:rPr>
                <w:rFonts w:hint="default" w:ascii="Times New Roman" w:hAnsi="Times New Roman"/>
                <w:color w:val="auto"/>
                <w:kern w:val="2"/>
                <w:szCs w:val="20"/>
                <w:highlight w:val="none"/>
              </w:rPr>
              <w:t>VOCs</w:t>
            </w:r>
            <w:r>
              <w:rPr>
                <w:rFonts w:hint="eastAsia" w:ascii="Times New Roman" w:hAnsi="Times New Roman"/>
                <w:color w:val="auto"/>
                <w:kern w:val="2"/>
                <w:szCs w:val="20"/>
                <w:highlight w:val="none"/>
              </w:rPr>
              <w:t>需进行2倍量削减(新增</w:t>
            </w:r>
            <w:r>
              <w:rPr>
                <w:rFonts w:hint="default" w:ascii="Times New Roman" w:hAnsi="Times New Roman"/>
                <w:color w:val="auto"/>
                <w:kern w:val="2"/>
                <w:szCs w:val="20"/>
                <w:highlight w:val="none"/>
              </w:rPr>
              <w:t>VOCs</w:t>
            </w:r>
            <w:r>
              <w:rPr>
                <w:rFonts w:hint="eastAsia" w:ascii="Times New Roman" w:hAnsi="Times New Roman"/>
                <w:color w:val="auto"/>
                <w:kern w:val="2"/>
                <w:szCs w:val="20"/>
                <w:highlight w:val="none"/>
              </w:rPr>
              <w:t>量</w:t>
            </w:r>
            <w:r>
              <w:rPr>
                <w:rFonts w:hint="eastAsia" w:ascii="Times New Roman" w:hAnsi="Times New Roman"/>
                <w:color w:val="auto"/>
                <w:kern w:val="2"/>
                <w:szCs w:val="20"/>
                <w:highlight w:val="none"/>
                <w:lang w:val="en-US" w:eastAsia="zh-CN"/>
              </w:rPr>
              <w:t>0.062</w:t>
            </w:r>
            <w:r>
              <w:rPr>
                <w:rFonts w:hint="eastAsia" w:ascii="Times New Roman" w:hAnsi="Times New Roman"/>
                <w:color w:val="auto"/>
                <w:kern w:val="2"/>
                <w:szCs w:val="20"/>
                <w:highlight w:val="none"/>
              </w:rPr>
              <w:t>x2=</w:t>
            </w:r>
            <w:r>
              <w:rPr>
                <w:rFonts w:hint="eastAsia" w:ascii="Times New Roman" w:hAnsi="Times New Roman"/>
                <w:color w:val="auto"/>
                <w:kern w:val="2"/>
                <w:szCs w:val="20"/>
                <w:highlight w:val="none"/>
                <w:lang w:val="en-US" w:eastAsia="zh-CN"/>
              </w:rPr>
              <w:t>0.124</w:t>
            </w:r>
            <w:r>
              <w:rPr>
                <w:rFonts w:hint="eastAsia" w:ascii="Times New Roman" w:hAnsi="Times New Roman"/>
                <w:color w:val="auto"/>
                <w:kern w:val="2"/>
                <w:szCs w:val="20"/>
                <w:highlight w:val="none"/>
              </w:rPr>
              <w:t>t/a)，因此扩建后全厂</w:t>
            </w:r>
            <w:r>
              <w:rPr>
                <w:rFonts w:hint="default" w:ascii="Times New Roman" w:hAnsi="Times New Roman"/>
                <w:color w:val="auto"/>
                <w:kern w:val="2"/>
                <w:szCs w:val="20"/>
                <w:highlight w:val="none"/>
              </w:rPr>
              <w:t>VOCs</w:t>
            </w:r>
            <w:r>
              <w:rPr>
                <w:rFonts w:hint="eastAsia" w:ascii="Times New Roman" w:hAnsi="Times New Roman"/>
                <w:color w:val="auto"/>
                <w:kern w:val="2"/>
                <w:szCs w:val="20"/>
                <w:highlight w:val="none"/>
              </w:rPr>
              <w:t>排放总量</w:t>
            </w:r>
            <w:r>
              <w:rPr>
                <w:rFonts w:hint="eastAsia" w:ascii="Times New Roman" w:hAnsi="Times New Roman"/>
                <w:color w:val="auto"/>
                <w:kern w:val="2"/>
                <w:szCs w:val="20"/>
                <w:highlight w:val="none"/>
                <w:lang w:eastAsia="zh-CN"/>
              </w:rPr>
              <w:t>：</w:t>
            </w:r>
            <w:r>
              <w:rPr>
                <w:rFonts w:hint="eastAsia" w:ascii="Times New Roman" w:hAnsi="Times New Roman"/>
                <w:color w:val="auto"/>
                <w:kern w:val="2"/>
                <w:szCs w:val="20"/>
                <w:highlight w:val="none"/>
                <w:lang w:val="en-US" w:eastAsia="zh-CN"/>
              </w:rPr>
              <w:t>0.12</w:t>
            </w:r>
            <w:r>
              <w:rPr>
                <w:rFonts w:hint="eastAsia" w:ascii="Times New Roman" w:hAnsi="Times New Roman"/>
                <w:color w:val="auto"/>
                <w:kern w:val="2"/>
                <w:szCs w:val="20"/>
                <w:highlight w:val="none"/>
              </w:rPr>
              <w:t>t/a(现有)+</w:t>
            </w:r>
            <w:r>
              <w:rPr>
                <w:rFonts w:hint="eastAsia" w:ascii="Times New Roman" w:hAnsi="Times New Roman"/>
                <w:color w:val="auto"/>
                <w:kern w:val="2"/>
                <w:szCs w:val="20"/>
                <w:highlight w:val="none"/>
                <w:lang w:val="en-US" w:eastAsia="zh-CN"/>
              </w:rPr>
              <w:t>0.124</w:t>
            </w:r>
            <w:r>
              <w:rPr>
                <w:rFonts w:hint="eastAsia" w:ascii="Times New Roman" w:hAnsi="Times New Roman"/>
                <w:color w:val="auto"/>
                <w:kern w:val="2"/>
                <w:szCs w:val="20"/>
                <w:highlight w:val="none"/>
              </w:rPr>
              <w:t>t/a(新增倍量削减)=</w:t>
            </w:r>
            <w:r>
              <w:rPr>
                <w:rFonts w:hint="eastAsia" w:ascii="Times New Roman" w:hAnsi="Times New Roman"/>
                <w:color w:val="auto"/>
                <w:kern w:val="2"/>
                <w:szCs w:val="20"/>
                <w:highlight w:val="none"/>
                <w:lang w:val="en-US" w:eastAsia="zh-CN"/>
              </w:rPr>
              <w:t>0.244</w:t>
            </w:r>
            <w:r>
              <w:rPr>
                <w:rFonts w:hint="eastAsia" w:ascii="Times New Roman" w:hAnsi="Times New Roman"/>
                <w:color w:val="auto"/>
                <w:kern w:val="2"/>
                <w:szCs w:val="20"/>
                <w:highlight w:val="none"/>
              </w:rPr>
              <w:t>t</w:t>
            </w:r>
            <w:r>
              <w:rPr>
                <w:rFonts w:hint="eastAsia" w:ascii="Times New Roman" w:hAnsi="Times New Roman"/>
                <w:color w:val="auto"/>
                <w:kern w:val="2"/>
                <w:szCs w:val="20"/>
                <w:highlight w:val="none"/>
                <w:lang w:val="en-US" w:eastAsia="zh-CN"/>
              </w:rPr>
              <w:t>/</w:t>
            </w:r>
            <w:r>
              <w:rPr>
                <w:rFonts w:hint="eastAsia" w:ascii="Times New Roman" w:hAnsi="Times New Roman"/>
                <w:color w:val="auto"/>
                <w:kern w:val="2"/>
                <w:szCs w:val="20"/>
                <w:highlight w:val="none"/>
              </w:rPr>
              <w:t>a&lt;</w:t>
            </w:r>
            <w:r>
              <w:rPr>
                <w:rFonts w:hint="eastAsia" w:ascii="Times New Roman" w:hAnsi="Times New Roman"/>
                <w:color w:val="auto"/>
                <w:kern w:val="2"/>
                <w:szCs w:val="20"/>
                <w:highlight w:val="none"/>
                <w:lang w:val="en-US" w:eastAsia="zh-CN"/>
              </w:rPr>
              <w:t>0.454</w:t>
            </w:r>
            <w:r>
              <w:rPr>
                <w:rFonts w:hint="eastAsia" w:ascii="Times New Roman" w:hAnsi="Times New Roman"/>
                <w:color w:val="auto"/>
                <w:kern w:val="2"/>
                <w:szCs w:val="20"/>
                <w:highlight w:val="none"/>
              </w:rPr>
              <w:t>t/a(原环评批复总量)，未突破原环评批复总量，可在现有项目中平衡，因此本次无需再申请总量指标。</w:t>
            </w:r>
          </w:p>
          <w:p w14:paraId="3EC166A3">
            <w:pPr>
              <w:keepNext w:val="0"/>
              <w:keepLines w:val="0"/>
              <w:widowControl/>
              <w:suppressLineNumbers w:val="0"/>
              <w:spacing w:before="0" w:beforeAutospacing="0" w:after="0" w:afterAutospacing="0" w:line="360" w:lineRule="auto"/>
              <w:ind w:left="0" w:right="0" w:firstLine="480" w:firstLineChars="200"/>
              <w:rPr>
                <w:rFonts w:hint="default" w:ascii="Times New Roman" w:cs="Times New Roman"/>
                <w:color w:val="auto"/>
                <w:kern w:val="2"/>
              </w:rPr>
            </w:pPr>
          </w:p>
          <w:p w14:paraId="3413329B">
            <w:pPr>
              <w:pStyle w:val="65"/>
              <w:keepNext w:val="0"/>
              <w:keepLines w:val="0"/>
              <w:widowControl/>
              <w:suppressLineNumbers w:val="0"/>
              <w:spacing w:before="0" w:beforeAutospacing="0" w:after="0" w:afterAutospacing="0" w:line="360" w:lineRule="auto"/>
              <w:ind w:left="0" w:right="0" w:firstLine="480"/>
              <w:rPr>
                <w:rFonts w:hint="default"/>
                <w:color w:val="auto"/>
                <w:kern w:val="2"/>
              </w:rPr>
            </w:pPr>
          </w:p>
          <w:p w14:paraId="1610AE37">
            <w:pPr>
              <w:pStyle w:val="65"/>
              <w:keepNext w:val="0"/>
              <w:keepLines w:val="0"/>
              <w:widowControl/>
              <w:suppressLineNumbers w:val="0"/>
              <w:spacing w:before="0" w:beforeAutospacing="0" w:after="0" w:afterAutospacing="0" w:line="360" w:lineRule="auto"/>
              <w:ind w:left="0" w:right="0" w:firstLine="480"/>
              <w:rPr>
                <w:rFonts w:hint="default"/>
                <w:color w:val="auto"/>
                <w:kern w:val="2"/>
              </w:rPr>
            </w:pPr>
          </w:p>
          <w:p w14:paraId="17AF5A04">
            <w:pPr>
              <w:pStyle w:val="65"/>
              <w:keepNext w:val="0"/>
              <w:keepLines w:val="0"/>
              <w:widowControl/>
              <w:suppressLineNumbers w:val="0"/>
              <w:spacing w:before="0" w:beforeAutospacing="0" w:after="0" w:afterAutospacing="0" w:line="360" w:lineRule="auto"/>
              <w:ind w:left="0" w:right="0" w:firstLine="480"/>
              <w:rPr>
                <w:rFonts w:hint="default"/>
                <w:color w:val="auto"/>
                <w:kern w:val="2"/>
              </w:rPr>
            </w:pPr>
          </w:p>
          <w:p w14:paraId="77980D8C">
            <w:pPr>
              <w:keepNext w:val="0"/>
              <w:keepLines w:val="0"/>
              <w:widowControl/>
              <w:suppressLineNumbers w:val="0"/>
              <w:spacing w:before="0" w:beforeAutospacing="0" w:after="0" w:afterAutospacing="0" w:line="336" w:lineRule="auto"/>
              <w:ind w:left="0" w:right="0" w:firstLine="480" w:firstLineChars="200"/>
              <w:rPr>
                <w:rFonts w:hint="default" w:ascii="Times New Roman" w:hAnsi="Times New Roman" w:cs="Times New Roman"/>
                <w:color w:val="auto"/>
                <w:kern w:val="2"/>
              </w:rPr>
            </w:pPr>
          </w:p>
          <w:p w14:paraId="686012E9">
            <w:pPr>
              <w:keepNext w:val="0"/>
              <w:keepLines w:val="0"/>
              <w:widowControl/>
              <w:suppressLineNumbers w:val="0"/>
              <w:spacing w:before="0" w:beforeAutospacing="0" w:after="0" w:afterAutospacing="0" w:line="336" w:lineRule="auto"/>
              <w:ind w:left="0" w:right="0" w:firstLine="480" w:firstLineChars="200"/>
              <w:rPr>
                <w:rFonts w:hint="default" w:ascii="Times New Roman" w:hAnsi="Times New Roman" w:cs="Times New Roman"/>
                <w:color w:val="auto"/>
                <w:kern w:val="2"/>
              </w:rPr>
            </w:pPr>
          </w:p>
          <w:p w14:paraId="5D5F68FC">
            <w:pPr>
              <w:keepNext w:val="0"/>
              <w:keepLines w:val="0"/>
              <w:widowControl/>
              <w:suppressLineNumbers w:val="0"/>
              <w:spacing w:before="0" w:beforeAutospacing="0" w:after="0" w:afterAutospacing="0" w:line="336" w:lineRule="auto"/>
              <w:ind w:left="0" w:right="0" w:firstLine="480" w:firstLineChars="200"/>
              <w:rPr>
                <w:rFonts w:hint="default" w:ascii="Times New Roman" w:hAnsi="Times New Roman" w:cs="Times New Roman"/>
                <w:color w:val="auto"/>
                <w:kern w:val="2"/>
              </w:rPr>
            </w:pPr>
          </w:p>
          <w:p w14:paraId="4E929910">
            <w:pPr>
              <w:keepNext w:val="0"/>
              <w:keepLines w:val="0"/>
              <w:widowControl/>
              <w:suppressLineNumbers w:val="0"/>
              <w:spacing w:before="0" w:beforeAutospacing="0" w:after="0" w:afterAutospacing="0" w:line="336" w:lineRule="auto"/>
              <w:ind w:left="0" w:right="0"/>
              <w:rPr>
                <w:rFonts w:hint="default" w:ascii="Times New Roman" w:hAnsi="Times New Roman" w:cs="Times New Roman"/>
                <w:color w:val="auto"/>
                <w:kern w:val="2"/>
              </w:rPr>
            </w:pPr>
          </w:p>
          <w:p w14:paraId="04158998">
            <w:pPr>
              <w:keepNext w:val="0"/>
              <w:keepLines w:val="0"/>
              <w:widowControl/>
              <w:suppressLineNumbers w:val="0"/>
              <w:spacing w:before="0" w:beforeAutospacing="0" w:after="0" w:afterAutospacing="0" w:line="336" w:lineRule="auto"/>
              <w:ind w:left="0" w:right="0"/>
              <w:rPr>
                <w:rFonts w:hint="default" w:ascii="Times New Roman" w:hAnsi="Times New Roman" w:cs="Times New Roman"/>
                <w:color w:val="auto"/>
                <w:kern w:val="2"/>
              </w:rPr>
            </w:pPr>
          </w:p>
          <w:p w14:paraId="359BBBB1">
            <w:pPr>
              <w:keepNext w:val="0"/>
              <w:keepLines w:val="0"/>
              <w:widowControl/>
              <w:suppressLineNumbers w:val="0"/>
              <w:spacing w:before="0" w:beforeAutospacing="0" w:after="0" w:afterAutospacing="0" w:line="336" w:lineRule="auto"/>
              <w:ind w:left="0" w:right="0"/>
              <w:rPr>
                <w:rFonts w:hint="default" w:ascii="Times New Roman" w:hAnsi="Times New Roman" w:cs="Times New Roman"/>
                <w:color w:val="auto"/>
                <w:kern w:val="2"/>
              </w:rPr>
            </w:pPr>
          </w:p>
          <w:p w14:paraId="22220E55">
            <w:pPr>
              <w:keepNext w:val="0"/>
              <w:keepLines w:val="0"/>
              <w:widowControl/>
              <w:suppressLineNumbers w:val="0"/>
              <w:spacing w:before="0" w:beforeAutospacing="0" w:after="0" w:afterAutospacing="0" w:line="336" w:lineRule="auto"/>
              <w:ind w:left="0" w:right="0"/>
              <w:rPr>
                <w:rFonts w:hint="default" w:ascii="Times New Roman" w:hAnsi="Times New Roman" w:cs="Times New Roman"/>
                <w:color w:val="auto"/>
                <w:kern w:val="2"/>
              </w:rPr>
            </w:pPr>
          </w:p>
          <w:p w14:paraId="3438D784">
            <w:pPr>
              <w:keepNext w:val="0"/>
              <w:keepLines w:val="0"/>
              <w:widowControl/>
              <w:suppressLineNumbers w:val="0"/>
              <w:spacing w:before="0" w:beforeAutospacing="0" w:after="0" w:afterAutospacing="0" w:line="336" w:lineRule="auto"/>
              <w:ind w:left="0" w:right="0"/>
              <w:rPr>
                <w:rFonts w:hint="default" w:ascii="Times New Roman" w:hAnsi="Times New Roman" w:cs="Times New Roman"/>
                <w:color w:val="auto"/>
                <w:kern w:val="2"/>
              </w:rPr>
            </w:pPr>
          </w:p>
          <w:p w14:paraId="38A7044D">
            <w:pPr>
              <w:keepNext w:val="0"/>
              <w:keepLines w:val="0"/>
              <w:widowControl/>
              <w:suppressLineNumbers w:val="0"/>
              <w:spacing w:before="0" w:beforeAutospacing="0" w:after="0" w:afterAutospacing="0" w:line="336" w:lineRule="auto"/>
              <w:ind w:left="0" w:right="0"/>
              <w:rPr>
                <w:rFonts w:hint="default" w:ascii="Times New Roman" w:hAnsi="Times New Roman" w:cs="Times New Roman"/>
                <w:color w:val="auto"/>
                <w:kern w:val="2"/>
              </w:rPr>
            </w:pPr>
          </w:p>
          <w:p w14:paraId="1D2DB676">
            <w:pPr>
              <w:keepNext w:val="0"/>
              <w:keepLines w:val="0"/>
              <w:widowControl/>
              <w:suppressLineNumbers w:val="0"/>
              <w:spacing w:before="0" w:beforeAutospacing="0" w:after="0" w:afterAutospacing="0" w:line="336" w:lineRule="auto"/>
              <w:ind w:left="0" w:right="0"/>
              <w:rPr>
                <w:rFonts w:hint="default" w:ascii="Times New Roman" w:hAnsi="Times New Roman" w:cs="Times New Roman"/>
                <w:color w:val="auto"/>
                <w:kern w:val="2"/>
              </w:rPr>
            </w:pPr>
          </w:p>
          <w:p w14:paraId="53B5D881">
            <w:pPr>
              <w:keepNext w:val="0"/>
              <w:keepLines w:val="0"/>
              <w:widowControl/>
              <w:suppressLineNumbers w:val="0"/>
              <w:spacing w:before="0" w:beforeAutospacing="0" w:after="0" w:afterAutospacing="0" w:line="336" w:lineRule="auto"/>
              <w:ind w:left="0" w:right="0"/>
              <w:rPr>
                <w:rFonts w:hint="default" w:ascii="Times New Roman" w:hAnsi="Times New Roman" w:cs="Times New Roman"/>
                <w:color w:val="auto"/>
                <w:kern w:val="2"/>
              </w:rPr>
            </w:pPr>
          </w:p>
          <w:p w14:paraId="3C353EC3">
            <w:pPr>
              <w:keepNext w:val="0"/>
              <w:keepLines w:val="0"/>
              <w:widowControl/>
              <w:suppressLineNumbers w:val="0"/>
              <w:spacing w:before="0" w:beforeAutospacing="0" w:after="0" w:afterAutospacing="0" w:line="336" w:lineRule="auto"/>
              <w:ind w:left="0" w:right="0"/>
              <w:rPr>
                <w:rFonts w:hint="default" w:ascii="Times New Roman" w:hAnsi="Times New Roman" w:cs="Times New Roman"/>
                <w:color w:val="auto"/>
                <w:kern w:val="2"/>
              </w:rPr>
            </w:pPr>
          </w:p>
          <w:p w14:paraId="30C9A643">
            <w:pPr>
              <w:keepNext w:val="0"/>
              <w:keepLines w:val="0"/>
              <w:widowControl/>
              <w:suppressLineNumbers w:val="0"/>
              <w:spacing w:before="0" w:beforeAutospacing="0" w:after="0" w:afterAutospacing="0" w:line="336" w:lineRule="auto"/>
              <w:ind w:left="0" w:right="0"/>
              <w:rPr>
                <w:rFonts w:hint="default" w:ascii="Times New Roman" w:hAnsi="Times New Roman" w:cs="Times New Roman"/>
                <w:color w:val="auto"/>
                <w:kern w:val="2"/>
              </w:rPr>
            </w:pPr>
          </w:p>
        </w:tc>
      </w:tr>
    </w:tbl>
    <w:p w14:paraId="4CB5C3B4">
      <w:pPr>
        <w:spacing w:before="100" w:beforeAutospacing="1" w:after="100" w:afterAutospacing="1"/>
        <w:jc w:val="center"/>
        <w:outlineLvl w:val="0"/>
        <w:rPr>
          <w:rFonts w:ascii="Times New Roman" w:hAnsi="Times New Roman" w:eastAsia="黑体" w:cs="Times New Roman"/>
          <w:snapToGrid w:val="0"/>
          <w:color w:val="auto"/>
          <w:sz w:val="30"/>
          <w:szCs w:val="30"/>
        </w:rPr>
      </w:pPr>
      <w:r>
        <w:rPr>
          <w:rFonts w:hint="eastAsia" w:ascii="Times New Roman" w:hAnsi="Times New Roman" w:eastAsia="黑体" w:cs="Times New Roman"/>
          <w:snapToGrid w:val="0"/>
          <w:color w:val="auto"/>
          <w:sz w:val="30"/>
          <w:szCs w:val="30"/>
        </w:rPr>
        <w:t>四、主要环境影响和保护措施</w:t>
      </w:r>
    </w:p>
    <w:tbl>
      <w:tblPr>
        <w:tblStyle w:val="23"/>
        <w:tblpPr w:leftFromText="180" w:rightFromText="180" w:vertAnchor="text" w:tblpXSpec="center" w:tblpY="1"/>
        <w:tblOverlap w:val="never"/>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7947"/>
      </w:tblGrid>
      <w:tr w14:paraId="4FFA24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22" w:hRule="atLeast"/>
        </w:trPr>
        <w:tc>
          <w:tcPr>
            <w:tcW w:w="293" w:type="pct"/>
            <w:tcMar>
              <w:left w:w="28" w:type="dxa"/>
              <w:right w:w="28" w:type="dxa"/>
            </w:tcMar>
            <w:vAlign w:val="center"/>
          </w:tcPr>
          <w:p w14:paraId="3C2CD01F">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施工期环境保护措施</w:t>
            </w:r>
          </w:p>
        </w:tc>
        <w:tc>
          <w:tcPr>
            <w:tcW w:w="4707" w:type="pct"/>
          </w:tcPr>
          <w:p w14:paraId="11CCC0B2">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bCs/>
                <w:color w:val="auto"/>
                <w:kern w:val="2"/>
              </w:rPr>
            </w:pPr>
            <w:r>
              <w:rPr>
                <w:rFonts w:hint="default"/>
                <w:b/>
                <w:bCs/>
                <w:color w:val="auto"/>
                <w:kern w:val="2"/>
              </w:rPr>
              <w:t>施工期环境保护措施</w:t>
            </w:r>
          </w:p>
          <w:p w14:paraId="648B8DB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color w:val="auto"/>
                <w:kern w:val="2"/>
              </w:rPr>
              <w:t>本项目位于</w:t>
            </w:r>
            <w:r>
              <w:rPr>
                <w:rFonts w:hint="eastAsia" w:ascii="Times New Roman" w:hAnsi="Times New Roman" w:cs="Times New Roman"/>
                <w:color w:val="auto"/>
                <w:kern w:val="2"/>
                <w:szCs w:val="20"/>
              </w:rPr>
              <w:t>安徽省</w:t>
            </w:r>
            <w:r>
              <w:rPr>
                <w:rFonts w:hint="default" w:ascii="Times New Roman" w:hAnsi="Times New Roman" w:cs="Times New Roman"/>
                <w:color w:val="auto"/>
                <w:kern w:val="2"/>
              </w:rPr>
              <w:t>淮南市凤台县凤台经济开发区凤凰产业园电子智造园</w:t>
            </w:r>
            <w:r>
              <w:rPr>
                <w:rFonts w:hint="eastAsia" w:ascii="Times New Roman" w:hAnsi="Times New Roman" w:cs="Times New Roman"/>
                <w:color w:val="auto"/>
                <w:kern w:val="2"/>
              </w:rPr>
              <w:t>内</w:t>
            </w:r>
            <w:r>
              <w:rPr>
                <w:rFonts w:hint="default"/>
                <w:color w:val="auto"/>
                <w:kern w:val="2"/>
              </w:rPr>
              <w:t>，</w:t>
            </w:r>
            <w:r>
              <w:rPr>
                <w:rFonts w:hint="eastAsia"/>
                <w:color w:val="auto"/>
                <w:kern w:val="2"/>
              </w:rPr>
              <w:t>本项目</w:t>
            </w:r>
            <w:r>
              <w:rPr>
                <w:rFonts w:hint="eastAsia"/>
                <w:color w:val="auto"/>
                <w:kern w:val="2"/>
                <w:lang w:eastAsia="zh-CN"/>
              </w:rPr>
              <w:t>为</w:t>
            </w:r>
            <w:r>
              <w:rPr>
                <w:rFonts w:hint="eastAsia"/>
                <w:color w:val="auto"/>
                <w:kern w:val="2"/>
                <w:lang w:val="en-US" w:eastAsia="zh-CN"/>
              </w:rPr>
              <w:t>租赁厂房，</w:t>
            </w:r>
            <w:r>
              <w:rPr>
                <w:rFonts w:hint="default" w:ascii="Times New Roman" w:hAnsi="Times New Roman"/>
                <w:color w:val="auto"/>
                <w:kern w:val="2"/>
              </w:rPr>
              <w:t>仅</w:t>
            </w:r>
            <w:r>
              <w:rPr>
                <w:rFonts w:hint="eastAsia"/>
                <w:color w:val="auto"/>
                <w:kern w:val="2"/>
              </w:rPr>
              <w:t>进行设备安装调试</w:t>
            </w:r>
            <w:r>
              <w:rPr>
                <w:rFonts w:hint="default" w:ascii="Times New Roman" w:hAnsi="Times New Roman"/>
                <w:color w:val="auto"/>
                <w:kern w:val="2"/>
              </w:rPr>
              <w:t>，不涉及土建工程，产生的污染物较少。因此，本次评价仅对其进行简要定性分析和评价。</w:t>
            </w:r>
          </w:p>
          <w:p w14:paraId="5DE9E0F3">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color w:val="auto"/>
                <w:kern w:val="2"/>
              </w:rPr>
              <w:t>(</w:t>
            </w:r>
            <w:r>
              <w:rPr>
                <w:rFonts w:hint="default" w:ascii="Times New Roman" w:hAnsi="Times New Roman"/>
                <w:color w:val="auto"/>
                <w:kern w:val="2"/>
              </w:rPr>
              <w:t>1</w:t>
            </w:r>
            <w:r>
              <w:rPr>
                <w:rFonts w:hint="default"/>
                <w:color w:val="auto"/>
                <w:kern w:val="2"/>
              </w:rPr>
              <w:t>)</w:t>
            </w:r>
            <w:r>
              <w:rPr>
                <w:rFonts w:hint="default" w:ascii="Times New Roman" w:hAnsi="Times New Roman"/>
                <w:color w:val="auto"/>
                <w:kern w:val="2"/>
              </w:rPr>
              <w:t>施工人员</w:t>
            </w:r>
            <w:r>
              <w:rPr>
                <w:rFonts w:hint="eastAsia" w:ascii="Times New Roman" w:hAnsi="Times New Roman"/>
                <w:color w:val="auto"/>
                <w:kern w:val="2"/>
              </w:rPr>
              <w:t>生活污水</w:t>
            </w:r>
            <w:r>
              <w:rPr>
                <w:rFonts w:hint="default" w:ascii="Times New Roman" w:hAnsi="Times New Roman"/>
                <w:color w:val="auto"/>
                <w:kern w:val="2"/>
              </w:rPr>
              <w:t>经化粪池预处理后接入市政污水管网排入凤台县经济开发区凤凰湖园区污水处理厂。</w:t>
            </w:r>
          </w:p>
          <w:p w14:paraId="030B9FE7">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color w:val="auto"/>
                <w:kern w:val="2"/>
              </w:rPr>
              <w:t>(</w:t>
            </w:r>
            <w:r>
              <w:rPr>
                <w:rFonts w:hint="default" w:ascii="Times New Roman" w:hAnsi="Times New Roman"/>
                <w:color w:val="auto"/>
                <w:kern w:val="2"/>
              </w:rPr>
              <w:t>2</w:t>
            </w:r>
            <w:r>
              <w:rPr>
                <w:rFonts w:hint="default"/>
                <w:color w:val="auto"/>
                <w:kern w:val="2"/>
              </w:rPr>
              <w:t>)</w:t>
            </w:r>
            <w:r>
              <w:rPr>
                <w:rFonts w:hint="default" w:ascii="Times New Roman" w:hAnsi="Times New Roman"/>
                <w:color w:val="auto"/>
                <w:kern w:val="2"/>
              </w:rPr>
              <w:t>施工人员生活垃圾由垃圾桶收集后委托环卫清运。</w:t>
            </w:r>
          </w:p>
          <w:p w14:paraId="2FC8E69C">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color w:val="auto"/>
                <w:kern w:val="2"/>
              </w:rPr>
              <w:t>(</w:t>
            </w:r>
            <w:r>
              <w:rPr>
                <w:rFonts w:hint="default" w:ascii="Times New Roman" w:hAnsi="Times New Roman"/>
                <w:color w:val="auto"/>
                <w:kern w:val="2"/>
              </w:rPr>
              <w:t>3</w:t>
            </w:r>
            <w:r>
              <w:rPr>
                <w:rFonts w:hint="default"/>
                <w:color w:val="auto"/>
                <w:kern w:val="2"/>
              </w:rPr>
              <w:t>)</w:t>
            </w:r>
            <w:r>
              <w:rPr>
                <w:rFonts w:hint="default" w:ascii="Times New Roman" w:hAnsi="Times New Roman"/>
                <w:color w:val="auto"/>
                <w:kern w:val="2"/>
              </w:rPr>
              <w:t>通过关闭厂房门窗降低施工噪声对周围环境的影响。</w:t>
            </w:r>
          </w:p>
          <w:p w14:paraId="445FD6F9">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2"/>
                <w:szCs w:val="22"/>
              </w:rPr>
            </w:pPr>
          </w:p>
          <w:p w14:paraId="4DC7E893">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2"/>
                <w:szCs w:val="22"/>
              </w:rPr>
            </w:pPr>
          </w:p>
          <w:p w14:paraId="4BB22E22">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2"/>
                <w:szCs w:val="22"/>
              </w:rPr>
            </w:pPr>
          </w:p>
          <w:p w14:paraId="23388032">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2"/>
                <w:szCs w:val="22"/>
              </w:rPr>
            </w:pPr>
          </w:p>
          <w:p w14:paraId="15A3CE38">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2"/>
                <w:szCs w:val="22"/>
              </w:rPr>
            </w:pPr>
          </w:p>
          <w:p w14:paraId="4405AC08">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2"/>
                <w:szCs w:val="22"/>
              </w:rPr>
            </w:pPr>
          </w:p>
          <w:p w14:paraId="722C1D6D">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2"/>
                <w:szCs w:val="22"/>
              </w:rPr>
            </w:pPr>
          </w:p>
          <w:p w14:paraId="59CEEA1D">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2"/>
                <w:szCs w:val="22"/>
              </w:rPr>
            </w:pPr>
          </w:p>
          <w:p w14:paraId="6772D194">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2"/>
                <w:szCs w:val="22"/>
              </w:rPr>
            </w:pPr>
          </w:p>
          <w:p w14:paraId="36F7E6EB">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2"/>
                <w:szCs w:val="22"/>
              </w:rPr>
            </w:pPr>
          </w:p>
          <w:p w14:paraId="5DEF73FF">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color w:val="auto"/>
                <w:kern w:val="2"/>
              </w:rPr>
            </w:pPr>
          </w:p>
        </w:tc>
      </w:tr>
    </w:tbl>
    <w:tbl>
      <w:tblPr>
        <w:tblStyle w:val="23"/>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063"/>
      </w:tblGrid>
      <w:tr w14:paraId="017C72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93" w:hRule="atLeast"/>
          <w:jc w:val="center"/>
        </w:trPr>
        <w:tc>
          <w:tcPr>
            <w:tcW w:w="268" w:type="pct"/>
            <w:vAlign w:val="center"/>
          </w:tcPr>
          <w:p w14:paraId="0162807C">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运营</w:t>
            </w:r>
          </w:p>
          <w:p w14:paraId="6DA89440">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期环</w:t>
            </w:r>
          </w:p>
          <w:p w14:paraId="4C3A346A">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境影</w:t>
            </w:r>
          </w:p>
          <w:p w14:paraId="41AF945C">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响和</w:t>
            </w:r>
          </w:p>
          <w:p w14:paraId="5A3D9423">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保护</w:t>
            </w:r>
          </w:p>
          <w:p w14:paraId="08CC9FDE">
            <w:pPr>
              <w:keepNext w:val="0"/>
              <w:keepLines w:val="0"/>
              <w:widowControl/>
              <w:suppressLineNumbers w:val="0"/>
              <w:spacing w:before="0" w:beforeAutospacing="0" w:after="0" w:afterAutospacing="0"/>
              <w:ind w:left="0" w:right="0"/>
              <w:jc w:val="center"/>
              <w:rPr>
                <w:rFonts w:hint="default" w:ascii="Times New Roman" w:hAnsi="Times New Roman"/>
                <w:color w:val="auto"/>
                <w:kern w:val="2"/>
                <w:szCs w:val="21"/>
              </w:rPr>
            </w:pPr>
            <w:r>
              <w:rPr>
                <w:rFonts w:hint="eastAsia" w:ascii="Times New Roman" w:hAnsi="Times New Roman"/>
                <w:bCs/>
                <w:color w:val="auto"/>
                <w:kern w:val="2"/>
              </w:rPr>
              <w:t>措施</w:t>
            </w:r>
          </w:p>
        </w:tc>
        <w:tc>
          <w:tcPr>
            <w:tcW w:w="4732" w:type="pct"/>
          </w:tcPr>
          <w:p w14:paraId="4875C4F8">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bCs/>
                <w:color w:val="auto"/>
                <w:kern w:val="2"/>
              </w:rPr>
            </w:pPr>
            <w:r>
              <w:rPr>
                <w:rFonts w:hint="eastAsia" w:ascii="Times New Roman" w:hAnsi="Times New Roman"/>
                <w:b/>
                <w:bCs/>
                <w:color w:val="auto"/>
                <w:kern w:val="2"/>
              </w:rPr>
              <w:t>一</w:t>
            </w:r>
            <w:r>
              <w:rPr>
                <w:rFonts w:hint="default" w:ascii="Times New Roman" w:hAnsi="Times New Roman"/>
                <w:b/>
                <w:bCs/>
                <w:color w:val="auto"/>
                <w:kern w:val="2"/>
              </w:rPr>
              <w:t>、运营期大气污染物环境影响和保护措施</w:t>
            </w:r>
          </w:p>
          <w:p w14:paraId="59EDADD3">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bCs/>
                <w:color w:val="auto"/>
                <w:kern w:val="2"/>
              </w:rPr>
            </w:pPr>
            <w:r>
              <w:rPr>
                <w:rFonts w:hint="default" w:ascii="Times New Roman" w:hAnsi="Times New Roman"/>
                <w:b/>
                <w:bCs/>
                <w:color w:val="auto"/>
                <w:kern w:val="2"/>
              </w:rPr>
              <w:t>1、运营期大气污染物环境影响分析</w:t>
            </w:r>
          </w:p>
          <w:p w14:paraId="65B32F44">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本项目运营期产生的废气主要有项目营运过程中废气主要为</w:t>
            </w:r>
            <w:r>
              <w:rPr>
                <w:rFonts w:hint="eastAsia" w:ascii="Times New Roman" w:hAnsi="Times New Roman"/>
                <w:color w:val="auto"/>
                <w:kern w:val="2"/>
              </w:rPr>
              <w:t>涂胶</w:t>
            </w:r>
            <w:r>
              <w:rPr>
                <w:rFonts w:hint="default" w:ascii="Times New Roman" w:hAnsi="Times New Roman"/>
                <w:color w:val="auto"/>
                <w:kern w:val="2"/>
              </w:rPr>
              <w:t>工序产生的</w:t>
            </w:r>
            <w:r>
              <w:rPr>
                <w:rFonts w:hint="eastAsia" w:ascii="Times New Roman" w:hAnsi="Times New Roman"/>
                <w:color w:val="auto"/>
                <w:kern w:val="2"/>
              </w:rPr>
              <w:t>涂胶</w:t>
            </w:r>
            <w:r>
              <w:rPr>
                <w:rFonts w:hint="default" w:ascii="Times New Roman" w:hAnsi="Times New Roman"/>
                <w:color w:val="auto"/>
                <w:kern w:val="2"/>
              </w:rPr>
              <w:t>废气（G</w:t>
            </w:r>
            <w:r>
              <w:rPr>
                <w:rFonts w:hint="default" w:ascii="Times New Roman" w:hAnsi="Times New Roman"/>
                <w:color w:val="auto"/>
                <w:kern w:val="2"/>
                <w:vertAlign w:val="subscript"/>
              </w:rPr>
              <w:t>1</w:t>
            </w:r>
            <w:r>
              <w:rPr>
                <w:rFonts w:hint="default" w:ascii="Times New Roman" w:hAnsi="Times New Roman"/>
                <w:color w:val="auto"/>
                <w:kern w:val="2"/>
              </w:rPr>
              <w:t>）、</w:t>
            </w:r>
            <w:r>
              <w:rPr>
                <w:rFonts w:hint="eastAsia" w:ascii="Times New Roman" w:hAnsi="Times New Roman"/>
                <w:color w:val="auto"/>
                <w:kern w:val="2"/>
              </w:rPr>
              <w:t>加油工序产生的加油废气</w:t>
            </w:r>
            <w:r>
              <w:rPr>
                <w:rFonts w:hint="default" w:ascii="Times New Roman" w:hAnsi="Times New Roman"/>
                <w:color w:val="auto"/>
                <w:kern w:val="2"/>
              </w:rPr>
              <w:t>（G</w:t>
            </w:r>
            <w:r>
              <w:rPr>
                <w:rFonts w:hint="eastAsia" w:ascii="Times New Roman" w:hAnsi="Times New Roman"/>
                <w:color w:val="auto"/>
                <w:kern w:val="2"/>
                <w:vertAlign w:val="subscript"/>
              </w:rPr>
              <w:t>2</w:t>
            </w:r>
            <w:r>
              <w:rPr>
                <w:rFonts w:hint="default" w:ascii="Times New Roman" w:hAnsi="Times New Roman"/>
                <w:color w:val="auto"/>
                <w:kern w:val="2"/>
              </w:rPr>
              <w:t>）</w:t>
            </w:r>
            <w:r>
              <w:rPr>
                <w:rFonts w:hint="eastAsia" w:ascii="Times New Roman" w:hAnsi="Times New Roman"/>
                <w:color w:val="auto"/>
                <w:kern w:val="2"/>
              </w:rPr>
              <w:t>、清洗工序产生的清洗废气</w:t>
            </w:r>
            <w:r>
              <w:rPr>
                <w:rFonts w:hint="default" w:ascii="Times New Roman" w:hAnsi="Times New Roman"/>
                <w:color w:val="auto"/>
                <w:kern w:val="2"/>
              </w:rPr>
              <w:t>（G</w:t>
            </w:r>
            <w:r>
              <w:rPr>
                <w:rFonts w:hint="eastAsia" w:ascii="Times New Roman" w:hAnsi="Times New Roman"/>
                <w:color w:val="auto"/>
                <w:kern w:val="2"/>
                <w:vertAlign w:val="subscript"/>
              </w:rPr>
              <w:t>3</w:t>
            </w:r>
            <w:r>
              <w:rPr>
                <w:rFonts w:hint="default" w:ascii="Times New Roman" w:hAnsi="Times New Roman"/>
                <w:color w:val="auto"/>
                <w:kern w:val="2"/>
              </w:rPr>
              <w:t>）</w:t>
            </w:r>
            <w:r>
              <w:rPr>
                <w:rFonts w:hint="eastAsia" w:ascii="Times New Roman" w:hAnsi="Times New Roman"/>
                <w:color w:val="auto"/>
                <w:kern w:val="2"/>
                <w:lang w:eastAsia="zh-CN"/>
              </w:rPr>
              <w:t>、</w:t>
            </w:r>
            <w:r>
              <w:rPr>
                <w:rFonts w:hint="eastAsia" w:ascii="Times New Roman" w:hAnsi="Times New Roman"/>
                <w:color w:val="auto"/>
                <w:kern w:val="2"/>
                <w:lang w:val="en-US" w:eastAsia="zh-CN"/>
              </w:rPr>
              <w:t>蒸馏再生工序产生的蒸馏再生废气</w:t>
            </w:r>
            <w:r>
              <w:rPr>
                <w:rFonts w:hint="default" w:ascii="Times New Roman" w:hAnsi="Times New Roman"/>
                <w:color w:val="auto"/>
                <w:kern w:val="2"/>
              </w:rPr>
              <w:t>（G</w:t>
            </w:r>
            <w:r>
              <w:rPr>
                <w:rFonts w:hint="eastAsia" w:ascii="Times New Roman" w:hAnsi="Times New Roman"/>
                <w:color w:val="auto"/>
                <w:kern w:val="2"/>
                <w:vertAlign w:val="subscript"/>
                <w:lang w:val="en-US" w:eastAsia="zh-CN"/>
              </w:rPr>
              <w:t>4</w:t>
            </w:r>
            <w:r>
              <w:rPr>
                <w:rFonts w:hint="default" w:ascii="Times New Roman" w:hAnsi="Times New Roman"/>
                <w:color w:val="auto"/>
                <w:kern w:val="2"/>
              </w:rPr>
              <w:t>）。项目危废暂存间贮存的废活性炭、含油废抹布、废</w:t>
            </w:r>
            <w:r>
              <w:rPr>
                <w:rFonts w:hint="eastAsia" w:ascii="Times New Roman" w:hAnsi="Times New Roman"/>
                <w:color w:val="auto"/>
                <w:kern w:val="2"/>
              </w:rPr>
              <w:t>润滑</w:t>
            </w:r>
            <w:r>
              <w:rPr>
                <w:rFonts w:hint="default" w:ascii="Times New Roman" w:hAnsi="Times New Roman"/>
                <w:color w:val="auto"/>
                <w:kern w:val="2"/>
              </w:rPr>
              <w:t>油</w:t>
            </w:r>
            <w:r>
              <w:rPr>
                <w:rFonts w:hint="eastAsia" w:ascii="Times New Roman" w:hAnsi="Times New Roman"/>
                <w:color w:val="auto"/>
                <w:kern w:val="2"/>
              </w:rPr>
              <w:t>、废胶管</w:t>
            </w:r>
            <w:r>
              <w:rPr>
                <w:rFonts w:hint="eastAsia" w:ascii="Times New Roman" w:hAnsi="Times New Roman"/>
                <w:color w:val="auto"/>
                <w:kern w:val="2"/>
                <w:lang w:eastAsia="zh-CN"/>
              </w:rPr>
              <w:t>、废</w:t>
            </w:r>
            <w:r>
              <w:rPr>
                <w:rFonts w:hint="eastAsia" w:ascii="Times New Roman" w:hAnsi="Times New Roman"/>
                <w:color w:val="auto"/>
                <w:kern w:val="2"/>
                <w:lang w:val="en-US" w:eastAsia="zh-CN"/>
              </w:rPr>
              <w:t>槽液、废滤芯</w:t>
            </w:r>
            <w:r>
              <w:rPr>
                <w:rFonts w:hint="eastAsia"/>
                <w:color w:val="auto"/>
                <w:kern w:val="2"/>
              </w:rPr>
              <w:t>采用包装桶封闭储存，废包装桶盖紧桶盖并采用保鲜膜封闭，</w:t>
            </w:r>
            <w:r>
              <w:rPr>
                <w:rFonts w:hint="default" w:ascii="Times New Roman" w:hAnsi="Times New Roman"/>
                <w:color w:val="auto"/>
                <w:kern w:val="2"/>
              </w:rPr>
              <w:t>正常情况下有机废气可忽略不计。</w:t>
            </w:r>
          </w:p>
          <w:p w14:paraId="68DCB44C">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default" w:ascii="Times New Roman" w:hAnsi="Times New Roman"/>
                <w:b/>
                <w:color w:val="auto"/>
                <w:kern w:val="2"/>
              </w:rPr>
              <w:t>（1）</w:t>
            </w:r>
            <w:r>
              <w:rPr>
                <w:rFonts w:hint="eastAsia" w:ascii="Times New Roman" w:hAnsi="Times New Roman"/>
                <w:b/>
                <w:color w:val="auto"/>
                <w:kern w:val="2"/>
              </w:rPr>
              <w:t>涂胶</w:t>
            </w:r>
            <w:r>
              <w:rPr>
                <w:rFonts w:hint="default" w:ascii="Times New Roman" w:hAnsi="Times New Roman"/>
                <w:b/>
                <w:color w:val="auto"/>
                <w:kern w:val="2"/>
              </w:rPr>
              <w:t>废气（G</w:t>
            </w:r>
            <w:r>
              <w:rPr>
                <w:rFonts w:hint="default" w:ascii="Times New Roman" w:hAnsi="Times New Roman"/>
                <w:b/>
                <w:color w:val="auto"/>
                <w:kern w:val="2"/>
                <w:vertAlign w:val="subscript"/>
              </w:rPr>
              <w:t>1</w:t>
            </w:r>
            <w:r>
              <w:rPr>
                <w:rFonts w:hint="default" w:ascii="Times New Roman" w:hAnsi="Times New Roman"/>
                <w:b/>
                <w:color w:val="auto"/>
                <w:kern w:val="2"/>
              </w:rPr>
              <w:t>）</w:t>
            </w:r>
          </w:p>
          <w:p w14:paraId="700D43B9">
            <w:pPr>
              <w:pStyle w:val="31"/>
              <w:keepNext w:val="0"/>
              <w:keepLines w:val="0"/>
              <w:widowControl/>
              <w:suppressLineNumbers w:val="0"/>
              <w:spacing w:before="0" w:beforeAutospacing="0" w:after="0" w:afterAutospacing="0"/>
              <w:ind w:left="0" w:right="0" w:firstLine="480"/>
              <w:rPr>
                <w:rFonts w:hint="default"/>
                <w:b/>
                <w:color w:val="auto"/>
                <w:kern w:val="2"/>
                <w:szCs w:val="22"/>
              </w:rPr>
            </w:pPr>
            <w:r>
              <w:rPr>
                <w:rFonts w:hint="default" w:ascii="Times New Roman" w:hAnsi="Times New Roman"/>
                <w:color w:val="auto"/>
                <w:kern w:val="2"/>
              </w:rPr>
              <w:t>本项目通过自动生产线上的供胶系统在离合器壳体与变速器壳体的结合面上涂抹胶体，在变速器壳体与后盖的结合面上涂抹胶体，以便后续后盖合装的组装。根据企业提供的资料，密封胶MSDS、VOC检测报告，密封胶密度1.1g/cm</w:t>
            </w:r>
            <w:r>
              <w:rPr>
                <w:rFonts w:hint="default" w:ascii="Times New Roman" w:hAnsi="Times New Roman"/>
                <w:color w:val="auto"/>
                <w:kern w:val="2"/>
                <w:vertAlign w:val="superscript"/>
              </w:rPr>
              <w:t>3</w:t>
            </w:r>
            <w:r>
              <w:rPr>
                <w:rFonts w:hint="default" w:ascii="Times New Roman" w:hAnsi="Times New Roman"/>
                <w:color w:val="auto"/>
                <w:kern w:val="2"/>
              </w:rPr>
              <w:t>，其中挥发性有机物含量为7g/kg，本项目年用密封胶</w:t>
            </w:r>
            <w:r>
              <w:rPr>
                <w:rFonts w:hint="eastAsia" w:ascii="Times New Roman" w:hAnsi="Times New Roman"/>
                <w:color w:val="auto"/>
                <w:kern w:val="2"/>
              </w:rPr>
              <w:t>0.5</w:t>
            </w:r>
            <w:r>
              <w:rPr>
                <w:rFonts w:hint="default" w:ascii="Times New Roman" w:hAnsi="Times New Roman"/>
                <w:color w:val="auto"/>
                <w:kern w:val="2"/>
              </w:rPr>
              <w:t>吨，则涂胶废气中非甲烷总烃产生量为0.</w:t>
            </w:r>
            <w:r>
              <w:rPr>
                <w:rFonts w:hint="eastAsia" w:ascii="Times New Roman" w:hAnsi="Times New Roman"/>
                <w:color w:val="auto"/>
                <w:kern w:val="2"/>
              </w:rPr>
              <w:t>0</w:t>
            </w:r>
            <w:r>
              <w:rPr>
                <w:rFonts w:hint="eastAsia" w:ascii="Times New Roman" w:hAnsi="Times New Roman"/>
                <w:color w:val="auto"/>
                <w:kern w:val="2"/>
                <w:lang w:val="en-US" w:eastAsia="zh-CN"/>
              </w:rPr>
              <w:t>035</w:t>
            </w:r>
            <w:r>
              <w:rPr>
                <w:rFonts w:hint="default" w:ascii="Times New Roman" w:hAnsi="Times New Roman"/>
                <w:color w:val="auto"/>
                <w:kern w:val="2"/>
              </w:rPr>
              <w:t>t/a。</w:t>
            </w:r>
            <w:r>
              <w:rPr>
                <w:rFonts w:hint="eastAsia" w:ascii="Times New Roman" w:hAnsi="Times New Roman"/>
                <w:bCs/>
                <w:color w:val="auto"/>
                <w:kern w:val="2"/>
              </w:rPr>
              <w:t>则</w:t>
            </w:r>
            <w:r>
              <w:rPr>
                <w:rFonts w:hint="default" w:ascii="Times New Roman" w:hAnsi="Times New Roman"/>
                <w:bCs/>
                <w:color w:val="auto"/>
                <w:kern w:val="2"/>
              </w:rPr>
              <w:t>产生速率为（</w:t>
            </w:r>
            <w:r>
              <w:rPr>
                <w:rFonts w:hint="eastAsia" w:ascii="Times New Roman" w:hAnsi="Times New Roman"/>
                <w:bCs/>
                <w:color w:val="auto"/>
                <w:kern w:val="2"/>
              </w:rPr>
              <w:t>0.0</w:t>
            </w:r>
            <w:r>
              <w:rPr>
                <w:rFonts w:hint="eastAsia" w:ascii="Times New Roman" w:hAnsi="Times New Roman"/>
                <w:bCs/>
                <w:color w:val="auto"/>
                <w:kern w:val="2"/>
                <w:lang w:val="en-US" w:eastAsia="zh-CN"/>
              </w:rPr>
              <w:t>035</w:t>
            </w:r>
            <w:r>
              <w:rPr>
                <w:rFonts w:hint="default" w:ascii="Times New Roman" w:hAnsi="Times New Roman"/>
                <w:bCs/>
                <w:color w:val="auto"/>
                <w:kern w:val="2"/>
              </w:rPr>
              <w:t>t/a×1000kg/t）÷</w:t>
            </w:r>
            <w:r>
              <w:rPr>
                <w:rFonts w:hint="eastAsia" w:ascii="Times New Roman" w:hAnsi="Times New Roman"/>
                <w:bCs/>
                <w:color w:val="auto"/>
                <w:kern w:val="2"/>
              </w:rPr>
              <w:t>2080</w:t>
            </w:r>
            <w:r>
              <w:rPr>
                <w:rFonts w:hint="default" w:ascii="Times New Roman" w:hAnsi="Times New Roman"/>
                <w:bCs/>
                <w:color w:val="auto"/>
                <w:kern w:val="2"/>
              </w:rPr>
              <w:t>h/a=0.0</w:t>
            </w:r>
            <w:r>
              <w:rPr>
                <w:rFonts w:hint="eastAsia" w:ascii="Times New Roman" w:hAnsi="Times New Roman"/>
                <w:bCs/>
                <w:color w:val="auto"/>
                <w:kern w:val="2"/>
                <w:lang w:val="en-US" w:eastAsia="zh-CN"/>
              </w:rPr>
              <w:t>017</w:t>
            </w:r>
            <w:r>
              <w:rPr>
                <w:rFonts w:hint="default" w:ascii="Times New Roman" w:hAnsi="Times New Roman"/>
                <w:bCs/>
                <w:color w:val="auto"/>
                <w:kern w:val="2"/>
              </w:rPr>
              <w:t>kg/h；</w:t>
            </w:r>
            <w:r>
              <w:rPr>
                <w:rFonts w:hint="eastAsia" w:cs="宋体"/>
                <w:color w:val="auto"/>
                <w:kern w:val="2"/>
              </w:rPr>
              <w:t>根据</w:t>
            </w:r>
            <w:r>
              <w:rPr>
                <w:rFonts w:hint="eastAsia"/>
                <w:bCs/>
                <w:color w:val="auto"/>
                <w:kern w:val="2"/>
              </w:rPr>
              <w:t>《挥发性有机物无组织排放控制标准</w:t>
            </w:r>
            <w:r>
              <w:rPr>
                <w:rFonts w:hint="default" w:ascii="Times New Roman" w:hAnsi="Times New Roman"/>
                <w:bCs/>
                <w:color w:val="auto"/>
                <w:kern w:val="2"/>
              </w:rPr>
              <w:t>》（GB37822-2019）中</w:t>
            </w:r>
            <w:r>
              <w:rPr>
                <w:rFonts w:hint="default" w:ascii="Times New Roman" w:hAnsi="Times New Roman"/>
                <w:color w:val="auto"/>
                <w:kern w:val="2"/>
              </w:rPr>
              <w:t>10.3.2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本项目</w:t>
            </w:r>
            <w:r>
              <w:rPr>
                <w:rFonts w:hint="eastAsia" w:ascii="Times New Roman" w:hAnsi="Times New Roman"/>
                <w:color w:val="auto"/>
                <w:kern w:val="2"/>
              </w:rPr>
              <w:t>涂胶</w:t>
            </w:r>
            <w:r>
              <w:rPr>
                <w:rFonts w:hint="default" w:ascii="Times New Roman" w:hAnsi="Times New Roman"/>
                <w:color w:val="auto"/>
                <w:kern w:val="2"/>
              </w:rPr>
              <w:t>工序非甲烷总烃排放速率</w:t>
            </w:r>
            <w:r>
              <w:rPr>
                <w:rFonts w:hint="default" w:ascii="Times New Roman" w:hAnsi="Times New Roman"/>
                <w:bCs/>
                <w:color w:val="auto"/>
                <w:kern w:val="2"/>
              </w:rPr>
              <w:t>远</w:t>
            </w:r>
            <w:r>
              <w:rPr>
                <w:rFonts w:hint="default" w:ascii="Times New Roman" w:hAnsi="Times New Roman"/>
                <w:color w:val="auto"/>
                <w:kern w:val="2"/>
              </w:rPr>
              <w:t>小于2kg/h，故不作收集处理，</w:t>
            </w:r>
            <w:r>
              <w:rPr>
                <w:rFonts w:hint="eastAsia" w:ascii="Times New Roman" w:hAnsi="Times New Roman"/>
                <w:color w:val="auto"/>
                <w:kern w:val="2"/>
              </w:rPr>
              <w:t>涂胶</w:t>
            </w:r>
            <w:r>
              <w:rPr>
                <w:rFonts w:hint="default" w:ascii="Times New Roman" w:hAnsi="Times New Roman"/>
                <w:color w:val="auto"/>
                <w:kern w:val="2"/>
              </w:rPr>
              <w:t>废气（G</w:t>
            </w:r>
            <w:r>
              <w:rPr>
                <w:rFonts w:hint="eastAsia" w:ascii="Times New Roman" w:hAnsi="Times New Roman"/>
                <w:color w:val="auto"/>
                <w:kern w:val="2"/>
                <w:vertAlign w:val="subscript"/>
              </w:rPr>
              <w:t>1</w:t>
            </w:r>
            <w:r>
              <w:rPr>
                <w:rFonts w:hint="default" w:ascii="Times New Roman" w:hAnsi="Times New Roman"/>
                <w:color w:val="auto"/>
                <w:kern w:val="2"/>
              </w:rPr>
              <w:t>）在</w:t>
            </w:r>
            <w:r>
              <w:rPr>
                <w:rFonts w:hint="default" w:ascii="Times New Roman" w:hAnsi="Times New Roman"/>
                <w:bCs/>
                <w:color w:val="auto"/>
                <w:kern w:val="2"/>
              </w:rPr>
              <w:t>厂区内</w:t>
            </w:r>
            <w:r>
              <w:rPr>
                <w:rFonts w:hint="eastAsia" w:cs="宋体"/>
                <w:bCs/>
                <w:color w:val="auto"/>
                <w:kern w:val="2"/>
              </w:rPr>
              <w:t>无组织排放</w:t>
            </w:r>
            <w:r>
              <w:rPr>
                <w:rFonts w:hint="eastAsia"/>
                <w:color w:val="auto"/>
                <w:kern w:val="2"/>
                <w:szCs w:val="28"/>
              </w:rPr>
              <w:t>。</w:t>
            </w:r>
          </w:p>
          <w:p w14:paraId="7C180D6C">
            <w:pPr>
              <w:keepNext w:val="0"/>
              <w:keepLines w:val="0"/>
              <w:widowControl/>
              <w:numPr>
                <w:ilvl w:val="0"/>
                <w:numId w:val="3"/>
              </w:numPr>
              <w:suppressLineNumbers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eastAsia" w:ascii="Times New Roman" w:hAnsi="Times New Roman"/>
                <w:b/>
                <w:color w:val="auto"/>
                <w:kern w:val="2"/>
              </w:rPr>
              <w:t>加油废气</w:t>
            </w:r>
            <w:r>
              <w:rPr>
                <w:rFonts w:hint="default" w:ascii="Times New Roman" w:hAnsi="Times New Roman"/>
                <w:b/>
                <w:color w:val="auto"/>
                <w:kern w:val="2"/>
              </w:rPr>
              <w:t>（G</w:t>
            </w:r>
            <w:r>
              <w:rPr>
                <w:rFonts w:hint="eastAsia" w:ascii="Times New Roman" w:hAnsi="Times New Roman"/>
                <w:b/>
                <w:color w:val="auto"/>
                <w:kern w:val="2"/>
                <w:vertAlign w:val="subscript"/>
              </w:rPr>
              <w:t>2</w:t>
            </w:r>
            <w:r>
              <w:rPr>
                <w:rFonts w:hint="default" w:ascii="Times New Roman" w:hAnsi="Times New Roman"/>
                <w:b/>
                <w:color w:val="auto"/>
                <w:kern w:val="2"/>
              </w:rPr>
              <w:t>）</w:t>
            </w:r>
          </w:p>
          <w:p w14:paraId="4C4C047E">
            <w:pPr>
              <w:pStyle w:val="7"/>
              <w:keepNext w:val="0"/>
              <w:keepLines w:val="0"/>
              <w:widowControl/>
              <w:suppressLineNumbers w:val="0"/>
              <w:spacing w:before="0" w:beforeAutospacing="0" w:afterAutospacing="0" w:line="360" w:lineRule="auto"/>
              <w:ind w:left="0" w:right="0" w:firstLine="480" w:firstLineChars="200"/>
              <w:jc w:val="both"/>
              <w:rPr>
                <w:rFonts w:hint="default" w:ascii="Times New Roman" w:hAnsi="Times New Roman" w:cs="Times New Roman"/>
                <w:b/>
                <w:color w:val="auto"/>
                <w:kern w:val="2"/>
                <w:szCs w:val="22"/>
              </w:rPr>
            </w:pPr>
            <w:r>
              <w:rPr>
                <w:rFonts w:hint="default" w:ascii="Times New Roman" w:hAnsi="Times New Roman" w:cs="Times New Roman"/>
                <w:color w:val="auto"/>
                <w:kern w:val="2"/>
              </w:rPr>
              <w:t>本项目生产的变速器在测试线需在变速箱中注入专用的变速箱油，进行加油工序。该过程产生油雾</w:t>
            </w:r>
            <w:r>
              <w:rPr>
                <w:rFonts w:hint="eastAsia" w:ascii="Times New Roman" w:hAnsi="Times New Roman" w:cs="Times New Roman"/>
                <w:color w:val="auto"/>
                <w:kern w:val="2"/>
              </w:rPr>
              <w:t>以非甲烷总烃表征</w:t>
            </w:r>
            <w:r>
              <w:rPr>
                <w:rFonts w:hint="default" w:ascii="Times New Roman" w:hAnsi="Times New Roman" w:cs="Times New Roman"/>
                <w:color w:val="auto"/>
                <w:kern w:val="2"/>
              </w:rPr>
              <w:t>。参照《散装液态石油产品损耗》（GB11085-89）中灌桶（0.18%）和零售加注时（0.29%）的两部分损失率，按总体0.</w:t>
            </w:r>
            <w:r>
              <w:rPr>
                <w:rFonts w:hint="eastAsia" w:ascii="Times New Roman" w:hAnsi="Times New Roman" w:cs="Times New Roman"/>
                <w:color w:val="auto"/>
                <w:kern w:val="2"/>
              </w:rPr>
              <w:t>29</w:t>
            </w:r>
            <w:r>
              <w:rPr>
                <w:rFonts w:hint="default" w:ascii="Times New Roman" w:hAnsi="Times New Roman" w:cs="Times New Roman"/>
                <w:color w:val="auto"/>
                <w:kern w:val="2"/>
              </w:rPr>
              <w:t>%的损失率进行计算。本项目年用变速箱油</w:t>
            </w:r>
            <w:r>
              <w:rPr>
                <w:rFonts w:hint="eastAsia" w:ascii="Times New Roman" w:hAnsi="Times New Roman" w:cs="Times New Roman"/>
                <w:color w:val="auto"/>
                <w:kern w:val="2"/>
              </w:rPr>
              <w:t>15</w:t>
            </w:r>
            <w:r>
              <w:rPr>
                <w:rFonts w:hint="default" w:ascii="Times New Roman" w:hAnsi="Times New Roman" w:cs="Times New Roman"/>
                <w:color w:val="auto"/>
                <w:kern w:val="2"/>
              </w:rPr>
              <w:t>t，则实际加油过程中非甲烷总烃产生量为</w:t>
            </w:r>
            <w:r>
              <w:rPr>
                <w:rFonts w:hint="eastAsia" w:ascii="Times New Roman" w:hAnsi="Times New Roman" w:cs="Times New Roman"/>
                <w:color w:val="auto"/>
                <w:kern w:val="2"/>
              </w:rPr>
              <w:t>0.044</w:t>
            </w:r>
            <w:r>
              <w:rPr>
                <w:rFonts w:hint="default" w:ascii="Times New Roman" w:hAnsi="Times New Roman" w:cs="Times New Roman"/>
                <w:color w:val="auto"/>
                <w:kern w:val="2"/>
              </w:rPr>
              <w:t>t/a。因此</w:t>
            </w:r>
            <w:r>
              <w:rPr>
                <w:rFonts w:hint="eastAsia" w:ascii="Times New Roman" w:hAnsi="Times New Roman" w:cs="Times New Roman"/>
                <w:color w:val="auto"/>
                <w:kern w:val="2"/>
              </w:rPr>
              <w:t>加油</w:t>
            </w:r>
            <w:r>
              <w:rPr>
                <w:rFonts w:hint="default" w:ascii="Times New Roman" w:hAnsi="Times New Roman" w:cs="Times New Roman"/>
                <w:color w:val="auto"/>
                <w:kern w:val="2"/>
              </w:rPr>
              <w:t>工序非甲烷总烃排放速率：</w:t>
            </w:r>
            <w:r>
              <w:rPr>
                <w:rFonts w:hint="default" w:ascii="Times New Roman" w:hAnsi="Times New Roman" w:cs="Times New Roman"/>
                <w:bCs/>
                <w:color w:val="auto"/>
                <w:kern w:val="2"/>
              </w:rPr>
              <w:t>（</w:t>
            </w:r>
            <w:r>
              <w:rPr>
                <w:rFonts w:hint="default" w:ascii="Times New Roman" w:hAnsi="Times New Roman" w:cs="Times New Roman"/>
                <w:color w:val="auto"/>
                <w:kern w:val="2"/>
              </w:rPr>
              <w:t>0.</w:t>
            </w:r>
            <w:r>
              <w:rPr>
                <w:rFonts w:hint="eastAsia" w:ascii="Times New Roman" w:hAnsi="Times New Roman" w:cs="Times New Roman"/>
                <w:color w:val="auto"/>
                <w:kern w:val="2"/>
              </w:rPr>
              <w:t>044</w:t>
            </w:r>
            <w:r>
              <w:rPr>
                <w:rFonts w:hint="default" w:ascii="Times New Roman" w:hAnsi="Times New Roman" w:cs="Times New Roman"/>
                <w:bCs/>
                <w:color w:val="auto"/>
                <w:kern w:val="2"/>
              </w:rPr>
              <w:t>t/a×1000kg/t）÷</w:t>
            </w:r>
            <w:r>
              <w:rPr>
                <w:rFonts w:hint="eastAsia" w:ascii="Times New Roman" w:hAnsi="Times New Roman" w:cs="Times New Roman"/>
                <w:bCs/>
                <w:color w:val="auto"/>
                <w:kern w:val="2"/>
              </w:rPr>
              <w:t>2080</w:t>
            </w:r>
            <w:r>
              <w:rPr>
                <w:rFonts w:hint="default" w:ascii="Times New Roman" w:hAnsi="Times New Roman" w:cs="Times New Roman"/>
                <w:bCs/>
                <w:color w:val="auto"/>
                <w:kern w:val="2"/>
              </w:rPr>
              <w:t>h/a=0.0</w:t>
            </w:r>
            <w:r>
              <w:rPr>
                <w:rFonts w:hint="eastAsia" w:ascii="Times New Roman" w:hAnsi="Times New Roman" w:cs="Times New Roman"/>
                <w:bCs/>
                <w:color w:val="auto"/>
                <w:kern w:val="2"/>
              </w:rPr>
              <w:t>21</w:t>
            </w:r>
            <w:r>
              <w:rPr>
                <w:rFonts w:hint="default" w:ascii="Times New Roman" w:hAnsi="Times New Roman" w:cs="Times New Roman"/>
                <w:bCs/>
                <w:color w:val="auto"/>
                <w:kern w:val="2"/>
              </w:rPr>
              <w:t>kg/h。</w:t>
            </w:r>
            <w:r>
              <w:rPr>
                <w:rFonts w:hint="default" w:ascii="Times New Roman" w:hAnsi="Times New Roman" w:cs="Times New Roman"/>
                <w:color w:val="auto"/>
                <w:kern w:val="2"/>
              </w:rPr>
              <w:t>根据</w:t>
            </w:r>
            <w:r>
              <w:rPr>
                <w:rFonts w:hint="default" w:ascii="Times New Roman" w:hAnsi="Times New Roman" w:cs="Times New Roman"/>
                <w:bCs/>
                <w:color w:val="auto"/>
                <w:kern w:val="2"/>
              </w:rPr>
              <w:t>《挥发性有机物无组织排放控制标准》（GB37822-2019）中</w:t>
            </w:r>
            <w:r>
              <w:rPr>
                <w:rFonts w:hint="default" w:ascii="Times New Roman" w:hAnsi="Times New Roman" w:cs="Times New Roman"/>
                <w:color w:val="auto"/>
                <w:kern w:val="2"/>
              </w:rPr>
              <w:t>10.3.2收集的废气中NMHC初始排放速率≥3kg/h时，应配置VOCs处理设施，处理效率不应低于80%；对于重点地区，收集的废气中NMHC初始排放速率≥2kg/h时，应配置VOCs处理设施，处理效率不应低于80%；采用的原辅材料符合国家有关低VOCs含量产品规定的除外。本项目</w:t>
            </w:r>
            <w:r>
              <w:rPr>
                <w:rFonts w:hint="eastAsia" w:ascii="Times New Roman" w:hAnsi="Times New Roman" w:cs="Times New Roman"/>
                <w:color w:val="auto"/>
                <w:kern w:val="2"/>
              </w:rPr>
              <w:t>加油</w:t>
            </w:r>
            <w:r>
              <w:rPr>
                <w:rFonts w:hint="default" w:ascii="Times New Roman" w:hAnsi="Times New Roman" w:cs="Times New Roman"/>
                <w:color w:val="auto"/>
                <w:kern w:val="2"/>
              </w:rPr>
              <w:t>工序非甲烷总烃排放速率</w:t>
            </w:r>
            <w:r>
              <w:rPr>
                <w:rFonts w:hint="default" w:ascii="Times New Roman" w:hAnsi="Times New Roman" w:cs="Times New Roman"/>
                <w:bCs/>
                <w:color w:val="auto"/>
                <w:kern w:val="2"/>
              </w:rPr>
              <w:t>远</w:t>
            </w:r>
            <w:r>
              <w:rPr>
                <w:rFonts w:hint="default" w:ascii="Times New Roman" w:hAnsi="Times New Roman" w:cs="Times New Roman"/>
                <w:color w:val="auto"/>
                <w:kern w:val="2"/>
              </w:rPr>
              <w:t>小于2kg/h，故不作收集处理，</w:t>
            </w:r>
            <w:r>
              <w:rPr>
                <w:rFonts w:hint="eastAsia" w:ascii="Times New Roman" w:hAnsi="Times New Roman" w:cs="Times New Roman"/>
                <w:color w:val="auto"/>
                <w:kern w:val="2"/>
              </w:rPr>
              <w:t>加油</w:t>
            </w:r>
            <w:r>
              <w:rPr>
                <w:rFonts w:hint="default" w:ascii="Times New Roman" w:hAnsi="Times New Roman" w:cs="Times New Roman"/>
                <w:color w:val="auto"/>
                <w:kern w:val="2"/>
              </w:rPr>
              <w:t>废气（G</w:t>
            </w:r>
            <w:r>
              <w:rPr>
                <w:rFonts w:hint="default" w:ascii="Times New Roman" w:hAnsi="Times New Roman" w:cs="Times New Roman"/>
                <w:color w:val="auto"/>
                <w:kern w:val="2"/>
                <w:vertAlign w:val="subscript"/>
              </w:rPr>
              <w:t>2</w:t>
            </w:r>
            <w:r>
              <w:rPr>
                <w:rFonts w:hint="default" w:ascii="Times New Roman" w:hAnsi="Times New Roman" w:cs="Times New Roman"/>
                <w:color w:val="auto"/>
                <w:kern w:val="2"/>
              </w:rPr>
              <w:t>）在</w:t>
            </w:r>
            <w:r>
              <w:rPr>
                <w:rFonts w:hint="default" w:ascii="Times New Roman" w:hAnsi="Times New Roman" w:cs="Times New Roman"/>
                <w:bCs/>
                <w:color w:val="auto"/>
                <w:kern w:val="2"/>
              </w:rPr>
              <w:t>厂区内无组织排放</w:t>
            </w:r>
            <w:r>
              <w:rPr>
                <w:rFonts w:hint="default" w:ascii="Times New Roman" w:hAnsi="Times New Roman" w:cs="Times New Roman"/>
                <w:color w:val="auto"/>
                <w:kern w:val="2"/>
                <w:szCs w:val="28"/>
              </w:rPr>
              <w:t>。</w:t>
            </w:r>
          </w:p>
          <w:p w14:paraId="7334AF6D">
            <w:pPr>
              <w:keepNext w:val="0"/>
              <w:keepLines w:val="0"/>
              <w:widowControl/>
              <w:suppressLineNumbers w:val="0"/>
              <w:spacing w:before="0" w:beforeAutospacing="0" w:after="0" w:afterAutospacing="0" w:line="360" w:lineRule="auto"/>
              <w:ind w:left="0" w:right="0" w:firstLine="482" w:firstLineChars="200"/>
              <w:rPr>
                <w:rFonts w:hint="eastAsia" w:ascii="Times New Roman" w:hAnsi="Times New Roman" w:eastAsia="宋体"/>
                <w:b/>
                <w:bCs/>
                <w:color w:val="auto"/>
                <w:kern w:val="2"/>
                <w:lang w:eastAsia="zh-CN"/>
              </w:rPr>
            </w:pPr>
            <w:r>
              <w:rPr>
                <w:rFonts w:hint="eastAsia" w:ascii="Times New Roman" w:hAnsi="Times New Roman"/>
                <w:b/>
                <w:bCs/>
                <w:color w:val="auto"/>
                <w:kern w:val="2"/>
              </w:rPr>
              <w:t>（3）清洗废气（G</w:t>
            </w:r>
            <w:r>
              <w:rPr>
                <w:rFonts w:hint="eastAsia" w:ascii="Times New Roman" w:hAnsi="Times New Roman"/>
                <w:b/>
                <w:bCs/>
                <w:color w:val="auto"/>
                <w:kern w:val="2"/>
                <w:vertAlign w:val="subscript"/>
              </w:rPr>
              <w:t>3</w:t>
            </w:r>
            <w:r>
              <w:rPr>
                <w:rFonts w:hint="eastAsia" w:ascii="Times New Roman" w:hAnsi="Times New Roman"/>
                <w:b/>
                <w:bCs/>
                <w:color w:val="auto"/>
                <w:kern w:val="2"/>
              </w:rPr>
              <w:t>）</w:t>
            </w:r>
            <w:r>
              <w:rPr>
                <w:rFonts w:hint="eastAsia" w:ascii="Times New Roman" w:hAnsi="Times New Roman"/>
                <w:b/>
                <w:bCs/>
                <w:color w:val="auto"/>
                <w:kern w:val="2"/>
                <w:lang w:eastAsia="zh-CN"/>
              </w:rPr>
              <w:t>、</w:t>
            </w:r>
            <w:r>
              <w:rPr>
                <w:rFonts w:hint="eastAsia" w:ascii="Times New Roman" w:hAnsi="Times New Roman"/>
                <w:b/>
                <w:bCs/>
                <w:color w:val="auto"/>
                <w:kern w:val="2"/>
                <w:lang w:val="en-US" w:eastAsia="zh-CN"/>
              </w:rPr>
              <w:t>蒸馏再生</w:t>
            </w:r>
            <w:r>
              <w:rPr>
                <w:rFonts w:hint="eastAsia" w:ascii="Times New Roman" w:hAnsi="Times New Roman"/>
                <w:b/>
                <w:bCs/>
                <w:color w:val="auto"/>
                <w:kern w:val="2"/>
              </w:rPr>
              <w:t>废气（G</w:t>
            </w:r>
            <w:r>
              <w:rPr>
                <w:rFonts w:hint="eastAsia" w:ascii="Times New Roman" w:hAnsi="Times New Roman"/>
                <w:b/>
                <w:bCs/>
                <w:color w:val="auto"/>
                <w:kern w:val="2"/>
                <w:vertAlign w:val="subscript"/>
                <w:lang w:val="en-US" w:eastAsia="zh-CN"/>
              </w:rPr>
              <w:t>4</w:t>
            </w:r>
            <w:r>
              <w:rPr>
                <w:rFonts w:hint="eastAsia" w:ascii="Times New Roman" w:hAnsi="Times New Roman"/>
                <w:b/>
                <w:bCs/>
                <w:color w:val="auto"/>
                <w:kern w:val="2"/>
              </w:rPr>
              <w:t>）</w:t>
            </w:r>
          </w:p>
          <w:p w14:paraId="75C58AC5">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eastAsia" w:ascii="Times New Roman" w:hAnsi="Times New Roman"/>
                <w:color w:val="auto"/>
                <w:kern w:val="2"/>
              </w:rPr>
              <w:t>①</w:t>
            </w:r>
            <w:r>
              <w:rPr>
                <w:rFonts w:hint="default" w:ascii="Times New Roman" w:hAnsi="Times New Roman"/>
                <w:color w:val="auto"/>
                <w:kern w:val="2"/>
              </w:rPr>
              <w:t>清洗槽挥发废气</w:t>
            </w:r>
          </w:p>
          <w:p w14:paraId="6B5BD953">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本项目碳氢清洗过程为常温、真空作业，</w:t>
            </w:r>
            <w:r>
              <w:rPr>
                <w:rFonts w:hint="eastAsia" w:ascii="Times New Roman" w:hAnsi="Times New Roman"/>
                <w:color w:val="auto"/>
                <w:kern w:val="2"/>
              </w:rPr>
              <w:t>根据</w:t>
            </w:r>
            <w:r>
              <w:rPr>
                <w:rFonts w:hint="default" w:ascii="Times New Roman" w:hAnsi="Times New Roman"/>
                <w:color w:val="auto"/>
                <w:kern w:val="2"/>
              </w:rPr>
              <w:t>碳氢清洗剂</w:t>
            </w:r>
            <w:r>
              <w:rPr>
                <w:rFonts w:hint="eastAsia" w:ascii="Times New Roman" w:hAnsi="Times New Roman"/>
                <w:color w:val="auto"/>
                <w:kern w:val="2"/>
              </w:rPr>
              <w:t>MSDS，</w:t>
            </w:r>
            <w:r>
              <w:rPr>
                <w:rFonts w:hint="default" w:ascii="Times New Roman" w:hAnsi="Times New Roman"/>
                <w:color w:val="auto"/>
                <w:kern w:val="2"/>
              </w:rPr>
              <w:t>所使用的碳氢清洗剂真空状态下沸点约为</w:t>
            </w:r>
            <w:r>
              <w:rPr>
                <w:rFonts w:hint="eastAsia" w:ascii="Times New Roman" w:hAnsi="Times New Roman"/>
                <w:color w:val="auto"/>
                <w:kern w:val="2"/>
              </w:rPr>
              <w:t>95</w:t>
            </w:r>
            <w:r>
              <w:rPr>
                <w:rFonts w:hint="default" w:ascii="Times New Roman" w:hAnsi="Times New Roman"/>
                <w:color w:val="auto"/>
                <w:kern w:val="2"/>
              </w:rPr>
              <w:t>~1</w:t>
            </w:r>
            <w:r>
              <w:rPr>
                <w:rFonts w:hint="eastAsia" w:ascii="Times New Roman" w:hAnsi="Times New Roman"/>
                <w:color w:val="auto"/>
                <w:kern w:val="2"/>
              </w:rPr>
              <w:t>1</w:t>
            </w:r>
            <w:r>
              <w:rPr>
                <w:rFonts w:hint="default" w:ascii="Times New Roman" w:hAnsi="Times New Roman"/>
                <w:color w:val="auto"/>
                <w:kern w:val="2"/>
              </w:rPr>
              <w:t>0℃，因此，常温、真空状态下该过程中有机废气挥发量</w:t>
            </w:r>
            <w:r>
              <w:rPr>
                <w:rFonts w:hint="eastAsia" w:ascii="Times New Roman" w:hAnsi="Times New Roman"/>
                <w:color w:val="auto"/>
                <w:kern w:val="2"/>
                <w:lang w:val="en-US" w:eastAsia="zh-CN"/>
              </w:rPr>
              <w:t>可忽略不计</w:t>
            </w:r>
            <w:r>
              <w:rPr>
                <w:rFonts w:hint="default" w:ascii="Times New Roman" w:hAnsi="Times New Roman"/>
                <w:color w:val="auto"/>
                <w:kern w:val="2"/>
              </w:rPr>
              <w:t>，本环评对此不作定量分析。</w:t>
            </w:r>
          </w:p>
          <w:p w14:paraId="42A520A7">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eastAsia" w:ascii="Times New Roman" w:hAnsi="Times New Roman"/>
                <w:color w:val="auto"/>
                <w:kern w:val="2"/>
              </w:rPr>
              <w:t>②</w:t>
            </w:r>
            <w:r>
              <w:rPr>
                <w:rFonts w:hint="default" w:ascii="Times New Roman" w:hAnsi="Times New Roman"/>
                <w:color w:val="auto"/>
                <w:kern w:val="2"/>
              </w:rPr>
              <w:t>烘干槽挥发废气</w:t>
            </w:r>
          </w:p>
          <w:p w14:paraId="76260752">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本项目碳氢清洗烘干的蒸汽来源真空干燥槽内的碳氢清洗剂在真空状态下电加热形成碳氢蒸汽，蒸汽经配套的蒸气冷凝回收系统冷凝回收后，液体回流至真空干燥槽内，少量不凝气（</w:t>
            </w:r>
            <w:r>
              <w:rPr>
                <w:rFonts w:hint="eastAsia" w:ascii="Times New Roman" w:hAnsi="Times New Roman"/>
                <w:color w:val="auto"/>
                <w:kern w:val="2"/>
              </w:rPr>
              <w:t>根据企业生产经验</w:t>
            </w:r>
            <w:r>
              <w:rPr>
                <w:rFonts w:hint="default" w:ascii="Times New Roman" w:hAnsi="Times New Roman"/>
                <w:color w:val="auto"/>
                <w:kern w:val="2"/>
              </w:rPr>
              <w:t>约5%，以非甲烷总烃表征）排入废气收集系统，4套碳氢清洗机烘干槽清洗剂合计用量为</w:t>
            </w:r>
            <w:r>
              <w:rPr>
                <w:rFonts w:hint="eastAsia" w:ascii="Times New Roman" w:hAnsi="Times New Roman"/>
                <w:color w:val="auto"/>
                <w:kern w:val="2"/>
              </w:rPr>
              <w:t>1.25</w:t>
            </w:r>
            <w:r>
              <w:rPr>
                <w:rFonts w:hint="default" w:ascii="Times New Roman" w:hAnsi="Times New Roman"/>
                <w:color w:val="auto"/>
                <w:kern w:val="2"/>
              </w:rPr>
              <w:t>t/a，因此烘干槽有机废气产生量约为0.</w:t>
            </w:r>
            <w:r>
              <w:rPr>
                <w:rFonts w:hint="eastAsia" w:ascii="Times New Roman" w:hAnsi="Times New Roman"/>
                <w:color w:val="auto"/>
                <w:kern w:val="2"/>
              </w:rPr>
              <w:t>063</w:t>
            </w:r>
            <w:r>
              <w:rPr>
                <w:rFonts w:hint="default" w:ascii="Times New Roman" w:hAnsi="Times New Roman"/>
                <w:color w:val="auto"/>
                <w:kern w:val="2"/>
              </w:rPr>
              <w:t>t/a。</w:t>
            </w:r>
          </w:p>
          <w:p w14:paraId="55024D22">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eastAsia" w:ascii="Times New Roman" w:hAnsi="Times New Roman"/>
                <w:color w:val="auto"/>
                <w:kern w:val="2"/>
              </w:rPr>
              <w:t>③</w:t>
            </w:r>
            <w:r>
              <w:rPr>
                <w:rFonts w:hint="default" w:ascii="Times New Roman" w:hAnsi="Times New Roman"/>
                <w:color w:val="auto"/>
                <w:kern w:val="2"/>
              </w:rPr>
              <w:t>蒸馏再生系统废气</w:t>
            </w:r>
          </w:p>
          <w:p w14:paraId="02398DFA">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由于浸泡清洗槽内的碳氢清洗剂（旧液）清洗后效果降低，对其设置蒸馏再生系统进行蒸馏再生（</w:t>
            </w:r>
            <w:r>
              <w:rPr>
                <w:rFonts w:hint="eastAsia" w:ascii="Times New Roman" w:hAnsi="Times New Roman"/>
                <w:color w:val="auto"/>
                <w:kern w:val="2"/>
                <w:lang w:val="en-US" w:eastAsia="zh-CN"/>
              </w:rPr>
              <w:t>再生率90%</w:t>
            </w:r>
            <w:r>
              <w:rPr>
                <w:rFonts w:hint="default" w:ascii="Times New Roman" w:hAnsi="Times New Roman"/>
                <w:color w:val="auto"/>
                <w:kern w:val="2"/>
              </w:rPr>
              <w:t>），再生过程的不凝气（</w:t>
            </w:r>
            <w:r>
              <w:rPr>
                <w:rFonts w:hint="eastAsia" w:ascii="Times New Roman" w:hAnsi="Times New Roman"/>
                <w:color w:val="auto"/>
                <w:kern w:val="2"/>
              </w:rPr>
              <w:t>根据企业生产经验</w:t>
            </w:r>
            <w:r>
              <w:rPr>
                <w:rFonts w:hint="default" w:ascii="Times New Roman" w:hAnsi="Times New Roman"/>
                <w:color w:val="auto"/>
                <w:kern w:val="2"/>
              </w:rPr>
              <w:t>约</w:t>
            </w:r>
            <w:r>
              <w:rPr>
                <w:rFonts w:hint="eastAsia" w:ascii="Times New Roman" w:hAnsi="Times New Roman"/>
                <w:color w:val="auto"/>
                <w:kern w:val="2"/>
                <w:lang w:val="en-US" w:eastAsia="zh-CN"/>
              </w:rPr>
              <w:t>5</w:t>
            </w:r>
            <w:r>
              <w:rPr>
                <w:rFonts w:hint="default" w:ascii="Times New Roman" w:hAnsi="Times New Roman"/>
                <w:color w:val="auto"/>
                <w:kern w:val="2"/>
              </w:rPr>
              <w:t>%，以非甲烷总烃表征）排入废气收集系统，项目再生系统有机废气产生量为</w:t>
            </w:r>
            <w:r>
              <w:rPr>
                <w:rFonts w:hint="eastAsia" w:ascii="Times New Roman" w:hAnsi="Times New Roman"/>
                <w:color w:val="auto"/>
                <w:kern w:val="2"/>
                <w:lang w:val="en-US" w:eastAsia="zh-CN"/>
              </w:rPr>
              <w:t>0.059</w:t>
            </w:r>
            <w:r>
              <w:rPr>
                <w:rFonts w:hint="default" w:ascii="Times New Roman" w:hAnsi="Times New Roman"/>
                <w:color w:val="auto"/>
                <w:kern w:val="2"/>
              </w:rPr>
              <w:t>t/a。</w:t>
            </w:r>
          </w:p>
          <w:p w14:paraId="051C2457">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eastAsia" w:ascii="Times New Roman" w:hAnsi="Times New Roman"/>
                <w:color w:val="auto"/>
                <w:kern w:val="2"/>
              </w:rPr>
              <w:t>④</w:t>
            </w:r>
            <w:r>
              <w:rPr>
                <w:rFonts w:hint="default" w:ascii="Times New Roman" w:hAnsi="Times New Roman"/>
                <w:color w:val="auto"/>
                <w:kern w:val="2"/>
              </w:rPr>
              <w:t>出料口挥发废气</w:t>
            </w:r>
          </w:p>
          <w:p w14:paraId="0F0FF1E4">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本清洗机整个清洗过程均在密闭空间内进行，并设置了清洗剂和多段蒸馏再生蒸汽回收系统，仅在出料过程中，清洗室残留的微量溶剂会排入空气中，污染物为非甲烷总烃，</w:t>
            </w:r>
            <w:r>
              <w:rPr>
                <w:rFonts w:hint="eastAsia" w:ascii="Times New Roman" w:hAnsi="Times New Roman"/>
                <w:color w:val="auto"/>
                <w:kern w:val="2"/>
              </w:rPr>
              <w:t>根据企业生产经验</w:t>
            </w:r>
            <w:r>
              <w:rPr>
                <w:rFonts w:hint="default" w:ascii="Times New Roman" w:hAnsi="Times New Roman"/>
                <w:color w:val="auto"/>
                <w:kern w:val="2"/>
              </w:rPr>
              <w:t>，出料口挥发废气占清洗剂用量的0.6～1.2%，根据最不利原则，本项目取1.2%，碳氢清洗剂用量</w:t>
            </w:r>
            <w:r>
              <w:rPr>
                <w:rFonts w:hint="eastAsia" w:ascii="Times New Roman" w:hAnsi="Times New Roman"/>
                <w:color w:val="auto"/>
                <w:kern w:val="2"/>
              </w:rPr>
              <w:t>1.25</w:t>
            </w:r>
            <w:r>
              <w:rPr>
                <w:rFonts w:hint="default" w:ascii="Times New Roman" w:hAnsi="Times New Roman"/>
                <w:color w:val="auto"/>
                <w:kern w:val="2"/>
              </w:rPr>
              <w:t>t/a，则清洗过程中出料工序产生的非甲烷总烃产生量为0.0</w:t>
            </w:r>
            <w:r>
              <w:rPr>
                <w:rFonts w:hint="eastAsia" w:ascii="Times New Roman" w:hAnsi="Times New Roman"/>
                <w:color w:val="auto"/>
                <w:kern w:val="2"/>
              </w:rPr>
              <w:t>15</w:t>
            </w:r>
            <w:r>
              <w:rPr>
                <w:rFonts w:hint="default" w:ascii="Times New Roman" w:hAnsi="Times New Roman"/>
                <w:color w:val="auto"/>
                <w:kern w:val="2"/>
              </w:rPr>
              <w:t>t/a。</w:t>
            </w:r>
          </w:p>
          <w:p w14:paraId="7840415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综上，本项目有机废气产生量合计为</w:t>
            </w:r>
            <w:r>
              <w:rPr>
                <w:rFonts w:hint="eastAsia" w:ascii="Times New Roman" w:hAnsi="Times New Roman"/>
                <w:color w:val="auto"/>
                <w:kern w:val="2"/>
                <w:lang w:val="en-US" w:eastAsia="zh-CN"/>
              </w:rPr>
              <w:t>0.137</w:t>
            </w:r>
            <w:r>
              <w:rPr>
                <w:rFonts w:hint="default" w:ascii="Times New Roman" w:hAnsi="Times New Roman"/>
                <w:color w:val="auto"/>
                <w:kern w:val="2"/>
              </w:rPr>
              <w:t>t/a。</w:t>
            </w:r>
          </w:p>
          <w:p w14:paraId="6760F0BC">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eastAsia" w:ascii="Times New Roman" w:hAnsi="Times New Roman"/>
                <w:color w:val="auto"/>
                <w:kern w:val="2"/>
              </w:rPr>
              <w:t>清洗</w:t>
            </w:r>
            <w:r>
              <w:rPr>
                <w:rFonts w:hint="default" w:ascii="Times New Roman" w:hAnsi="Times New Roman"/>
                <w:color w:val="auto"/>
                <w:kern w:val="2"/>
              </w:rPr>
              <w:t>废气（G</w:t>
            </w:r>
            <w:r>
              <w:rPr>
                <w:rFonts w:hint="eastAsia" w:ascii="Times New Roman" w:hAnsi="Times New Roman"/>
                <w:color w:val="auto"/>
                <w:kern w:val="2"/>
                <w:vertAlign w:val="subscript"/>
              </w:rPr>
              <w:t>3</w:t>
            </w:r>
            <w:r>
              <w:rPr>
                <w:rFonts w:hint="default" w:ascii="Times New Roman" w:hAnsi="Times New Roman"/>
                <w:color w:val="auto"/>
                <w:kern w:val="2"/>
              </w:rPr>
              <w:t>）</w:t>
            </w:r>
            <w:r>
              <w:rPr>
                <w:rFonts w:hint="eastAsia" w:ascii="Times New Roman" w:hAnsi="Times New Roman"/>
                <w:color w:val="auto"/>
                <w:kern w:val="2"/>
                <w:lang w:eastAsia="zh-CN"/>
              </w:rPr>
              <w:t>、</w:t>
            </w:r>
            <w:r>
              <w:rPr>
                <w:rFonts w:hint="eastAsia" w:ascii="Times New Roman" w:hAnsi="Times New Roman"/>
                <w:color w:val="auto"/>
                <w:kern w:val="2"/>
                <w:lang w:val="en-US" w:eastAsia="zh-CN"/>
              </w:rPr>
              <w:t>蒸馏再生废气</w:t>
            </w:r>
            <w:r>
              <w:rPr>
                <w:rFonts w:hint="default" w:ascii="Times New Roman" w:hAnsi="Times New Roman"/>
                <w:color w:val="auto"/>
                <w:kern w:val="2"/>
              </w:rPr>
              <w:t>（G</w:t>
            </w:r>
            <w:r>
              <w:rPr>
                <w:rFonts w:hint="eastAsia" w:ascii="Times New Roman" w:hAnsi="Times New Roman"/>
                <w:color w:val="auto"/>
                <w:kern w:val="2"/>
                <w:vertAlign w:val="subscript"/>
                <w:lang w:val="en-US" w:eastAsia="zh-CN"/>
              </w:rPr>
              <w:t>4</w:t>
            </w:r>
            <w:r>
              <w:rPr>
                <w:rFonts w:hint="default" w:ascii="Times New Roman" w:hAnsi="Times New Roman"/>
                <w:color w:val="auto"/>
                <w:kern w:val="2"/>
              </w:rPr>
              <w:t>）经密闭</w:t>
            </w:r>
            <w:r>
              <w:rPr>
                <w:rFonts w:hint="eastAsia" w:ascii="Times New Roman" w:hAnsi="Times New Roman"/>
                <w:color w:val="auto"/>
                <w:kern w:val="2"/>
              </w:rPr>
              <w:t>管道</w:t>
            </w:r>
            <w:r>
              <w:rPr>
                <w:rFonts w:hint="default" w:ascii="Times New Roman" w:hAnsi="Times New Roman"/>
                <w:color w:val="auto"/>
                <w:kern w:val="2"/>
              </w:rPr>
              <w:t>收集后经一套“</w:t>
            </w:r>
            <w:r>
              <w:rPr>
                <w:rFonts w:hint="eastAsia" w:ascii="Times New Roman" w:hAnsi="Times New Roman"/>
                <w:color w:val="auto"/>
                <w:kern w:val="2"/>
              </w:rPr>
              <w:t>二</w:t>
            </w:r>
            <w:r>
              <w:rPr>
                <w:rFonts w:hint="default" w:ascii="Times New Roman" w:hAnsi="Times New Roman"/>
                <w:color w:val="auto"/>
                <w:kern w:val="2"/>
              </w:rPr>
              <w:t>级活性炭吸附装置”（TA001）处理后通过</w:t>
            </w:r>
            <w:r>
              <w:rPr>
                <w:rFonts w:hint="eastAsia" w:ascii="Times New Roman" w:hAnsi="Times New Roman"/>
                <w:color w:val="auto"/>
                <w:kern w:val="2"/>
              </w:rPr>
              <w:t>15</w:t>
            </w:r>
            <w:r>
              <w:rPr>
                <w:rFonts w:hint="default" w:ascii="Times New Roman" w:hAnsi="Times New Roman"/>
                <w:color w:val="auto"/>
                <w:kern w:val="2"/>
              </w:rPr>
              <w:t>m高排气筒（DA001）排放。密闭</w:t>
            </w:r>
            <w:r>
              <w:rPr>
                <w:rFonts w:hint="eastAsia" w:ascii="Times New Roman" w:hAnsi="Times New Roman"/>
                <w:color w:val="auto"/>
                <w:kern w:val="2"/>
              </w:rPr>
              <w:t>管道</w:t>
            </w:r>
            <w:r>
              <w:rPr>
                <w:rFonts w:hint="default" w:ascii="Times New Roman" w:hAnsi="Times New Roman"/>
                <w:color w:val="auto"/>
                <w:kern w:val="2"/>
              </w:rPr>
              <w:t>收集效率为</w:t>
            </w:r>
            <w:r>
              <w:rPr>
                <w:rFonts w:hint="eastAsia" w:ascii="Times New Roman" w:hAnsi="Times New Roman"/>
                <w:color w:val="auto"/>
                <w:kern w:val="2"/>
              </w:rPr>
              <w:t>100</w:t>
            </w:r>
            <w:r>
              <w:rPr>
                <w:rFonts w:hint="default" w:ascii="Times New Roman" w:hAnsi="Times New Roman"/>
                <w:color w:val="auto"/>
                <w:kern w:val="2"/>
              </w:rPr>
              <w:t>%，“</w:t>
            </w:r>
            <w:r>
              <w:rPr>
                <w:rFonts w:hint="eastAsia" w:ascii="Times New Roman" w:hAnsi="Times New Roman"/>
                <w:color w:val="auto"/>
                <w:kern w:val="2"/>
              </w:rPr>
              <w:t>二</w:t>
            </w:r>
            <w:r>
              <w:rPr>
                <w:rFonts w:hint="default" w:ascii="Times New Roman" w:hAnsi="Times New Roman"/>
                <w:color w:val="auto"/>
                <w:kern w:val="2"/>
              </w:rPr>
              <w:t>级活性炭吸附装置”对有机废气处理效率为90%</w:t>
            </w:r>
            <w:r>
              <w:rPr>
                <w:rFonts w:hint="eastAsia" w:ascii="Times New Roman" w:hAnsi="Times New Roman"/>
                <w:color w:val="auto"/>
                <w:kern w:val="2"/>
              </w:rPr>
              <w:t>。</w:t>
            </w:r>
          </w:p>
          <w:p w14:paraId="39441699">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eastAsia" w:ascii="Times New Roman" w:hAnsi="Times New Roman"/>
                <w:color w:val="auto"/>
                <w:kern w:val="2"/>
              </w:rPr>
              <w:t>清洗</w:t>
            </w:r>
            <w:r>
              <w:rPr>
                <w:rFonts w:hint="eastAsia" w:ascii="Times New Roman" w:hAnsi="Times New Roman"/>
                <w:color w:val="auto"/>
                <w:kern w:val="2"/>
                <w:lang w:eastAsia="zh-CN"/>
              </w:rPr>
              <w:t>、</w:t>
            </w:r>
            <w:r>
              <w:rPr>
                <w:rFonts w:hint="eastAsia" w:ascii="Times New Roman" w:hAnsi="Times New Roman"/>
                <w:color w:val="auto"/>
                <w:kern w:val="2"/>
                <w:lang w:val="en-US" w:eastAsia="zh-CN"/>
              </w:rPr>
              <w:t>蒸馏再生废气</w:t>
            </w:r>
            <w:r>
              <w:rPr>
                <w:rFonts w:hint="default" w:ascii="Times New Roman" w:hAnsi="Times New Roman"/>
                <w:color w:val="auto"/>
                <w:kern w:val="2"/>
              </w:rPr>
              <w:t>非甲烷总烃：</w:t>
            </w:r>
          </w:p>
          <w:p w14:paraId="785C8D31">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产生速率为（</w:t>
            </w:r>
            <w:r>
              <w:rPr>
                <w:rFonts w:hint="eastAsia" w:ascii="Times New Roman" w:hAnsi="Times New Roman"/>
                <w:color w:val="auto"/>
                <w:kern w:val="2"/>
                <w:lang w:val="en-US" w:eastAsia="zh-CN"/>
              </w:rPr>
              <w:t>0.137</w:t>
            </w:r>
            <w:r>
              <w:rPr>
                <w:rFonts w:hint="default" w:ascii="Times New Roman" w:hAnsi="Times New Roman"/>
                <w:color w:val="auto"/>
                <w:kern w:val="2"/>
              </w:rPr>
              <w:t>t/a×1000kg/t）÷</w:t>
            </w:r>
            <w:r>
              <w:rPr>
                <w:rFonts w:hint="eastAsia" w:ascii="Times New Roman" w:hAnsi="Times New Roman"/>
                <w:color w:val="auto"/>
                <w:kern w:val="2"/>
              </w:rPr>
              <w:t>2080</w:t>
            </w:r>
            <w:r>
              <w:rPr>
                <w:rFonts w:hint="default" w:ascii="Times New Roman" w:hAnsi="Times New Roman"/>
                <w:color w:val="auto"/>
                <w:kern w:val="2"/>
              </w:rPr>
              <w:t>h/a=</w:t>
            </w:r>
            <w:r>
              <w:rPr>
                <w:rFonts w:hint="eastAsia" w:ascii="Times New Roman" w:hAnsi="Times New Roman"/>
                <w:color w:val="auto"/>
                <w:kern w:val="2"/>
                <w:lang w:val="en-US" w:eastAsia="zh-CN"/>
              </w:rPr>
              <w:t>0.066</w:t>
            </w:r>
            <w:r>
              <w:rPr>
                <w:rFonts w:hint="default" w:ascii="Times New Roman" w:hAnsi="Times New Roman"/>
                <w:color w:val="auto"/>
                <w:kern w:val="2"/>
              </w:rPr>
              <w:t>kg/h；</w:t>
            </w:r>
          </w:p>
          <w:p w14:paraId="7FC1161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产生浓度为（</w:t>
            </w:r>
            <w:r>
              <w:rPr>
                <w:rFonts w:hint="eastAsia" w:ascii="Times New Roman" w:hAnsi="Times New Roman"/>
                <w:color w:val="auto"/>
                <w:kern w:val="2"/>
                <w:lang w:val="en-US" w:eastAsia="zh-CN"/>
              </w:rPr>
              <w:t>0.066</w:t>
            </w:r>
            <w:r>
              <w:rPr>
                <w:rFonts w:hint="default" w:ascii="Times New Roman" w:hAnsi="Times New Roman"/>
                <w:color w:val="auto"/>
                <w:kern w:val="2"/>
              </w:rPr>
              <w:t>kg/h×10</w:t>
            </w:r>
            <w:r>
              <w:rPr>
                <w:rFonts w:hint="default" w:ascii="Times New Roman" w:hAnsi="Times New Roman"/>
                <w:color w:val="auto"/>
                <w:kern w:val="2"/>
                <w:vertAlign w:val="superscript"/>
              </w:rPr>
              <w:t>6</w:t>
            </w:r>
            <w:r>
              <w:rPr>
                <w:rFonts w:hint="default" w:ascii="Times New Roman" w:hAnsi="Times New Roman"/>
                <w:color w:val="auto"/>
                <w:kern w:val="2"/>
              </w:rPr>
              <w:t>mg/kg）÷</w:t>
            </w:r>
            <w:r>
              <w:rPr>
                <w:rFonts w:hint="eastAsia" w:ascii="Times New Roman" w:hAnsi="Times New Roman"/>
                <w:color w:val="auto"/>
                <w:kern w:val="2"/>
                <w:lang w:val="en-US" w:eastAsia="zh-CN"/>
              </w:rPr>
              <w:t>2664</w:t>
            </w:r>
            <w:r>
              <w:rPr>
                <w:rFonts w:hint="default" w:ascii="Times New Roman" w:hAnsi="Times New Roman"/>
                <w:color w:val="auto"/>
                <w:kern w:val="2"/>
              </w:rPr>
              <w:t>m</w:t>
            </w:r>
            <w:r>
              <w:rPr>
                <w:rFonts w:hint="default" w:ascii="Times New Roman" w:hAnsi="Times New Roman"/>
                <w:color w:val="auto"/>
                <w:kern w:val="2"/>
                <w:vertAlign w:val="superscript"/>
              </w:rPr>
              <w:t>3</w:t>
            </w:r>
            <w:r>
              <w:rPr>
                <w:rFonts w:hint="default" w:ascii="Times New Roman" w:hAnsi="Times New Roman"/>
                <w:color w:val="auto"/>
                <w:kern w:val="2"/>
              </w:rPr>
              <w:t>/h=</w:t>
            </w:r>
            <w:r>
              <w:rPr>
                <w:rFonts w:hint="eastAsia" w:ascii="Times New Roman" w:hAnsi="Times New Roman"/>
                <w:color w:val="auto"/>
                <w:kern w:val="2"/>
                <w:lang w:val="en-US" w:eastAsia="zh-CN"/>
              </w:rPr>
              <w:t>24.77</w:t>
            </w:r>
            <w:r>
              <w:rPr>
                <w:rFonts w:hint="default" w:ascii="Times New Roman" w:hAnsi="Times New Roman"/>
                <w:color w:val="auto"/>
                <w:kern w:val="2"/>
              </w:rPr>
              <w:t>mg/m</w:t>
            </w:r>
            <w:r>
              <w:rPr>
                <w:rFonts w:hint="default" w:ascii="Times New Roman" w:hAnsi="Times New Roman"/>
                <w:color w:val="auto"/>
                <w:kern w:val="2"/>
                <w:vertAlign w:val="superscript"/>
              </w:rPr>
              <w:t>3</w:t>
            </w:r>
            <w:r>
              <w:rPr>
                <w:rFonts w:hint="default" w:ascii="Times New Roman" w:hAnsi="Times New Roman"/>
                <w:color w:val="auto"/>
                <w:kern w:val="2"/>
              </w:rPr>
              <w:t>。</w:t>
            </w:r>
          </w:p>
          <w:p w14:paraId="1C63533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有组织排放量：</w:t>
            </w:r>
            <w:r>
              <w:rPr>
                <w:rFonts w:hint="eastAsia" w:ascii="Times New Roman" w:hAnsi="Times New Roman"/>
                <w:color w:val="auto"/>
                <w:kern w:val="2"/>
                <w:lang w:val="en-US" w:eastAsia="zh-CN"/>
              </w:rPr>
              <w:t>0.137</w:t>
            </w:r>
            <w:r>
              <w:rPr>
                <w:rFonts w:hint="default" w:ascii="Times New Roman" w:hAnsi="Times New Roman"/>
                <w:color w:val="auto"/>
                <w:kern w:val="2"/>
              </w:rPr>
              <w:t>t/a×</w:t>
            </w:r>
            <w:r>
              <w:rPr>
                <w:rFonts w:hint="eastAsia" w:ascii="Times New Roman" w:hAnsi="Times New Roman"/>
                <w:color w:val="auto"/>
                <w:kern w:val="2"/>
              </w:rPr>
              <w:t>100%</w:t>
            </w:r>
            <w:r>
              <w:rPr>
                <w:rFonts w:hint="default" w:ascii="Times New Roman" w:hAnsi="Times New Roman"/>
                <w:color w:val="auto"/>
                <w:kern w:val="2"/>
              </w:rPr>
              <w:t>×（</w:t>
            </w:r>
            <w:r>
              <w:rPr>
                <w:rFonts w:hint="eastAsia" w:ascii="Times New Roman" w:hAnsi="Times New Roman"/>
                <w:color w:val="auto"/>
                <w:kern w:val="2"/>
              </w:rPr>
              <w:t>1-90%</w:t>
            </w:r>
            <w:r>
              <w:rPr>
                <w:rFonts w:hint="default" w:ascii="Times New Roman" w:hAnsi="Times New Roman"/>
                <w:color w:val="auto"/>
                <w:kern w:val="2"/>
              </w:rPr>
              <w:t>）=0.</w:t>
            </w:r>
            <w:r>
              <w:rPr>
                <w:rFonts w:hint="eastAsia" w:ascii="Times New Roman" w:hAnsi="Times New Roman"/>
                <w:color w:val="auto"/>
                <w:kern w:val="2"/>
                <w:lang w:val="en-US" w:eastAsia="zh-CN"/>
              </w:rPr>
              <w:t>014</w:t>
            </w:r>
            <w:r>
              <w:rPr>
                <w:rFonts w:hint="default" w:ascii="Times New Roman" w:hAnsi="Times New Roman"/>
                <w:color w:val="auto"/>
                <w:kern w:val="2"/>
              </w:rPr>
              <w:t>t/a；</w:t>
            </w:r>
          </w:p>
          <w:p w14:paraId="5038550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排放速率：（0.</w:t>
            </w:r>
            <w:r>
              <w:rPr>
                <w:rFonts w:hint="eastAsia" w:ascii="Times New Roman" w:hAnsi="Times New Roman"/>
                <w:color w:val="auto"/>
                <w:kern w:val="2"/>
                <w:lang w:val="en-US" w:eastAsia="zh-CN"/>
              </w:rPr>
              <w:t>014</w:t>
            </w:r>
            <w:r>
              <w:rPr>
                <w:rFonts w:hint="default" w:ascii="Times New Roman" w:hAnsi="Times New Roman"/>
                <w:color w:val="auto"/>
                <w:kern w:val="2"/>
              </w:rPr>
              <w:t>t/a×1000kg/t）÷</w:t>
            </w:r>
            <w:r>
              <w:rPr>
                <w:rFonts w:hint="eastAsia" w:ascii="Times New Roman" w:hAnsi="Times New Roman"/>
                <w:color w:val="auto"/>
                <w:kern w:val="2"/>
              </w:rPr>
              <w:t>2080</w:t>
            </w:r>
            <w:r>
              <w:rPr>
                <w:rFonts w:hint="default" w:ascii="Times New Roman" w:hAnsi="Times New Roman"/>
                <w:color w:val="auto"/>
                <w:kern w:val="2"/>
              </w:rPr>
              <w:t>h/a=0.</w:t>
            </w:r>
            <w:r>
              <w:rPr>
                <w:rFonts w:hint="eastAsia" w:ascii="Times New Roman" w:hAnsi="Times New Roman"/>
                <w:color w:val="auto"/>
                <w:kern w:val="2"/>
                <w:lang w:val="en-US" w:eastAsia="zh-CN"/>
              </w:rPr>
              <w:t>0067</w:t>
            </w:r>
            <w:r>
              <w:rPr>
                <w:rFonts w:hint="default" w:ascii="Times New Roman" w:hAnsi="Times New Roman"/>
                <w:color w:val="auto"/>
                <w:kern w:val="2"/>
              </w:rPr>
              <w:t>g/h；</w:t>
            </w:r>
          </w:p>
          <w:p w14:paraId="329BEC6D">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排放浓度：（0.</w:t>
            </w:r>
            <w:r>
              <w:rPr>
                <w:rFonts w:hint="eastAsia" w:ascii="Times New Roman" w:hAnsi="Times New Roman"/>
                <w:color w:val="auto"/>
                <w:kern w:val="2"/>
                <w:lang w:val="en-US" w:eastAsia="zh-CN"/>
              </w:rPr>
              <w:t>0067</w:t>
            </w:r>
            <w:r>
              <w:rPr>
                <w:rFonts w:hint="default" w:ascii="Times New Roman" w:hAnsi="Times New Roman"/>
                <w:color w:val="auto"/>
                <w:kern w:val="2"/>
              </w:rPr>
              <w:t>kg/h×10</w:t>
            </w:r>
            <w:r>
              <w:rPr>
                <w:rFonts w:hint="default" w:ascii="Times New Roman" w:hAnsi="Times New Roman"/>
                <w:color w:val="auto"/>
                <w:kern w:val="2"/>
                <w:vertAlign w:val="superscript"/>
              </w:rPr>
              <w:t>6</w:t>
            </w:r>
            <w:r>
              <w:rPr>
                <w:rFonts w:hint="default" w:ascii="Times New Roman" w:hAnsi="Times New Roman"/>
                <w:color w:val="auto"/>
                <w:kern w:val="2"/>
              </w:rPr>
              <w:t>mg/kg）÷</w:t>
            </w:r>
            <w:r>
              <w:rPr>
                <w:rFonts w:hint="eastAsia" w:ascii="Times New Roman" w:hAnsi="Times New Roman"/>
                <w:color w:val="auto"/>
                <w:kern w:val="2"/>
              </w:rPr>
              <w:t>2</w:t>
            </w:r>
            <w:r>
              <w:rPr>
                <w:rFonts w:hint="eastAsia" w:ascii="Times New Roman" w:hAnsi="Times New Roman"/>
                <w:color w:val="auto"/>
                <w:kern w:val="2"/>
                <w:lang w:val="en-US" w:eastAsia="zh-CN"/>
              </w:rPr>
              <w:t>664</w:t>
            </w:r>
            <w:r>
              <w:rPr>
                <w:rFonts w:hint="default" w:ascii="Times New Roman" w:hAnsi="Times New Roman"/>
                <w:color w:val="auto"/>
                <w:kern w:val="2"/>
              </w:rPr>
              <w:t>m</w:t>
            </w:r>
            <w:r>
              <w:rPr>
                <w:rFonts w:hint="default" w:ascii="Times New Roman" w:hAnsi="Times New Roman"/>
                <w:color w:val="auto"/>
                <w:kern w:val="2"/>
                <w:vertAlign w:val="superscript"/>
              </w:rPr>
              <w:t>3</w:t>
            </w:r>
            <w:r>
              <w:rPr>
                <w:rFonts w:hint="default" w:ascii="Times New Roman" w:hAnsi="Times New Roman"/>
                <w:color w:val="auto"/>
                <w:kern w:val="2"/>
              </w:rPr>
              <w:t>/h=</w:t>
            </w:r>
            <w:r>
              <w:rPr>
                <w:rFonts w:hint="eastAsia" w:ascii="Times New Roman" w:hAnsi="Times New Roman"/>
                <w:color w:val="auto"/>
                <w:kern w:val="2"/>
                <w:lang w:val="en-US" w:eastAsia="zh-CN"/>
              </w:rPr>
              <w:t>2.52</w:t>
            </w:r>
            <w:r>
              <w:rPr>
                <w:rFonts w:hint="default" w:ascii="Times New Roman" w:hAnsi="Times New Roman"/>
                <w:color w:val="auto"/>
                <w:kern w:val="2"/>
              </w:rPr>
              <w:t>mg/m</w:t>
            </w:r>
            <w:r>
              <w:rPr>
                <w:rFonts w:hint="default" w:ascii="Times New Roman" w:hAnsi="Times New Roman"/>
                <w:color w:val="auto"/>
                <w:kern w:val="2"/>
                <w:vertAlign w:val="superscript"/>
              </w:rPr>
              <w:t>3</w:t>
            </w:r>
            <w:r>
              <w:rPr>
                <w:rFonts w:hint="default" w:ascii="Times New Roman" w:hAnsi="Times New Roman"/>
                <w:color w:val="auto"/>
                <w:kern w:val="2"/>
              </w:rPr>
              <w:t>。</w:t>
            </w:r>
          </w:p>
          <w:p w14:paraId="6FCEFD44">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362B5738">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5CD2546D">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11D28EC1">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39F04288">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6C45E595">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4EE7C014">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73673A50">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6FFCF200">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34AB2CE7">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5423D32B">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78097F31">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3025B3B5">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79B26F04">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14CB1DF5">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47C50902">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747A48D7">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1AF9B870">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7A2996F5">
            <w:pPr>
              <w:pStyle w:val="31"/>
              <w:keepNext w:val="0"/>
              <w:keepLines w:val="0"/>
              <w:widowControl/>
              <w:suppressLineNumbers w:val="0"/>
              <w:spacing w:before="0" w:beforeAutospacing="0" w:after="0" w:afterAutospacing="0"/>
              <w:ind w:left="0" w:right="0" w:firstLine="0" w:firstLineChars="0"/>
              <w:rPr>
                <w:rFonts w:hint="default"/>
                <w:color w:val="auto"/>
                <w:kern w:val="2"/>
              </w:rPr>
            </w:pPr>
          </w:p>
          <w:p w14:paraId="6BD1D28D">
            <w:pPr>
              <w:pStyle w:val="31"/>
              <w:keepNext w:val="0"/>
              <w:keepLines w:val="0"/>
              <w:widowControl/>
              <w:suppressLineNumbers w:val="0"/>
              <w:spacing w:before="0" w:beforeAutospacing="0" w:after="0" w:afterAutospacing="0"/>
              <w:ind w:left="0" w:right="0" w:firstLine="0" w:firstLineChars="0"/>
              <w:rPr>
                <w:rFonts w:hint="default"/>
                <w:color w:val="auto"/>
                <w:kern w:val="2"/>
              </w:rPr>
            </w:pPr>
          </w:p>
        </w:tc>
      </w:tr>
    </w:tbl>
    <w:p w14:paraId="2761F0A7">
      <w:pPr>
        <w:rPr>
          <w:rFonts w:ascii="Times New Roman" w:hAnsi="Times New Roman"/>
          <w:color w:val="auto"/>
        </w:rPr>
        <w:sectPr>
          <w:pgSz w:w="11906" w:h="16838"/>
          <w:pgMar w:top="1440" w:right="1800" w:bottom="1440" w:left="1800" w:header="851" w:footer="992" w:gutter="0"/>
          <w:cols w:space="720" w:num="1"/>
          <w:docGrid w:type="lines" w:linePitch="312" w:charSpace="0"/>
        </w:sectPr>
      </w:pPr>
    </w:p>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174"/>
      </w:tblGrid>
      <w:tr w14:paraId="2F340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0" w:hRule="atLeast"/>
        </w:trPr>
        <w:tc>
          <w:tcPr>
            <w:tcW w:w="14174" w:type="dxa"/>
            <w:tcBorders>
              <w:bottom w:val="single" w:color="auto" w:sz="4" w:space="0"/>
            </w:tcBorders>
          </w:tcPr>
          <w:p w14:paraId="0A9AFC11">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黑体"/>
                <w:color w:val="auto"/>
                <w:kern w:val="2"/>
              </w:rPr>
            </w:pPr>
            <w:r>
              <w:rPr>
                <w:rFonts w:hint="default" w:ascii="Times New Roman" w:hAnsi="Times New Roman"/>
                <w:bCs/>
                <w:color w:val="auto"/>
                <w:kern w:val="2"/>
                <w:szCs w:val="28"/>
              </w:rPr>
              <w:t>本项目有组织废气排放情况见下表：</w:t>
            </w:r>
          </w:p>
          <w:p w14:paraId="5E6B2818">
            <w:pPr>
              <w:keepNext w:val="0"/>
              <w:keepLines w:val="0"/>
              <w:widowControl/>
              <w:suppressLineNumbers w:val="0"/>
              <w:spacing w:before="0" w:beforeAutospacing="0" w:after="0" w:afterAutospacing="0" w:line="360" w:lineRule="auto"/>
              <w:ind w:left="0" w:right="0"/>
              <w:jc w:val="center"/>
              <w:outlineLvl w:val="0"/>
              <w:rPr>
                <w:rFonts w:hint="default" w:ascii="Times New Roman" w:hAnsi="Times New Roman" w:eastAsia="黑体"/>
                <w:color w:val="auto"/>
                <w:kern w:val="2"/>
              </w:rPr>
            </w:pPr>
            <w:r>
              <w:rPr>
                <w:rFonts w:hint="default" w:ascii="Times New Roman" w:hAnsi="Times New Roman" w:eastAsia="黑体"/>
                <w:color w:val="auto"/>
                <w:kern w:val="2"/>
              </w:rPr>
              <w:t>表4-</w:t>
            </w:r>
            <w:r>
              <w:rPr>
                <w:rFonts w:hint="eastAsia" w:ascii="Times New Roman" w:hAnsi="Times New Roman" w:eastAsia="黑体"/>
                <w:color w:val="auto"/>
                <w:kern w:val="2"/>
                <w:lang w:val="en-US" w:eastAsia="zh-CN"/>
              </w:rPr>
              <w:t>1</w:t>
            </w:r>
            <w:r>
              <w:rPr>
                <w:rFonts w:hint="default" w:ascii="Times New Roman" w:hAnsi="Times New Roman" w:eastAsia="黑体"/>
                <w:color w:val="auto"/>
                <w:kern w:val="2"/>
              </w:rPr>
              <w:t xml:space="preserve">  项目有组织废气产生和排放情况表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5"/>
              <w:gridCol w:w="640"/>
              <w:gridCol w:w="434"/>
              <w:gridCol w:w="693"/>
              <w:gridCol w:w="836"/>
              <w:gridCol w:w="707"/>
              <w:gridCol w:w="914"/>
              <w:gridCol w:w="811"/>
              <w:gridCol w:w="716"/>
              <w:gridCol w:w="986"/>
              <w:gridCol w:w="805"/>
              <w:gridCol w:w="626"/>
              <w:gridCol w:w="558"/>
              <w:gridCol w:w="865"/>
              <w:gridCol w:w="461"/>
              <w:gridCol w:w="611"/>
              <w:gridCol w:w="564"/>
              <w:gridCol w:w="422"/>
              <w:gridCol w:w="1644"/>
            </w:tblGrid>
            <w:tr w14:paraId="4C69AC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38" w:type="pct"/>
                  <w:vMerge w:val="restart"/>
                  <w:tcBorders>
                    <w:top w:val="single" w:color="auto" w:sz="12" w:space="0"/>
                    <w:left w:val="nil"/>
                  </w:tcBorders>
                  <w:vAlign w:val="center"/>
                </w:tcPr>
                <w:p w14:paraId="038ACAE1">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产污环节</w:t>
                  </w:r>
                </w:p>
              </w:tc>
              <w:tc>
                <w:tcPr>
                  <w:tcW w:w="229" w:type="pct"/>
                  <w:vMerge w:val="restart"/>
                  <w:tcBorders>
                    <w:top w:val="single" w:color="auto" w:sz="12" w:space="0"/>
                  </w:tcBorders>
                  <w:vAlign w:val="center"/>
                </w:tcPr>
                <w:p w14:paraId="4A68D821">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原料类型</w:t>
                  </w:r>
                </w:p>
              </w:tc>
              <w:tc>
                <w:tcPr>
                  <w:tcW w:w="155" w:type="pct"/>
                  <w:vMerge w:val="restart"/>
                  <w:tcBorders>
                    <w:top w:val="single" w:color="auto" w:sz="12" w:space="0"/>
                  </w:tcBorders>
                  <w:vAlign w:val="center"/>
                </w:tcPr>
                <w:p w14:paraId="4266EBE6">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污染物</w:t>
                  </w:r>
                </w:p>
              </w:tc>
              <w:tc>
                <w:tcPr>
                  <w:tcW w:w="800" w:type="pct"/>
                  <w:gridSpan w:val="3"/>
                  <w:tcBorders>
                    <w:top w:val="single" w:color="auto" w:sz="12" w:space="0"/>
                  </w:tcBorders>
                  <w:vAlign w:val="center"/>
                </w:tcPr>
                <w:p w14:paraId="37F3CADC">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污染物产生情况</w:t>
                  </w:r>
                </w:p>
              </w:tc>
              <w:tc>
                <w:tcPr>
                  <w:tcW w:w="327" w:type="pct"/>
                  <w:vMerge w:val="restart"/>
                  <w:tcBorders>
                    <w:top w:val="single" w:color="auto" w:sz="12" w:space="0"/>
                  </w:tcBorders>
                  <w:vAlign w:val="center"/>
                </w:tcPr>
                <w:p w14:paraId="10B736AA">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收集及治理设施</w:t>
                  </w:r>
                </w:p>
              </w:tc>
              <w:tc>
                <w:tcPr>
                  <w:tcW w:w="290" w:type="pct"/>
                  <w:vMerge w:val="restart"/>
                  <w:tcBorders>
                    <w:top w:val="single" w:color="auto" w:sz="12" w:space="0"/>
                  </w:tcBorders>
                  <w:vAlign w:val="center"/>
                </w:tcPr>
                <w:p w14:paraId="1956BDDE">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风机风量m</w:t>
                  </w:r>
                  <w:r>
                    <w:rPr>
                      <w:rFonts w:hint="default" w:ascii="Times New Roman" w:hAnsi="Times New Roman"/>
                      <w:b/>
                      <w:bCs/>
                      <w:color w:val="auto"/>
                      <w:kern w:val="2"/>
                      <w:sz w:val="21"/>
                      <w:szCs w:val="21"/>
                      <w:vertAlign w:val="superscript"/>
                    </w:rPr>
                    <w:t>3</w:t>
                  </w:r>
                  <w:r>
                    <w:rPr>
                      <w:rFonts w:hint="default" w:ascii="Times New Roman" w:hAnsi="Times New Roman"/>
                      <w:b/>
                      <w:bCs/>
                      <w:color w:val="auto"/>
                      <w:kern w:val="2"/>
                      <w:sz w:val="21"/>
                      <w:szCs w:val="21"/>
                    </w:rPr>
                    <w:t>/h</w:t>
                  </w:r>
                </w:p>
              </w:tc>
              <w:tc>
                <w:tcPr>
                  <w:tcW w:w="897" w:type="pct"/>
                  <w:gridSpan w:val="3"/>
                  <w:tcBorders>
                    <w:top w:val="single" w:color="auto" w:sz="12" w:space="0"/>
                  </w:tcBorders>
                  <w:vAlign w:val="center"/>
                </w:tcPr>
                <w:p w14:paraId="1249F8E6">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污染物排放情况</w:t>
                  </w:r>
                </w:p>
              </w:tc>
              <w:tc>
                <w:tcPr>
                  <w:tcW w:w="424" w:type="pct"/>
                  <w:gridSpan w:val="2"/>
                  <w:tcBorders>
                    <w:top w:val="single" w:color="auto" w:sz="12" w:space="0"/>
                  </w:tcBorders>
                  <w:vAlign w:val="center"/>
                </w:tcPr>
                <w:p w14:paraId="77FB3CB3">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排放标准</w:t>
                  </w:r>
                </w:p>
              </w:tc>
              <w:tc>
                <w:tcPr>
                  <w:tcW w:w="1635" w:type="pct"/>
                  <w:gridSpan w:val="6"/>
                  <w:tcBorders>
                    <w:top w:val="single" w:color="auto" w:sz="12" w:space="0"/>
                    <w:right w:val="nil"/>
                  </w:tcBorders>
                  <w:vAlign w:val="center"/>
                </w:tcPr>
                <w:p w14:paraId="700ADE17">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排气筒基本情况</w:t>
                  </w:r>
                </w:p>
              </w:tc>
            </w:tr>
            <w:tr w14:paraId="13F604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06" w:hRule="atLeast"/>
                <w:jc w:val="center"/>
              </w:trPr>
              <w:tc>
                <w:tcPr>
                  <w:tcW w:w="238" w:type="pct"/>
                  <w:vMerge w:val="continue"/>
                  <w:tcBorders>
                    <w:left w:val="nil"/>
                  </w:tcBorders>
                  <w:vAlign w:val="center"/>
                </w:tcPr>
                <w:p w14:paraId="08509D6F">
                  <w:pPr>
                    <w:keepNext w:val="0"/>
                    <w:keepLines w:val="0"/>
                    <w:widowControl/>
                    <w:suppressLineNumbers w:val="0"/>
                    <w:spacing w:before="0" w:beforeAutospacing="0" w:after="0" w:afterAutospacing="0" w:line="276" w:lineRule="auto"/>
                    <w:ind w:left="0" w:right="0"/>
                    <w:rPr>
                      <w:rFonts w:hint="default" w:ascii="Times New Roman" w:hAnsi="Times New Roman"/>
                      <w:b/>
                      <w:color w:val="auto"/>
                      <w:kern w:val="2"/>
                      <w:sz w:val="21"/>
                      <w:szCs w:val="21"/>
                    </w:rPr>
                  </w:pPr>
                </w:p>
              </w:tc>
              <w:tc>
                <w:tcPr>
                  <w:tcW w:w="229" w:type="pct"/>
                  <w:vMerge w:val="continue"/>
                  <w:vAlign w:val="center"/>
                </w:tcPr>
                <w:p w14:paraId="6B7B1022">
                  <w:pPr>
                    <w:keepNext w:val="0"/>
                    <w:keepLines w:val="0"/>
                    <w:widowControl/>
                    <w:suppressLineNumbers w:val="0"/>
                    <w:spacing w:before="0" w:beforeAutospacing="0" w:after="0" w:afterAutospacing="0" w:line="276" w:lineRule="auto"/>
                    <w:ind w:left="0" w:right="0"/>
                    <w:rPr>
                      <w:rFonts w:hint="default" w:ascii="Times New Roman" w:hAnsi="Times New Roman"/>
                      <w:b/>
                      <w:color w:val="auto"/>
                      <w:kern w:val="2"/>
                      <w:sz w:val="21"/>
                      <w:szCs w:val="21"/>
                    </w:rPr>
                  </w:pPr>
                </w:p>
              </w:tc>
              <w:tc>
                <w:tcPr>
                  <w:tcW w:w="155" w:type="pct"/>
                  <w:vMerge w:val="continue"/>
                  <w:vAlign w:val="center"/>
                </w:tcPr>
                <w:p w14:paraId="63210937">
                  <w:pPr>
                    <w:keepNext w:val="0"/>
                    <w:keepLines w:val="0"/>
                    <w:widowControl/>
                    <w:suppressLineNumbers w:val="0"/>
                    <w:spacing w:before="0" w:beforeAutospacing="0" w:after="0" w:afterAutospacing="0" w:line="276" w:lineRule="auto"/>
                    <w:ind w:left="0" w:right="0"/>
                    <w:rPr>
                      <w:rFonts w:hint="default" w:ascii="Times New Roman" w:hAnsi="Times New Roman"/>
                      <w:b/>
                      <w:color w:val="auto"/>
                      <w:kern w:val="2"/>
                      <w:sz w:val="21"/>
                      <w:szCs w:val="21"/>
                    </w:rPr>
                  </w:pPr>
                </w:p>
              </w:tc>
              <w:tc>
                <w:tcPr>
                  <w:tcW w:w="248" w:type="pct"/>
                  <w:vAlign w:val="center"/>
                </w:tcPr>
                <w:p w14:paraId="6A8FC773">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浓度mg/m</w:t>
                  </w:r>
                  <w:r>
                    <w:rPr>
                      <w:rFonts w:hint="default" w:ascii="Times New Roman" w:hAnsi="Times New Roman"/>
                      <w:b/>
                      <w:color w:val="auto"/>
                      <w:kern w:val="2"/>
                      <w:sz w:val="21"/>
                      <w:szCs w:val="21"/>
                      <w:vertAlign w:val="superscript"/>
                    </w:rPr>
                    <w:t>3</w:t>
                  </w:r>
                </w:p>
              </w:tc>
              <w:tc>
                <w:tcPr>
                  <w:tcW w:w="299" w:type="pct"/>
                  <w:vAlign w:val="center"/>
                </w:tcPr>
                <w:p w14:paraId="0670B978">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速率kg/h</w:t>
                  </w:r>
                </w:p>
              </w:tc>
              <w:tc>
                <w:tcPr>
                  <w:tcW w:w="252" w:type="pct"/>
                  <w:vAlign w:val="center"/>
                </w:tcPr>
                <w:p w14:paraId="0AA76970">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产生量t/a</w:t>
                  </w:r>
                </w:p>
              </w:tc>
              <w:tc>
                <w:tcPr>
                  <w:tcW w:w="327" w:type="pct"/>
                  <w:vMerge w:val="continue"/>
                  <w:vAlign w:val="center"/>
                </w:tcPr>
                <w:p w14:paraId="5AC83FFD">
                  <w:pPr>
                    <w:keepNext w:val="0"/>
                    <w:keepLines w:val="0"/>
                    <w:widowControl/>
                    <w:suppressLineNumbers w:val="0"/>
                    <w:spacing w:before="0" w:beforeAutospacing="0" w:after="0" w:afterAutospacing="0" w:line="276" w:lineRule="auto"/>
                    <w:ind w:left="0" w:right="0"/>
                    <w:rPr>
                      <w:rFonts w:hint="default" w:ascii="Times New Roman" w:hAnsi="Times New Roman"/>
                      <w:b/>
                      <w:color w:val="auto"/>
                      <w:kern w:val="2"/>
                      <w:sz w:val="21"/>
                      <w:szCs w:val="21"/>
                    </w:rPr>
                  </w:pPr>
                </w:p>
              </w:tc>
              <w:tc>
                <w:tcPr>
                  <w:tcW w:w="290" w:type="pct"/>
                  <w:vMerge w:val="continue"/>
                  <w:vAlign w:val="center"/>
                </w:tcPr>
                <w:p w14:paraId="3F671625">
                  <w:pPr>
                    <w:keepNext w:val="0"/>
                    <w:keepLines w:val="0"/>
                    <w:widowControl/>
                    <w:suppressLineNumbers w:val="0"/>
                    <w:spacing w:before="0" w:beforeAutospacing="0" w:after="0" w:afterAutospacing="0" w:line="276" w:lineRule="auto"/>
                    <w:ind w:left="0" w:right="0"/>
                    <w:rPr>
                      <w:rFonts w:hint="default" w:ascii="Times New Roman" w:hAnsi="Times New Roman"/>
                      <w:b/>
                      <w:bCs/>
                      <w:color w:val="auto"/>
                      <w:kern w:val="2"/>
                      <w:sz w:val="21"/>
                      <w:szCs w:val="21"/>
                    </w:rPr>
                  </w:pPr>
                </w:p>
              </w:tc>
              <w:tc>
                <w:tcPr>
                  <w:tcW w:w="256" w:type="pct"/>
                  <w:vAlign w:val="center"/>
                </w:tcPr>
                <w:p w14:paraId="0B13CB0F">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浓度mg/m</w:t>
                  </w:r>
                  <w:r>
                    <w:rPr>
                      <w:rFonts w:hint="default" w:ascii="Times New Roman" w:hAnsi="Times New Roman"/>
                      <w:b/>
                      <w:color w:val="auto"/>
                      <w:kern w:val="2"/>
                      <w:sz w:val="21"/>
                      <w:szCs w:val="21"/>
                      <w:vertAlign w:val="superscript"/>
                    </w:rPr>
                    <w:t>3</w:t>
                  </w:r>
                </w:p>
              </w:tc>
              <w:tc>
                <w:tcPr>
                  <w:tcW w:w="353" w:type="pct"/>
                  <w:vAlign w:val="center"/>
                </w:tcPr>
                <w:p w14:paraId="76B0366C">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速率kg/h</w:t>
                  </w:r>
                </w:p>
              </w:tc>
              <w:tc>
                <w:tcPr>
                  <w:tcW w:w="286" w:type="pct"/>
                  <w:vAlign w:val="center"/>
                </w:tcPr>
                <w:p w14:paraId="1FB85F45">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排放量t/a</w:t>
                  </w:r>
                </w:p>
              </w:tc>
              <w:tc>
                <w:tcPr>
                  <w:tcW w:w="224" w:type="pct"/>
                  <w:vAlign w:val="center"/>
                </w:tcPr>
                <w:p w14:paraId="68F61271">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浓度mg/m</w:t>
                  </w:r>
                  <w:r>
                    <w:rPr>
                      <w:rFonts w:hint="default" w:ascii="Times New Roman" w:hAnsi="Times New Roman"/>
                      <w:b/>
                      <w:color w:val="auto"/>
                      <w:kern w:val="2"/>
                      <w:sz w:val="21"/>
                      <w:szCs w:val="21"/>
                      <w:vertAlign w:val="superscript"/>
                    </w:rPr>
                    <w:t>3</w:t>
                  </w:r>
                </w:p>
              </w:tc>
              <w:tc>
                <w:tcPr>
                  <w:tcW w:w="199" w:type="pct"/>
                  <w:vAlign w:val="center"/>
                </w:tcPr>
                <w:p w14:paraId="7A92F45C">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速率kg/h</w:t>
                  </w:r>
                </w:p>
              </w:tc>
              <w:tc>
                <w:tcPr>
                  <w:tcW w:w="310" w:type="pct"/>
                  <w:vAlign w:val="center"/>
                </w:tcPr>
                <w:p w14:paraId="644C331C">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编号</w:t>
                  </w:r>
                </w:p>
              </w:tc>
              <w:tc>
                <w:tcPr>
                  <w:tcW w:w="165" w:type="pct"/>
                  <w:vAlign w:val="center"/>
                </w:tcPr>
                <w:p w14:paraId="7F87C5F3">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高度m</w:t>
                  </w:r>
                </w:p>
              </w:tc>
              <w:tc>
                <w:tcPr>
                  <w:tcW w:w="219" w:type="pct"/>
                  <w:vAlign w:val="center"/>
                </w:tcPr>
                <w:p w14:paraId="039DA319">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内径</w:t>
                  </w:r>
                </w:p>
                <w:p w14:paraId="1DFE67CD">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m</w:t>
                  </w:r>
                </w:p>
              </w:tc>
              <w:tc>
                <w:tcPr>
                  <w:tcW w:w="202" w:type="pct"/>
                  <w:vAlign w:val="center"/>
                </w:tcPr>
                <w:p w14:paraId="104E61C1">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温度</w:t>
                  </w:r>
                </w:p>
                <w:p w14:paraId="0904A3A0">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w:t>
                  </w:r>
                </w:p>
              </w:tc>
              <w:tc>
                <w:tcPr>
                  <w:tcW w:w="151" w:type="pct"/>
                  <w:vAlign w:val="center"/>
                </w:tcPr>
                <w:p w14:paraId="1E13EBBC">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类型</w:t>
                  </w:r>
                </w:p>
              </w:tc>
              <w:tc>
                <w:tcPr>
                  <w:tcW w:w="584" w:type="pct"/>
                  <w:tcBorders>
                    <w:right w:val="nil"/>
                  </w:tcBorders>
                  <w:vAlign w:val="center"/>
                </w:tcPr>
                <w:p w14:paraId="10BFFFC9">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地理</w:t>
                  </w:r>
                </w:p>
                <w:p w14:paraId="4BCB5582">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坐标</w:t>
                  </w:r>
                </w:p>
              </w:tc>
            </w:tr>
            <w:tr w14:paraId="0D47FE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3" w:hRule="atLeast"/>
                <w:jc w:val="center"/>
              </w:trPr>
              <w:tc>
                <w:tcPr>
                  <w:tcW w:w="238" w:type="pct"/>
                  <w:tcBorders>
                    <w:left w:val="nil"/>
                  </w:tcBorders>
                  <w:vAlign w:val="center"/>
                </w:tcPr>
                <w:p w14:paraId="359A5440">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清洗</w:t>
                  </w:r>
                  <w:r>
                    <w:rPr>
                      <w:rFonts w:hint="eastAsia" w:ascii="Times New Roman" w:hAnsi="Times New Roman"/>
                      <w:color w:val="auto"/>
                      <w:kern w:val="2"/>
                      <w:sz w:val="21"/>
                      <w:szCs w:val="21"/>
                      <w:lang w:eastAsia="zh-CN"/>
                    </w:rPr>
                    <w:t>、</w:t>
                  </w:r>
                  <w:r>
                    <w:rPr>
                      <w:rFonts w:hint="eastAsia" w:ascii="Times New Roman" w:hAnsi="Times New Roman"/>
                      <w:color w:val="auto"/>
                      <w:kern w:val="2"/>
                      <w:sz w:val="21"/>
                      <w:szCs w:val="21"/>
                      <w:lang w:val="en-US" w:eastAsia="zh-CN"/>
                    </w:rPr>
                    <w:t>蒸馏再生</w:t>
                  </w:r>
                  <w:r>
                    <w:rPr>
                      <w:rFonts w:hint="eastAsia" w:ascii="Times New Roman" w:hAnsi="Times New Roman"/>
                      <w:color w:val="auto"/>
                      <w:kern w:val="2"/>
                      <w:sz w:val="21"/>
                      <w:szCs w:val="21"/>
                    </w:rPr>
                    <w:t>工序</w:t>
                  </w:r>
                </w:p>
              </w:tc>
              <w:tc>
                <w:tcPr>
                  <w:tcW w:w="229" w:type="pct"/>
                  <w:vAlign w:val="center"/>
                </w:tcPr>
                <w:p w14:paraId="0446F40A">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碳氢清洗剂</w:t>
                  </w:r>
                </w:p>
              </w:tc>
              <w:tc>
                <w:tcPr>
                  <w:tcW w:w="155" w:type="pct"/>
                  <w:vAlign w:val="center"/>
                </w:tcPr>
                <w:p w14:paraId="41A01415">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非甲烷总烃</w:t>
                  </w:r>
                </w:p>
              </w:tc>
              <w:tc>
                <w:tcPr>
                  <w:tcW w:w="248" w:type="pct"/>
                  <w:vAlign w:val="center"/>
                </w:tcPr>
                <w:p w14:paraId="5FA115D9">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24.77</w:t>
                  </w:r>
                </w:p>
              </w:tc>
              <w:tc>
                <w:tcPr>
                  <w:tcW w:w="299" w:type="pct"/>
                  <w:vAlign w:val="center"/>
                </w:tcPr>
                <w:p w14:paraId="3F871259">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0.066</w:t>
                  </w:r>
                </w:p>
              </w:tc>
              <w:tc>
                <w:tcPr>
                  <w:tcW w:w="252" w:type="pct"/>
                  <w:vAlign w:val="center"/>
                </w:tcPr>
                <w:p w14:paraId="52096C9F">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0.137</w:t>
                  </w:r>
                </w:p>
              </w:tc>
              <w:tc>
                <w:tcPr>
                  <w:tcW w:w="327" w:type="pct"/>
                  <w:vAlign w:val="center"/>
                </w:tcPr>
                <w:p w14:paraId="5DB2998D">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bCs/>
                      <w:color w:val="auto"/>
                      <w:kern w:val="2"/>
                      <w:sz w:val="21"/>
                      <w:szCs w:val="21"/>
                    </w:rPr>
                    <w:t>密闭管道</w:t>
                  </w:r>
                  <w:r>
                    <w:rPr>
                      <w:rFonts w:hint="default" w:ascii="Times New Roman" w:hAnsi="Times New Roman"/>
                      <w:bCs/>
                      <w:color w:val="auto"/>
                      <w:kern w:val="2"/>
                      <w:sz w:val="21"/>
                      <w:szCs w:val="21"/>
                    </w:rPr>
                    <w:t>收集+二级活性炭吸附装置</w:t>
                  </w:r>
                </w:p>
              </w:tc>
              <w:tc>
                <w:tcPr>
                  <w:tcW w:w="290" w:type="pct"/>
                  <w:vAlign w:val="center"/>
                </w:tcPr>
                <w:p w14:paraId="34DD27A2">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2664</w:t>
                  </w:r>
                </w:p>
              </w:tc>
              <w:tc>
                <w:tcPr>
                  <w:tcW w:w="256" w:type="pct"/>
                  <w:vAlign w:val="center"/>
                </w:tcPr>
                <w:p w14:paraId="43C6C51F">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2.52</w:t>
                  </w:r>
                </w:p>
              </w:tc>
              <w:tc>
                <w:tcPr>
                  <w:tcW w:w="353" w:type="pct"/>
                  <w:vAlign w:val="center"/>
                </w:tcPr>
                <w:p w14:paraId="71AB0ACC">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0.0067</w:t>
                  </w:r>
                </w:p>
              </w:tc>
              <w:tc>
                <w:tcPr>
                  <w:tcW w:w="286" w:type="pct"/>
                  <w:vAlign w:val="center"/>
                </w:tcPr>
                <w:p w14:paraId="1BB8B8B3">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olor w:val="auto"/>
                      <w:spacing w:val="-2"/>
                      <w:kern w:val="2"/>
                      <w:sz w:val="21"/>
                      <w:szCs w:val="21"/>
                      <w:lang w:val="en-US" w:eastAsia="zh-CN"/>
                    </w:rPr>
                  </w:pPr>
                  <w:r>
                    <w:rPr>
                      <w:rFonts w:hint="eastAsia" w:ascii="Times New Roman" w:hAnsi="Times New Roman"/>
                      <w:color w:val="auto"/>
                      <w:spacing w:val="-2"/>
                      <w:kern w:val="2"/>
                      <w:sz w:val="21"/>
                      <w:szCs w:val="21"/>
                    </w:rPr>
                    <w:t>0.</w:t>
                  </w:r>
                  <w:r>
                    <w:rPr>
                      <w:rFonts w:hint="eastAsia" w:ascii="Times New Roman" w:hAnsi="Times New Roman"/>
                      <w:color w:val="auto"/>
                      <w:spacing w:val="-2"/>
                      <w:kern w:val="2"/>
                      <w:sz w:val="21"/>
                      <w:szCs w:val="21"/>
                      <w:lang w:val="en-US" w:eastAsia="zh-CN"/>
                    </w:rPr>
                    <w:t>014</w:t>
                  </w:r>
                </w:p>
              </w:tc>
              <w:tc>
                <w:tcPr>
                  <w:tcW w:w="224" w:type="pct"/>
                  <w:vAlign w:val="center"/>
                </w:tcPr>
                <w:p w14:paraId="6FCC9657">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60</w:t>
                  </w:r>
                </w:p>
              </w:tc>
              <w:tc>
                <w:tcPr>
                  <w:tcW w:w="199" w:type="pct"/>
                  <w:vAlign w:val="center"/>
                </w:tcPr>
                <w:p w14:paraId="43FF17EE">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2.0</w:t>
                  </w:r>
                </w:p>
              </w:tc>
              <w:tc>
                <w:tcPr>
                  <w:tcW w:w="310" w:type="pct"/>
                  <w:vAlign w:val="center"/>
                </w:tcPr>
                <w:p w14:paraId="3550DF59">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DA001</w:t>
                  </w:r>
                </w:p>
              </w:tc>
              <w:tc>
                <w:tcPr>
                  <w:tcW w:w="165" w:type="pct"/>
                  <w:vAlign w:val="center"/>
                </w:tcPr>
                <w:p w14:paraId="563CAF5B">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15</w:t>
                  </w:r>
                </w:p>
              </w:tc>
              <w:tc>
                <w:tcPr>
                  <w:tcW w:w="219" w:type="pct"/>
                  <w:vAlign w:val="center"/>
                </w:tcPr>
                <w:p w14:paraId="4C449460">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kern w:val="2"/>
                      <w:sz w:val="21"/>
                      <w:szCs w:val="21"/>
                    </w:rPr>
                    <w:t>0.</w:t>
                  </w:r>
                  <w:r>
                    <w:rPr>
                      <w:rFonts w:hint="eastAsia" w:ascii="Times New Roman" w:hAnsi="Times New Roman"/>
                      <w:color w:val="auto"/>
                      <w:kern w:val="2"/>
                      <w:sz w:val="21"/>
                      <w:szCs w:val="21"/>
                      <w:lang w:val="en-US" w:eastAsia="zh-CN"/>
                    </w:rPr>
                    <w:t>25</w:t>
                  </w:r>
                </w:p>
              </w:tc>
              <w:tc>
                <w:tcPr>
                  <w:tcW w:w="202" w:type="pct"/>
                  <w:vAlign w:val="center"/>
                </w:tcPr>
                <w:p w14:paraId="4A30657F">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color w:val="auto"/>
                      <w:kern w:val="2"/>
                      <w:sz w:val="21"/>
                      <w:szCs w:val="21"/>
                      <w:lang w:eastAsia="zh-CN"/>
                    </w:rPr>
                  </w:pPr>
                  <w:r>
                    <w:rPr>
                      <w:rFonts w:hint="eastAsia" w:ascii="Times New Roman" w:hAnsi="Times New Roman"/>
                      <w:color w:val="auto"/>
                      <w:kern w:val="2"/>
                      <w:sz w:val="21"/>
                      <w:szCs w:val="21"/>
                      <w:lang w:val="en-US" w:eastAsia="zh-CN"/>
                    </w:rPr>
                    <w:t>环境温度</w:t>
                  </w:r>
                </w:p>
              </w:tc>
              <w:tc>
                <w:tcPr>
                  <w:tcW w:w="151" w:type="pct"/>
                  <w:vAlign w:val="center"/>
                </w:tcPr>
                <w:p w14:paraId="50B46AFF">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一般排放口</w:t>
                  </w:r>
                </w:p>
              </w:tc>
              <w:tc>
                <w:tcPr>
                  <w:tcW w:w="584" w:type="pct"/>
                  <w:tcBorders>
                    <w:right w:val="nil"/>
                  </w:tcBorders>
                  <w:vAlign w:val="center"/>
                </w:tcPr>
                <w:p w14:paraId="0BCD4FBB">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E116.6</w:t>
                  </w:r>
                  <w:r>
                    <w:rPr>
                      <w:rFonts w:hint="eastAsia" w:ascii="Times New Roman" w:hAnsi="Times New Roman"/>
                      <w:color w:val="auto"/>
                      <w:kern w:val="2"/>
                      <w:sz w:val="21"/>
                      <w:szCs w:val="21"/>
                    </w:rPr>
                    <w:t>68931</w:t>
                  </w:r>
                  <w:r>
                    <w:rPr>
                      <w:rFonts w:hint="default" w:ascii="Times New Roman" w:hAnsi="Times New Roman"/>
                      <w:color w:val="auto"/>
                      <w:kern w:val="2"/>
                      <w:sz w:val="21"/>
                      <w:szCs w:val="21"/>
                    </w:rPr>
                    <w:t>°，N32.7</w:t>
                  </w:r>
                  <w:r>
                    <w:rPr>
                      <w:rFonts w:hint="eastAsia" w:ascii="Times New Roman" w:hAnsi="Times New Roman"/>
                      <w:color w:val="auto"/>
                      <w:kern w:val="2"/>
                      <w:sz w:val="21"/>
                      <w:szCs w:val="21"/>
                    </w:rPr>
                    <w:t>50836</w:t>
                  </w:r>
                  <w:r>
                    <w:rPr>
                      <w:rFonts w:hint="default" w:ascii="Times New Roman" w:hAnsi="Times New Roman"/>
                      <w:color w:val="auto"/>
                      <w:kern w:val="2"/>
                      <w:sz w:val="21"/>
                      <w:szCs w:val="21"/>
                    </w:rPr>
                    <w:t>°</w:t>
                  </w:r>
                </w:p>
              </w:tc>
            </w:tr>
          </w:tbl>
          <w:p w14:paraId="12B5A7E2">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szCs w:val="28"/>
              </w:rPr>
            </w:pPr>
            <w:r>
              <w:rPr>
                <w:rFonts w:hint="default" w:ascii="Times New Roman" w:hAnsi="Times New Roman"/>
                <w:bCs/>
                <w:color w:val="auto"/>
                <w:kern w:val="2"/>
                <w:szCs w:val="28"/>
              </w:rPr>
              <w:t>本项目无组织废气排放情况见下表：</w:t>
            </w:r>
          </w:p>
          <w:p w14:paraId="36123429">
            <w:pPr>
              <w:pStyle w:val="67"/>
              <w:keepNext w:val="0"/>
              <w:keepLines w:val="0"/>
              <w:widowControl/>
              <w:suppressLineNumbers w:val="0"/>
              <w:adjustRightInd/>
              <w:spacing w:before="0" w:beforeAutospacing="0" w:after="0" w:afterAutospacing="0" w:line="360" w:lineRule="auto"/>
              <w:ind w:left="0" w:right="0" w:firstLine="0"/>
              <w:jc w:val="center"/>
              <w:rPr>
                <w:rFonts w:hint="default" w:eastAsia="黑体"/>
                <w:bCs/>
                <w:color w:val="auto"/>
                <w:kern w:val="2"/>
                <w:szCs w:val="22"/>
              </w:rPr>
            </w:pPr>
            <w:r>
              <w:rPr>
                <w:rFonts w:hint="default" w:eastAsia="黑体"/>
                <w:bCs/>
                <w:color w:val="auto"/>
                <w:kern w:val="2"/>
                <w:szCs w:val="22"/>
              </w:rPr>
              <w:t>表</w:t>
            </w:r>
            <w:r>
              <w:rPr>
                <w:rFonts w:hint="default" w:ascii="Times New Roman" w:hAnsi="Times New Roman" w:eastAsia="黑体"/>
                <w:bCs/>
                <w:color w:val="auto"/>
                <w:kern w:val="2"/>
                <w:szCs w:val="22"/>
              </w:rPr>
              <w:t>4-</w:t>
            </w:r>
            <w:r>
              <w:rPr>
                <w:rFonts w:hint="eastAsia" w:ascii="Times New Roman" w:hAnsi="Times New Roman" w:eastAsia="黑体"/>
                <w:bCs/>
                <w:color w:val="auto"/>
                <w:kern w:val="2"/>
                <w:szCs w:val="22"/>
                <w:lang w:val="en-US" w:eastAsia="zh-CN"/>
              </w:rPr>
              <w:t>2</w:t>
            </w:r>
            <w:r>
              <w:rPr>
                <w:rFonts w:hint="default" w:eastAsia="黑体"/>
                <w:bCs/>
                <w:color w:val="auto"/>
                <w:kern w:val="2"/>
                <w:szCs w:val="22"/>
              </w:rPr>
              <w:t xml:space="preserve">  项目无组织废气产生和排放情况表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2309"/>
              <w:gridCol w:w="1736"/>
              <w:gridCol w:w="1943"/>
              <w:gridCol w:w="2060"/>
              <w:gridCol w:w="1231"/>
              <w:gridCol w:w="2741"/>
            </w:tblGrid>
            <w:tr w14:paraId="1C5844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938" w:type="dxa"/>
                  <w:tcBorders>
                    <w:top w:val="single" w:color="auto" w:sz="12" w:space="0"/>
                    <w:left w:val="nil"/>
                    <w:bottom w:val="single" w:color="auto" w:sz="4" w:space="0"/>
                    <w:right w:val="single" w:color="auto" w:sz="4" w:space="0"/>
                  </w:tcBorders>
                  <w:vAlign w:val="center"/>
                </w:tcPr>
                <w:p w14:paraId="2E99FCF6">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污染源</w:t>
                  </w:r>
                </w:p>
              </w:tc>
              <w:tc>
                <w:tcPr>
                  <w:tcW w:w="2309" w:type="dxa"/>
                  <w:tcBorders>
                    <w:top w:val="single" w:color="auto" w:sz="12" w:space="0"/>
                    <w:left w:val="single" w:color="auto" w:sz="4" w:space="0"/>
                    <w:bottom w:val="single" w:color="auto" w:sz="4" w:space="0"/>
                    <w:right w:val="single" w:color="auto" w:sz="4" w:space="0"/>
                  </w:tcBorders>
                  <w:vAlign w:val="center"/>
                </w:tcPr>
                <w:p w14:paraId="6574B352">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污染物种类</w:t>
                  </w:r>
                </w:p>
              </w:tc>
              <w:tc>
                <w:tcPr>
                  <w:tcW w:w="1736" w:type="dxa"/>
                  <w:tcBorders>
                    <w:top w:val="single" w:color="auto" w:sz="12" w:space="0"/>
                    <w:left w:val="single" w:color="auto" w:sz="4" w:space="0"/>
                    <w:bottom w:val="single" w:color="auto" w:sz="4" w:space="0"/>
                    <w:right w:val="single" w:color="auto" w:sz="4" w:space="0"/>
                  </w:tcBorders>
                  <w:vAlign w:val="center"/>
                </w:tcPr>
                <w:p w14:paraId="1DD7A943">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产生量（t/a）</w:t>
                  </w:r>
                </w:p>
              </w:tc>
              <w:tc>
                <w:tcPr>
                  <w:tcW w:w="1943" w:type="dxa"/>
                  <w:tcBorders>
                    <w:top w:val="single" w:color="auto" w:sz="12" w:space="0"/>
                    <w:left w:val="single" w:color="auto" w:sz="4" w:space="0"/>
                    <w:bottom w:val="single" w:color="auto" w:sz="4" w:space="0"/>
                    <w:right w:val="single" w:color="auto" w:sz="4" w:space="0"/>
                  </w:tcBorders>
                  <w:vAlign w:val="center"/>
                </w:tcPr>
                <w:p w14:paraId="489C4E80">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治理措施</w:t>
                  </w:r>
                </w:p>
              </w:tc>
              <w:tc>
                <w:tcPr>
                  <w:tcW w:w="2060" w:type="dxa"/>
                  <w:tcBorders>
                    <w:top w:val="single" w:color="auto" w:sz="12" w:space="0"/>
                    <w:left w:val="single" w:color="auto" w:sz="4" w:space="0"/>
                    <w:bottom w:val="single" w:color="auto" w:sz="4" w:space="0"/>
                    <w:right w:val="single" w:color="auto" w:sz="4" w:space="0"/>
                  </w:tcBorders>
                  <w:vAlign w:val="center"/>
                </w:tcPr>
                <w:p w14:paraId="7EEAAF47">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面源面积</w:t>
                  </w:r>
                </w:p>
              </w:tc>
              <w:tc>
                <w:tcPr>
                  <w:tcW w:w="1231" w:type="dxa"/>
                  <w:tcBorders>
                    <w:top w:val="single" w:color="auto" w:sz="12" w:space="0"/>
                    <w:left w:val="single" w:color="auto" w:sz="4" w:space="0"/>
                    <w:bottom w:val="single" w:color="auto" w:sz="4" w:space="0"/>
                    <w:right w:val="single" w:color="auto" w:sz="4" w:space="0"/>
                  </w:tcBorders>
                  <w:vAlign w:val="center"/>
                </w:tcPr>
                <w:p w14:paraId="398BC2E5">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高度</w:t>
                  </w:r>
                </w:p>
              </w:tc>
              <w:tc>
                <w:tcPr>
                  <w:tcW w:w="2741" w:type="dxa"/>
                  <w:tcBorders>
                    <w:top w:val="single" w:color="auto" w:sz="12" w:space="0"/>
                    <w:left w:val="single" w:color="auto" w:sz="4" w:space="0"/>
                    <w:bottom w:val="single" w:color="auto" w:sz="4" w:space="0"/>
                    <w:right w:val="nil"/>
                  </w:tcBorders>
                  <w:vAlign w:val="center"/>
                </w:tcPr>
                <w:p w14:paraId="692CF3CD">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污染物排放量（t/a）</w:t>
                  </w:r>
                </w:p>
              </w:tc>
            </w:tr>
            <w:tr w14:paraId="14F6CF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38" w:type="dxa"/>
                  <w:tcBorders>
                    <w:top w:val="single" w:color="auto" w:sz="4" w:space="0"/>
                    <w:left w:val="nil"/>
                    <w:right w:val="single" w:color="auto" w:sz="4" w:space="0"/>
                  </w:tcBorders>
                  <w:vAlign w:val="center"/>
                </w:tcPr>
                <w:p w14:paraId="70F3920E">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厂房</w:t>
                  </w:r>
                </w:p>
              </w:tc>
              <w:tc>
                <w:tcPr>
                  <w:tcW w:w="2309" w:type="dxa"/>
                  <w:tcBorders>
                    <w:top w:val="single" w:color="auto" w:sz="4" w:space="0"/>
                    <w:left w:val="single" w:color="auto" w:sz="4" w:space="0"/>
                    <w:right w:val="single" w:color="auto" w:sz="4" w:space="0"/>
                  </w:tcBorders>
                  <w:vAlign w:val="center"/>
                </w:tcPr>
                <w:p w14:paraId="154CE121">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非甲烷总烃</w:t>
                  </w:r>
                </w:p>
              </w:tc>
              <w:tc>
                <w:tcPr>
                  <w:tcW w:w="1736" w:type="dxa"/>
                  <w:tcBorders>
                    <w:top w:val="single" w:color="auto" w:sz="4" w:space="0"/>
                    <w:left w:val="single" w:color="auto" w:sz="4" w:space="0"/>
                    <w:right w:val="single" w:color="auto" w:sz="4" w:space="0"/>
                  </w:tcBorders>
                  <w:vAlign w:val="center"/>
                </w:tcPr>
                <w:p w14:paraId="7B57FF91">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bCs/>
                      <w:color w:val="auto"/>
                      <w:kern w:val="2"/>
                      <w:sz w:val="21"/>
                      <w:szCs w:val="21"/>
                      <w:lang w:val="en-US" w:eastAsia="zh-CN"/>
                    </w:rPr>
                  </w:pPr>
                  <w:r>
                    <w:rPr>
                      <w:rFonts w:hint="eastAsia" w:ascii="Times New Roman" w:hAnsi="Times New Roman"/>
                      <w:bCs/>
                      <w:color w:val="auto"/>
                      <w:kern w:val="2"/>
                      <w:sz w:val="21"/>
                      <w:szCs w:val="21"/>
                    </w:rPr>
                    <w:t>0.0</w:t>
                  </w:r>
                  <w:r>
                    <w:rPr>
                      <w:rFonts w:hint="eastAsia" w:ascii="Times New Roman" w:hAnsi="Times New Roman"/>
                      <w:bCs/>
                      <w:color w:val="auto"/>
                      <w:kern w:val="2"/>
                      <w:sz w:val="21"/>
                      <w:szCs w:val="21"/>
                      <w:lang w:val="en-US" w:eastAsia="zh-CN"/>
                    </w:rPr>
                    <w:t>48</w:t>
                  </w:r>
                </w:p>
              </w:tc>
              <w:tc>
                <w:tcPr>
                  <w:tcW w:w="1943" w:type="dxa"/>
                  <w:tcBorders>
                    <w:top w:val="single" w:color="auto" w:sz="4" w:space="0"/>
                    <w:left w:val="single" w:color="auto" w:sz="4" w:space="0"/>
                    <w:right w:val="single" w:color="auto" w:sz="4" w:space="0"/>
                  </w:tcBorders>
                  <w:vAlign w:val="center"/>
                </w:tcPr>
                <w:p w14:paraId="5E923DF0">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w:t>
                  </w:r>
                </w:p>
              </w:tc>
              <w:tc>
                <w:tcPr>
                  <w:tcW w:w="2060" w:type="dxa"/>
                  <w:tcBorders>
                    <w:top w:val="single" w:color="auto" w:sz="4" w:space="0"/>
                    <w:left w:val="single" w:color="auto" w:sz="4" w:space="0"/>
                    <w:right w:val="single" w:color="auto" w:sz="4" w:space="0"/>
                  </w:tcBorders>
                  <w:vAlign w:val="center"/>
                </w:tcPr>
                <w:p w14:paraId="09FC7A60">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8437.15</w:t>
                  </w:r>
                  <w:r>
                    <w:rPr>
                      <w:rFonts w:hint="default" w:ascii="Times New Roman" w:hAnsi="Times New Roman"/>
                      <w:color w:val="auto"/>
                      <w:kern w:val="2"/>
                      <w:sz w:val="21"/>
                      <w:szCs w:val="21"/>
                    </w:rPr>
                    <w:t>m</w:t>
                  </w:r>
                  <w:r>
                    <w:rPr>
                      <w:rFonts w:hint="default" w:ascii="Times New Roman" w:hAnsi="Times New Roman"/>
                      <w:color w:val="auto"/>
                      <w:kern w:val="2"/>
                      <w:sz w:val="21"/>
                      <w:szCs w:val="21"/>
                      <w:vertAlign w:val="superscript"/>
                    </w:rPr>
                    <w:t>2</w:t>
                  </w:r>
                </w:p>
              </w:tc>
              <w:tc>
                <w:tcPr>
                  <w:tcW w:w="1231" w:type="dxa"/>
                  <w:tcBorders>
                    <w:top w:val="single" w:color="auto" w:sz="4" w:space="0"/>
                    <w:left w:val="single" w:color="auto" w:sz="4" w:space="0"/>
                    <w:right w:val="single" w:color="auto" w:sz="4" w:space="0"/>
                  </w:tcBorders>
                  <w:vAlign w:val="center"/>
                </w:tcPr>
                <w:p w14:paraId="67185445">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8</w:t>
                  </w:r>
                  <w:r>
                    <w:rPr>
                      <w:rFonts w:hint="default" w:ascii="Times New Roman" w:hAnsi="Times New Roman"/>
                      <w:color w:val="auto"/>
                      <w:kern w:val="2"/>
                      <w:sz w:val="21"/>
                      <w:szCs w:val="21"/>
                    </w:rPr>
                    <w:t>m</w:t>
                  </w:r>
                </w:p>
              </w:tc>
              <w:tc>
                <w:tcPr>
                  <w:tcW w:w="2741" w:type="dxa"/>
                  <w:tcBorders>
                    <w:top w:val="single" w:color="auto" w:sz="4" w:space="0"/>
                    <w:left w:val="single" w:color="auto" w:sz="4" w:space="0"/>
                    <w:right w:val="nil"/>
                  </w:tcBorders>
                  <w:vAlign w:val="center"/>
                </w:tcPr>
                <w:p w14:paraId="120871C6">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bCs/>
                      <w:color w:val="auto"/>
                      <w:kern w:val="2"/>
                      <w:sz w:val="21"/>
                      <w:szCs w:val="21"/>
                      <w:lang w:val="en-US" w:eastAsia="zh-CN"/>
                    </w:rPr>
                  </w:pPr>
                  <w:r>
                    <w:rPr>
                      <w:rFonts w:hint="eastAsia" w:ascii="Times New Roman" w:hAnsi="Times New Roman"/>
                      <w:bCs/>
                      <w:color w:val="auto"/>
                      <w:kern w:val="2"/>
                      <w:sz w:val="21"/>
                      <w:szCs w:val="21"/>
                    </w:rPr>
                    <w:t>0.0</w:t>
                  </w:r>
                  <w:r>
                    <w:rPr>
                      <w:rFonts w:hint="eastAsia" w:ascii="Times New Roman" w:hAnsi="Times New Roman"/>
                      <w:bCs/>
                      <w:color w:val="auto"/>
                      <w:kern w:val="2"/>
                      <w:sz w:val="21"/>
                      <w:szCs w:val="21"/>
                      <w:lang w:val="en-US" w:eastAsia="zh-CN"/>
                    </w:rPr>
                    <w:t>48</w:t>
                  </w:r>
                </w:p>
              </w:tc>
            </w:tr>
          </w:tbl>
          <w:p w14:paraId="40E6F5AF">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黑体" w:cs="Times New Roman"/>
                <w:color w:val="auto"/>
                <w:kern w:val="2"/>
                <w:sz w:val="24"/>
                <w:szCs w:val="24"/>
                <w:lang w:val="en-US" w:eastAsia="zh-CN" w:bidi="ar"/>
              </w:rPr>
            </w:pPr>
          </w:p>
          <w:p w14:paraId="03F50118">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黑体" w:cs="Times New Roman"/>
                <w:color w:val="auto"/>
                <w:kern w:val="2"/>
                <w:sz w:val="24"/>
                <w:szCs w:val="24"/>
                <w:lang w:val="en-US" w:eastAsia="zh-CN" w:bidi="ar"/>
              </w:rPr>
            </w:pPr>
          </w:p>
          <w:p w14:paraId="69304294">
            <w:pPr>
              <w:keepNext w:val="0"/>
              <w:keepLines w:val="0"/>
              <w:widowControl/>
              <w:suppressLineNumbers w:val="0"/>
              <w:spacing w:before="0" w:beforeAutospacing="0" w:after="0" w:afterAutospacing="0" w:line="360" w:lineRule="auto"/>
              <w:ind w:left="0" w:right="0" w:firstLine="480" w:firstLineChars="200"/>
              <w:rPr>
                <w:rFonts w:hint="eastAsia" w:ascii="Times New Roman" w:hAnsi="Times New Roman" w:eastAsia="黑体" w:cs="Times New Roman"/>
                <w:color w:val="auto"/>
                <w:kern w:val="2"/>
                <w:sz w:val="24"/>
                <w:szCs w:val="24"/>
                <w:lang w:val="en-US" w:eastAsia="zh-CN" w:bidi="ar"/>
              </w:rPr>
            </w:pPr>
          </w:p>
          <w:p w14:paraId="4D552FDB">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黑体"/>
                <w:color w:val="auto"/>
                <w:kern w:val="2"/>
              </w:rPr>
            </w:pPr>
            <w:r>
              <w:rPr>
                <w:rFonts w:hint="eastAsia" w:ascii="Times New Roman" w:hAnsi="Times New Roman" w:eastAsia="黑体" w:cs="Times New Roman"/>
                <w:color w:val="auto"/>
                <w:kern w:val="2"/>
                <w:sz w:val="24"/>
                <w:szCs w:val="24"/>
                <w:lang w:val="en-US" w:eastAsia="zh-CN" w:bidi="ar"/>
              </w:rPr>
              <w:t>扩建后全厂</w:t>
            </w:r>
            <w:r>
              <w:rPr>
                <w:rFonts w:hint="default" w:ascii="Times New Roman" w:hAnsi="Times New Roman"/>
                <w:bCs/>
                <w:color w:val="auto"/>
                <w:kern w:val="2"/>
                <w:szCs w:val="28"/>
              </w:rPr>
              <w:t>有组织废气排放情况见下表：</w:t>
            </w:r>
          </w:p>
          <w:p w14:paraId="3ADA3D6B">
            <w:pPr>
              <w:keepNext w:val="0"/>
              <w:keepLines w:val="0"/>
              <w:widowControl/>
              <w:suppressLineNumbers w:val="0"/>
              <w:spacing w:before="0" w:beforeAutospacing="0" w:after="0" w:afterAutospacing="0" w:line="360" w:lineRule="auto"/>
              <w:ind w:left="0" w:right="0"/>
              <w:jc w:val="center"/>
              <w:outlineLvl w:val="0"/>
              <w:rPr>
                <w:rFonts w:hint="default" w:ascii="Times New Roman" w:hAnsi="Times New Roman" w:eastAsia="黑体"/>
                <w:color w:val="auto"/>
                <w:kern w:val="2"/>
              </w:rPr>
            </w:pPr>
            <w:r>
              <w:rPr>
                <w:rFonts w:hint="default" w:ascii="Times New Roman" w:hAnsi="Times New Roman" w:eastAsia="黑体"/>
                <w:color w:val="auto"/>
                <w:kern w:val="2"/>
              </w:rPr>
              <w:t>表4-</w:t>
            </w:r>
            <w:r>
              <w:rPr>
                <w:rFonts w:hint="eastAsia" w:ascii="Times New Roman" w:hAnsi="Times New Roman" w:eastAsia="黑体"/>
                <w:color w:val="auto"/>
                <w:kern w:val="2"/>
                <w:lang w:val="en-US" w:eastAsia="zh-CN"/>
              </w:rPr>
              <w:t>3</w:t>
            </w:r>
            <w:r>
              <w:rPr>
                <w:rFonts w:hint="default" w:ascii="Times New Roman" w:hAnsi="Times New Roman" w:eastAsia="黑体"/>
                <w:color w:val="auto"/>
                <w:kern w:val="2"/>
              </w:rPr>
              <w:t xml:space="preserve">  </w:t>
            </w:r>
            <w:r>
              <w:rPr>
                <w:rFonts w:hint="eastAsia" w:ascii="Times New Roman" w:hAnsi="Times New Roman" w:eastAsia="黑体" w:cs="Times New Roman"/>
                <w:color w:val="auto"/>
                <w:kern w:val="2"/>
                <w:sz w:val="24"/>
                <w:szCs w:val="24"/>
                <w:lang w:val="en-US" w:eastAsia="zh-CN" w:bidi="ar"/>
              </w:rPr>
              <w:t>扩建后全厂</w:t>
            </w:r>
            <w:r>
              <w:rPr>
                <w:rFonts w:hint="default" w:ascii="Times New Roman" w:hAnsi="Times New Roman" w:eastAsia="黑体"/>
                <w:color w:val="auto"/>
                <w:kern w:val="2"/>
              </w:rPr>
              <w:t>有组织废气产生和排放情况表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5"/>
              <w:gridCol w:w="640"/>
              <w:gridCol w:w="434"/>
              <w:gridCol w:w="693"/>
              <w:gridCol w:w="836"/>
              <w:gridCol w:w="707"/>
              <w:gridCol w:w="914"/>
              <w:gridCol w:w="811"/>
              <w:gridCol w:w="716"/>
              <w:gridCol w:w="986"/>
              <w:gridCol w:w="805"/>
              <w:gridCol w:w="626"/>
              <w:gridCol w:w="558"/>
              <w:gridCol w:w="865"/>
              <w:gridCol w:w="461"/>
              <w:gridCol w:w="611"/>
              <w:gridCol w:w="564"/>
              <w:gridCol w:w="422"/>
              <w:gridCol w:w="1644"/>
            </w:tblGrid>
            <w:tr w14:paraId="4B2266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38" w:type="pct"/>
                  <w:vMerge w:val="restart"/>
                  <w:tcBorders>
                    <w:top w:val="single" w:color="auto" w:sz="12" w:space="0"/>
                    <w:left w:val="nil"/>
                  </w:tcBorders>
                  <w:vAlign w:val="center"/>
                </w:tcPr>
                <w:p w14:paraId="2BA93741">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产污环节</w:t>
                  </w:r>
                </w:p>
              </w:tc>
              <w:tc>
                <w:tcPr>
                  <w:tcW w:w="229" w:type="pct"/>
                  <w:vMerge w:val="restart"/>
                  <w:tcBorders>
                    <w:top w:val="single" w:color="auto" w:sz="12" w:space="0"/>
                  </w:tcBorders>
                  <w:vAlign w:val="center"/>
                </w:tcPr>
                <w:p w14:paraId="649FFFF2">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原料类型</w:t>
                  </w:r>
                </w:p>
              </w:tc>
              <w:tc>
                <w:tcPr>
                  <w:tcW w:w="155" w:type="pct"/>
                  <w:vMerge w:val="restart"/>
                  <w:tcBorders>
                    <w:top w:val="single" w:color="auto" w:sz="12" w:space="0"/>
                  </w:tcBorders>
                  <w:vAlign w:val="center"/>
                </w:tcPr>
                <w:p w14:paraId="21F35BC0">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污染物</w:t>
                  </w:r>
                </w:p>
              </w:tc>
              <w:tc>
                <w:tcPr>
                  <w:tcW w:w="800" w:type="pct"/>
                  <w:gridSpan w:val="3"/>
                  <w:tcBorders>
                    <w:top w:val="single" w:color="auto" w:sz="12" w:space="0"/>
                  </w:tcBorders>
                  <w:vAlign w:val="center"/>
                </w:tcPr>
                <w:p w14:paraId="6A20DCEB">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污染物产生情况</w:t>
                  </w:r>
                </w:p>
              </w:tc>
              <w:tc>
                <w:tcPr>
                  <w:tcW w:w="327" w:type="pct"/>
                  <w:vMerge w:val="restart"/>
                  <w:tcBorders>
                    <w:top w:val="single" w:color="auto" w:sz="12" w:space="0"/>
                  </w:tcBorders>
                  <w:vAlign w:val="center"/>
                </w:tcPr>
                <w:p w14:paraId="6EF1E63F">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收集及治理设施</w:t>
                  </w:r>
                </w:p>
              </w:tc>
              <w:tc>
                <w:tcPr>
                  <w:tcW w:w="290" w:type="pct"/>
                  <w:vMerge w:val="restart"/>
                  <w:tcBorders>
                    <w:top w:val="single" w:color="auto" w:sz="12" w:space="0"/>
                  </w:tcBorders>
                  <w:vAlign w:val="center"/>
                </w:tcPr>
                <w:p w14:paraId="23D3C476">
                  <w:pPr>
                    <w:keepNext w:val="0"/>
                    <w:keepLines w:val="0"/>
                    <w:widowControl/>
                    <w:suppressLineNumbers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风机风量m</w:t>
                  </w:r>
                  <w:r>
                    <w:rPr>
                      <w:rFonts w:hint="default" w:ascii="Times New Roman" w:hAnsi="Times New Roman"/>
                      <w:b/>
                      <w:bCs/>
                      <w:color w:val="auto"/>
                      <w:kern w:val="2"/>
                      <w:sz w:val="21"/>
                      <w:szCs w:val="21"/>
                      <w:vertAlign w:val="superscript"/>
                    </w:rPr>
                    <w:t>3</w:t>
                  </w:r>
                  <w:r>
                    <w:rPr>
                      <w:rFonts w:hint="default" w:ascii="Times New Roman" w:hAnsi="Times New Roman"/>
                      <w:b/>
                      <w:bCs/>
                      <w:color w:val="auto"/>
                      <w:kern w:val="2"/>
                      <w:sz w:val="21"/>
                      <w:szCs w:val="21"/>
                    </w:rPr>
                    <w:t>/h</w:t>
                  </w:r>
                </w:p>
              </w:tc>
              <w:tc>
                <w:tcPr>
                  <w:tcW w:w="898" w:type="pct"/>
                  <w:gridSpan w:val="3"/>
                  <w:tcBorders>
                    <w:top w:val="single" w:color="auto" w:sz="12" w:space="0"/>
                  </w:tcBorders>
                  <w:vAlign w:val="center"/>
                </w:tcPr>
                <w:p w14:paraId="3A41EA58">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污染物排放情况</w:t>
                  </w:r>
                </w:p>
              </w:tc>
              <w:tc>
                <w:tcPr>
                  <w:tcW w:w="424" w:type="pct"/>
                  <w:gridSpan w:val="2"/>
                  <w:tcBorders>
                    <w:top w:val="single" w:color="auto" w:sz="12" w:space="0"/>
                  </w:tcBorders>
                  <w:vAlign w:val="center"/>
                </w:tcPr>
                <w:p w14:paraId="7DB2E549">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排放标准</w:t>
                  </w:r>
                </w:p>
              </w:tc>
              <w:tc>
                <w:tcPr>
                  <w:tcW w:w="1635" w:type="pct"/>
                  <w:gridSpan w:val="6"/>
                  <w:tcBorders>
                    <w:top w:val="single" w:color="auto" w:sz="12" w:space="0"/>
                    <w:right w:val="nil"/>
                  </w:tcBorders>
                  <w:vAlign w:val="center"/>
                </w:tcPr>
                <w:p w14:paraId="30FCC229">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排气筒基本情况</w:t>
                  </w:r>
                </w:p>
              </w:tc>
            </w:tr>
            <w:tr w14:paraId="7CDE6A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06" w:hRule="atLeast"/>
                <w:jc w:val="center"/>
              </w:trPr>
              <w:tc>
                <w:tcPr>
                  <w:tcW w:w="238" w:type="pct"/>
                  <w:vMerge w:val="continue"/>
                  <w:tcBorders>
                    <w:left w:val="nil"/>
                  </w:tcBorders>
                  <w:vAlign w:val="center"/>
                </w:tcPr>
                <w:p w14:paraId="31E5CB7D">
                  <w:pPr>
                    <w:keepNext w:val="0"/>
                    <w:keepLines w:val="0"/>
                    <w:widowControl/>
                    <w:suppressLineNumbers w:val="0"/>
                    <w:spacing w:before="0" w:beforeAutospacing="0" w:after="0" w:afterAutospacing="0" w:line="276" w:lineRule="auto"/>
                    <w:ind w:left="0" w:right="0"/>
                    <w:rPr>
                      <w:rFonts w:hint="default" w:ascii="Times New Roman" w:hAnsi="Times New Roman"/>
                      <w:b/>
                      <w:color w:val="auto"/>
                      <w:kern w:val="2"/>
                      <w:sz w:val="21"/>
                      <w:szCs w:val="21"/>
                    </w:rPr>
                  </w:pPr>
                </w:p>
              </w:tc>
              <w:tc>
                <w:tcPr>
                  <w:tcW w:w="229" w:type="pct"/>
                  <w:vMerge w:val="continue"/>
                  <w:vAlign w:val="center"/>
                </w:tcPr>
                <w:p w14:paraId="634011F4">
                  <w:pPr>
                    <w:keepNext w:val="0"/>
                    <w:keepLines w:val="0"/>
                    <w:widowControl/>
                    <w:suppressLineNumbers w:val="0"/>
                    <w:spacing w:before="0" w:beforeAutospacing="0" w:after="0" w:afterAutospacing="0" w:line="276" w:lineRule="auto"/>
                    <w:ind w:left="0" w:right="0"/>
                    <w:rPr>
                      <w:rFonts w:hint="default" w:ascii="Times New Roman" w:hAnsi="Times New Roman"/>
                      <w:b/>
                      <w:color w:val="auto"/>
                      <w:kern w:val="2"/>
                      <w:sz w:val="21"/>
                      <w:szCs w:val="21"/>
                    </w:rPr>
                  </w:pPr>
                </w:p>
              </w:tc>
              <w:tc>
                <w:tcPr>
                  <w:tcW w:w="155" w:type="pct"/>
                  <w:vMerge w:val="continue"/>
                  <w:vAlign w:val="center"/>
                </w:tcPr>
                <w:p w14:paraId="4FC49D19">
                  <w:pPr>
                    <w:keepNext w:val="0"/>
                    <w:keepLines w:val="0"/>
                    <w:widowControl/>
                    <w:suppressLineNumbers w:val="0"/>
                    <w:spacing w:before="0" w:beforeAutospacing="0" w:after="0" w:afterAutospacing="0" w:line="276" w:lineRule="auto"/>
                    <w:ind w:left="0" w:right="0"/>
                    <w:rPr>
                      <w:rFonts w:hint="default" w:ascii="Times New Roman" w:hAnsi="Times New Roman"/>
                      <w:b/>
                      <w:color w:val="auto"/>
                      <w:kern w:val="2"/>
                      <w:sz w:val="21"/>
                      <w:szCs w:val="21"/>
                    </w:rPr>
                  </w:pPr>
                </w:p>
              </w:tc>
              <w:tc>
                <w:tcPr>
                  <w:tcW w:w="248" w:type="pct"/>
                  <w:vAlign w:val="center"/>
                </w:tcPr>
                <w:p w14:paraId="64A494B7">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浓度mg/m</w:t>
                  </w:r>
                  <w:r>
                    <w:rPr>
                      <w:rFonts w:hint="default" w:ascii="Times New Roman" w:hAnsi="Times New Roman"/>
                      <w:b/>
                      <w:color w:val="auto"/>
                      <w:kern w:val="2"/>
                      <w:sz w:val="21"/>
                      <w:szCs w:val="21"/>
                      <w:vertAlign w:val="superscript"/>
                    </w:rPr>
                    <w:t>3</w:t>
                  </w:r>
                </w:p>
              </w:tc>
              <w:tc>
                <w:tcPr>
                  <w:tcW w:w="299" w:type="pct"/>
                  <w:vAlign w:val="center"/>
                </w:tcPr>
                <w:p w14:paraId="072C44E6">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速率kg/h</w:t>
                  </w:r>
                </w:p>
              </w:tc>
              <w:tc>
                <w:tcPr>
                  <w:tcW w:w="253" w:type="pct"/>
                  <w:vAlign w:val="center"/>
                </w:tcPr>
                <w:p w14:paraId="1113D0D1">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产生量t/a</w:t>
                  </w:r>
                </w:p>
              </w:tc>
              <w:tc>
                <w:tcPr>
                  <w:tcW w:w="327" w:type="pct"/>
                  <w:vMerge w:val="continue"/>
                  <w:vAlign w:val="center"/>
                </w:tcPr>
                <w:p w14:paraId="03E792EF">
                  <w:pPr>
                    <w:keepNext w:val="0"/>
                    <w:keepLines w:val="0"/>
                    <w:widowControl/>
                    <w:suppressLineNumbers w:val="0"/>
                    <w:spacing w:before="0" w:beforeAutospacing="0" w:after="0" w:afterAutospacing="0" w:line="276" w:lineRule="auto"/>
                    <w:ind w:left="0" w:right="0"/>
                    <w:rPr>
                      <w:rFonts w:hint="default" w:ascii="Times New Roman" w:hAnsi="Times New Roman"/>
                      <w:b/>
                      <w:color w:val="auto"/>
                      <w:kern w:val="2"/>
                      <w:sz w:val="21"/>
                      <w:szCs w:val="21"/>
                    </w:rPr>
                  </w:pPr>
                </w:p>
              </w:tc>
              <w:tc>
                <w:tcPr>
                  <w:tcW w:w="290" w:type="pct"/>
                  <w:vMerge w:val="continue"/>
                  <w:vAlign w:val="center"/>
                </w:tcPr>
                <w:p w14:paraId="2F5E7C23">
                  <w:pPr>
                    <w:keepNext w:val="0"/>
                    <w:keepLines w:val="0"/>
                    <w:widowControl/>
                    <w:suppressLineNumbers w:val="0"/>
                    <w:spacing w:before="0" w:beforeAutospacing="0" w:after="0" w:afterAutospacing="0" w:line="276" w:lineRule="auto"/>
                    <w:ind w:left="0" w:right="0"/>
                    <w:rPr>
                      <w:rFonts w:hint="default" w:ascii="Times New Roman" w:hAnsi="Times New Roman"/>
                      <w:b/>
                      <w:bCs/>
                      <w:color w:val="auto"/>
                      <w:kern w:val="2"/>
                      <w:sz w:val="21"/>
                      <w:szCs w:val="21"/>
                    </w:rPr>
                  </w:pPr>
                </w:p>
              </w:tc>
              <w:tc>
                <w:tcPr>
                  <w:tcW w:w="256" w:type="pct"/>
                  <w:vAlign w:val="center"/>
                </w:tcPr>
                <w:p w14:paraId="195F44A7">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highlight w:val="yellow"/>
                    </w:rPr>
                  </w:pPr>
                  <w:r>
                    <w:rPr>
                      <w:rFonts w:hint="default" w:ascii="Times New Roman" w:hAnsi="Times New Roman"/>
                      <w:b/>
                      <w:color w:val="auto"/>
                      <w:kern w:val="2"/>
                      <w:sz w:val="21"/>
                      <w:szCs w:val="21"/>
                      <w:highlight w:val="none"/>
                    </w:rPr>
                    <w:t>浓度mg/m</w:t>
                  </w:r>
                  <w:r>
                    <w:rPr>
                      <w:rFonts w:hint="default" w:ascii="Times New Roman" w:hAnsi="Times New Roman"/>
                      <w:b/>
                      <w:color w:val="auto"/>
                      <w:kern w:val="2"/>
                      <w:sz w:val="21"/>
                      <w:szCs w:val="21"/>
                      <w:highlight w:val="none"/>
                      <w:vertAlign w:val="superscript"/>
                    </w:rPr>
                    <w:t>3</w:t>
                  </w:r>
                </w:p>
              </w:tc>
              <w:tc>
                <w:tcPr>
                  <w:tcW w:w="353" w:type="pct"/>
                  <w:vAlign w:val="center"/>
                </w:tcPr>
                <w:p w14:paraId="71D23C7A">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highlight w:val="yellow"/>
                    </w:rPr>
                  </w:pPr>
                  <w:r>
                    <w:rPr>
                      <w:rFonts w:hint="default" w:ascii="Times New Roman" w:hAnsi="Times New Roman"/>
                      <w:b/>
                      <w:color w:val="auto"/>
                      <w:kern w:val="2"/>
                      <w:sz w:val="21"/>
                      <w:szCs w:val="21"/>
                      <w:highlight w:val="none"/>
                    </w:rPr>
                    <w:t>速率kg/h</w:t>
                  </w:r>
                </w:p>
              </w:tc>
              <w:tc>
                <w:tcPr>
                  <w:tcW w:w="288" w:type="pct"/>
                  <w:vAlign w:val="center"/>
                </w:tcPr>
                <w:p w14:paraId="4E9F97CF">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highlight w:val="yellow"/>
                    </w:rPr>
                  </w:pPr>
                  <w:r>
                    <w:rPr>
                      <w:rFonts w:hint="default" w:ascii="Times New Roman" w:hAnsi="Times New Roman"/>
                      <w:b/>
                      <w:color w:val="auto"/>
                      <w:kern w:val="2"/>
                      <w:sz w:val="21"/>
                      <w:szCs w:val="21"/>
                      <w:highlight w:val="none"/>
                    </w:rPr>
                    <w:t>排放量t/a</w:t>
                  </w:r>
                </w:p>
              </w:tc>
              <w:tc>
                <w:tcPr>
                  <w:tcW w:w="224" w:type="pct"/>
                  <w:vAlign w:val="center"/>
                </w:tcPr>
                <w:p w14:paraId="5BA8C6F1">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浓度mg/m</w:t>
                  </w:r>
                  <w:r>
                    <w:rPr>
                      <w:rFonts w:hint="default" w:ascii="Times New Roman" w:hAnsi="Times New Roman"/>
                      <w:b/>
                      <w:color w:val="auto"/>
                      <w:kern w:val="2"/>
                      <w:sz w:val="21"/>
                      <w:szCs w:val="21"/>
                      <w:vertAlign w:val="superscript"/>
                    </w:rPr>
                    <w:t>3</w:t>
                  </w:r>
                </w:p>
              </w:tc>
              <w:tc>
                <w:tcPr>
                  <w:tcW w:w="199" w:type="pct"/>
                  <w:vAlign w:val="center"/>
                </w:tcPr>
                <w:p w14:paraId="4B205EDD">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速率kg/h</w:t>
                  </w:r>
                </w:p>
              </w:tc>
              <w:tc>
                <w:tcPr>
                  <w:tcW w:w="309" w:type="pct"/>
                  <w:vAlign w:val="center"/>
                </w:tcPr>
                <w:p w14:paraId="20FCB327">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编号</w:t>
                  </w:r>
                </w:p>
              </w:tc>
              <w:tc>
                <w:tcPr>
                  <w:tcW w:w="165" w:type="pct"/>
                  <w:vAlign w:val="center"/>
                </w:tcPr>
                <w:p w14:paraId="32A6E844">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高度m</w:t>
                  </w:r>
                </w:p>
              </w:tc>
              <w:tc>
                <w:tcPr>
                  <w:tcW w:w="218" w:type="pct"/>
                  <w:vAlign w:val="center"/>
                </w:tcPr>
                <w:p w14:paraId="5664B5DC">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内径</w:t>
                  </w:r>
                </w:p>
                <w:p w14:paraId="62B4DD59">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m</w:t>
                  </w:r>
                </w:p>
              </w:tc>
              <w:tc>
                <w:tcPr>
                  <w:tcW w:w="202" w:type="pct"/>
                  <w:vAlign w:val="center"/>
                </w:tcPr>
                <w:p w14:paraId="586B15E9">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温度</w:t>
                  </w:r>
                </w:p>
                <w:p w14:paraId="1499C8B7">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w:t>
                  </w:r>
                </w:p>
              </w:tc>
              <w:tc>
                <w:tcPr>
                  <w:tcW w:w="151" w:type="pct"/>
                  <w:vAlign w:val="center"/>
                </w:tcPr>
                <w:p w14:paraId="5C930B79">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类型</w:t>
                  </w:r>
                </w:p>
              </w:tc>
              <w:tc>
                <w:tcPr>
                  <w:tcW w:w="588" w:type="pct"/>
                  <w:tcBorders>
                    <w:right w:val="nil"/>
                  </w:tcBorders>
                  <w:vAlign w:val="center"/>
                </w:tcPr>
                <w:p w14:paraId="21E3024E">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地理</w:t>
                  </w:r>
                </w:p>
                <w:p w14:paraId="43898A78">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坐标</w:t>
                  </w:r>
                </w:p>
              </w:tc>
            </w:tr>
            <w:tr w14:paraId="453712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3" w:hRule="atLeast"/>
                <w:jc w:val="center"/>
              </w:trPr>
              <w:tc>
                <w:tcPr>
                  <w:tcW w:w="238" w:type="pct"/>
                  <w:tcBorders>
                    <w:left w:val="nil"/>
                  </w:tcBorders>
                  <w:vAlign w:val="center"/>
                </w:tcPr>
                <w:p w14:paraId="0ECBD3D1">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清洗</w:t>
                  </w:r>
                  <w:r>
                    <w:rPr>
                      <w:rFonts w:hint="eastAsia" w:ascii="Times New Roman" w:hAnsi="Times New Roman"/>
                      <w:color w:val="auto"/>
                      <w:kern w:val="2"/>
                      <w:sz w:val="21"/>
                      <w:szCs w:val="21"/>
                      <w:lang w:eastAsia="zh-CN"/>
                    </w:rPr>
                    <w:t>、</w:t>
                  </w:r>
                  <w:r>
                    <w:rPr>
                      <w:rFonts w:hint="eastAsia" w:ascii="Times New Roman" w:hAnsi="Times New Roman"/>
                      <w:color w:val="auto"/>
                      <w:kern w:val="2"/>
                      <w:sz w:val="21"/>
                      <w:szCs w:val="21"/>
                      <w:lang w:val="en-US" w:eastAsia="zh-CN"/>
                    </w:rPr>
                    <w:t>蒸馏再生</w:t>
                  </w:r>
                  <w:r>
                    <w:rPr>
                      <w:rFonts w:hint="eastAsia" w:ascii="Times New Roman" w:hAnsi="Times New Roman"/>
                      <w:color w:val="auto"/>
                      <w:kern w:val="2"/>
                      <w:sz w:val="21"/>
                      <w:szCs w:val="21"/>
                    </w:rPr>
                    <w:t>工序</w:t>
                  </w:r>
                </w:p>
              </w:tc>
              <w:tc>
                <w:tcPr>
                  <w:tcW w:w="229" w:type="pct"/>
                  <w:vAlign w:val="center"/>
                </w:tcPr>
                <w:p w14:paraId="4BC2802D">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碳氢清洗剂</w:t>
                  </w:r>
                </w:p>
              </w:tc>
              <w:tc>
                <w:tcPr>
                  <w:tcW w:w="155" w:type="pct"/>
                  <w:vAlign w:val="center"/>
                </w:tcPr>
                <w:p w14:paraId="21DD9095">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非甲烷总烃</w:t>
                  </w:r>
                </w:p>
              </w:tc>
              <w:tc>
                <w:tcPr>
                  <w:tcW w:w="248" w:type="pct"/>
                  <w:vAlign w:val="center"/>
                </w:tcPr>
                <w:p w14:paraId="3CA04DFB">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123.87</w:t>
                  </w:r>
                </w:p>
              </w:tc>
              <w:tc>
                <w:tcPr>
                  <w:tcW w:w="299" w:type="pct"/>
                  <w:vAlign w:val="center"/>
                </w:tcPr>
                <w:p w14:paraId="28BFF882">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0.33</w:t>
                  </w:r>
                </w:p>
              </w:tc>
              <w:tc>
                <w:tcPr>
                  <w:tcW w:w="253" w:type="pct"/>
                  <w:vAlign w:val="center"/>
                </w:tcPr>
                <w:p w14:paraId="4CACEC4D">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0.685</w:t>
                  </w:r>
                </w:p>
              </w:tc>
              <w:tc>
                <w:tcPr>
                  <w:tcW w:w="327" w:type="pct"/>
                  <w:vAlign w:val="center"/>
                </w:tcPr>
                <w:p w14:paraId="5CD12126">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bCs/>
                      <w:color w:val="auto"/>
                      <w:kern w:val="2"/>
                      <w:sz w:val="21"/>
                      <w:szCs w:val="21"/>
                    </w:rPr>
                    <w:t>密闭管道</w:t>
                  </w:r>
                  <w:r>
                    <w:rPr>
                      <w:rFonts w:hint="default" w:ascii="Times New Roman" w:hAnsi="Times New Roman"/>
                      <w:bCs/>
                      <w:color w:val="auto"/>
                      <w:kern w:val="2"/>
                      <w:sz w:val="21"/>
                      <w:szCs w:val="21"/>
                    </w:rPr>
                    <w:t>收集+二级活性炭吸附装置</w:t>
                  </w:r>
                </w:p>
              </w:tc>
              <w:tc>
                <w:tcPr>
                  <w:tcW w:w="290" w:type="pct"/>
                  <w:vAlign w:val="center"/>
                </w:tcPr>
                <w:p w14:paraId="1D1E951D">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2664</w:t>
                  </w:r>
                </w:p>
              </w:tc>
              <w:tc>
                <w:tcPr>
                  <w:tcW w:w="256" w:type="pct"/>
                  <w:vAlign w:val="center"/>
                </w:tcPr>
                <w:p w14:paraId="27852E32">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olor w:val="auto"/>
                      <w:kern w:val="2"/>
                      <w:sz w:val="21"/>
                      <w:szCs w:val="21"/>
                      <w:highlight w:val="yellow"/>
                      <w:lang w:val="en-US" w:eastAsia="zh-CN"/>
                    </w:rPr>
                  </w:pPr>
                  <w:r>
                    <w:rPr>
                      <w:rFonts w:hint="eastAsia" w:ascii="Times New Roman" w:hAnsi="Times New Roman"/>
                      <w:color w:val="auto"/>
                      <w:kern w:val="2"/>
                      <w:sz w:val="21"/>
                      <w:szCs w:val="21"/>
                      <w:highlight w:val="none"/>
                      <w:lang w:val="en-US" w:eastAsia="zh-CN"/>
                    </w:rPr>
                    <w:t>12.39</w:t>
                  </w:r>
                </w:p>
              </w:tc>
              <w:tc>
                <w:tcPr>
                  <w:tcW w:w="353" w:type="pct"/>
                  <w:vAlign w:val="center"/>
                </w:tcPr>
                <w:p w14:paraId="3E1E61DD">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olor w:val="auto"/>
                      <w:kern w:val="2"/>
                      <w:sz w:val="21"/>
                      <w:szCs w:val="21"/>
                      <w:highlight w:val="yellow"/>
                      <w:lang w:val="en-US" w:eastAsia="zh-CN"/>
                    </w:rPr>
                  </w:pPr>
                  <w:r>
                    <w:rPr>
                      <w:rFonts w:hint="eastAsia" w:ascii="Times New Roman" w:hAnsi="Times New Roman"/>
                      <w:color w:val="auto"/>
                      <w:kern w:val="2"/>
                      <w:sz w:val="21"/>
                      <w:szCs w:val="21"/>
                      <w:highlight w:val="none"/>
                      <w:lang w:val="en-US" w:eastAsia="zh-CN"/>
                    </w:rPr>
                    <w:t>0.033</w:t>
                  </w:r>
                </w:p>
              </w:tc>
              <w:tc>
                <w:tcPr>
                  <w:tcW w:w="288" w:type="pct"/>
                  <w:vAlign w:val="center"/>
                </w:tcPr>
                <w:p w14:paraId="06E6AD29">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olor w:val="auto"/>
                      <w:spacing w:val="-2"/>
                      <w:kern w:val="2"/>
                      <w:sz w:val="21"/>
                      <w:szCs w:val="21"/>
                      <w:highlight w:val="yellow"/>
                      <w:lang w:val="en-US" w:eastAsia="zh-CN"/>
                    </w:rPr>
                  </w:pPr>
                  <w:r>
                    <w:rPr>
                      <w:rFonts w:hint="eastAsia" w:ascii="Times New Roman" w:hAnsi="Times New Roman"/>
                      <w:color w:val="auto"/>
                      <w:spacing w:val="-2"/>
                      <w:kern w:val="2"/>
                      <w:sz w:val="21"/>
                      <w:szCs w:val="21"/>
                      <w:highlight w:val="none"/>
                    </w:rPr>
                    <w:t>0.</w:t>
                  </w:r>
                  <w:r>
                    <w:rPr>
                      <w:rFonts w:hint="eastAsia" w:ascii="Times New Roman" w:hAnsi="Times New Roman"/>
                      <w:color w:val="auto"/>
                      <w:spacing w:val="-2"/>
                      <w:kern w:val="2"/>
                      <w:sz w:val="21"/>
                      <w:szCs w:val="21"/>
                      <w:highlight w:val="none"/>
                      <w:lang w:val="en-US" w:eastAsia="zh-CN"/>
                    </w:rPr>
                    <w:t>069</w:t>
                  </w:r>
                </w:p>
              </w:tc>
              <w:tc>
                <w:tcPr>
                  <w:tcW w:w="224" w:type="pct"/>
                  <w:vAlign w:val="center"/>
                </w:tcPr>
                <w:p w14:paraId="46CF2EDD">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60</w:t>
                  </w:r>
                </w:p>
              </w:tc>
              <w:tc>
                <w:tcPr>
                  <w:tcW w:w="199" w:type="pct"/>
                  <w:vAlign w:val="center"/>
                </w:tcPr>
                <w:p w14:paraId="32336B30">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2.0</w:t>
                  </w:r>
                </w:p>
              </w:tc>
              <w:tc>
                <w:tcPr>
                  <w:tcW w:w="309" w:type="pct"/>
                  <w:vAlign w:val="center"/>
                </w:tcPr>
                <w:p w14:paraId="2FCE630B">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DA001</w:t>
                  </w:r>
                </w:p>
              </w:tc>
              <w:tc>
                <w:tcPr>
                  <w:tcW w:w="165" w:type="pct"/>
                  <w:vAlign w:val="center"/>
                </w:tcPr>
                <w:p w14:paraId="12B9938D">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15</w:t>
                  </w:r>
                </w:p>
              </w:tc>
              <w:tc>
                <w:tcPr>
                  <w:tcW w:w="218" w:type="pct"/>
                  <w:vAlign w:val="center"/>
                </w:tcPr>
                <w:p w14:paraId="35E577F4">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kern w:val="2"/>
                      <w:sz w:val="21"/>
                      <w:szCs w:val="21"/>
                    </w:rPr>
                    <w:t>0.</w:t>
                  </w:r>
                  <w:r>
                    <w:rPr>
                      <w:rFonts w:hint="eastAsia" w:ascii="Times New Roman" w:hAnsi="Times New Roman"/>
                      <w:color w:val="auto"/>
                      <w:kern w:val="2"/>
                      <w:sz w:val="21"/>
                      <w:szCs w:val="21"/>
                      <w:lang w:val="en-US" w:eastAsia="zh-CN"/>
                    </w:rPr>
                    <w:t>25</w:t>
                  </w:r>
                </w:p>
              </w:tc>
              <w:tc>
                <w:tcPr>
                  <w:tcW w:w="202" w:type="pct"/>
                  <w:vAlign w:val="center"/>
                </w:tcPr>
                <w:p w14:paraId="3B64B682">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color w:val="auto"/>
                      <w:kern w:val="2"/>
                      <w:sz w:val="21"/>
                      <w:szCs w:val="21"/>
                      <w:lang w:eastAsia="zh-CN"/>
                    </w:rPr>
                  </w:pPr>
                  <w:r>
                    <w:rPr>
                      <w:rFonts w:hint="eastAsia" w:ascii="Times New Roman" w:hAnsi="Times New Roman"/>
                      <w:color w:val="auto"/>
                      <w:kern w:val="2"/>
                      <w:sz w:val="21"/>
                      <w:szCs w:val="21"/>
                      <w:lang w:val="en-US" w:eastAsia="zh-CN"/>
                    </w:rPr>
                    <w:t>环境温度</w:t>
                  </w:r>
                </w:p>
              </w:tc>
              <w:tc>
                <w:tcPr>
                  <w:tcW w:w="151" w:type="pct"/>
                  <w:vAlign w:val="center"/>
                </w:tcPr>
                <w:p w14:paraId="0B5F55EE">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一般排放口</w:t>
                  </w:r>
                </w:p>
              </w:tc>
              <w:tc>
                <w:tcPr>
                  <w:tcW w:w="588" w:type="pct"/>
                  <w:tcBorders>
                    <w:right w:val="nil"/>
                  </w:tcBorders>
                  <w:vAlign w:val="center"/>
                </w:tcPr>
                <w:p w14:paraId="119A09AA">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E116.6</w:t>
                  </w:r>
                  <w:r>
                    <w:rPr>
                      <w:rFonts w:hint="eastAsia" w:ascii="Times New Roman" w:hAnsi="Times New Roman"/>
                      <w:color w:val="auto"/>
                      <w:kern w:val="2"/>
                      <w:sz w:val="21"/>
                      <w:szCs w:val="21"/>
                    </w:rPr>
                    <w:t>68931</w:t>
                  </w:r>
                  <w:r>
                    <w:rPr>
                      <w:rFonts w:hint="default" w:ascii="Times New Roman" w:hAnsi="Times New Roman"/>
                      <w:color w:val="auto"/>
                      <w:kern w:val="2"/>
                      <w:sz w:val="21"/>
                      <w:szCs w:val="21"/>
                    </w:rPr>
                    <w:t>°，N32.7</w:t>
                  </w:r>
                  <w:r>
                    <w:rPr>
                      <w:rFonts w:hint="eastAsia" w:ascii="Times New Roman" w:hAnsi="Times New Roman"/>
                      <w:color w:val="auto"/>
                      <w:kern w:val="2"/>
                      <w:sz w:val="21"/>
                      <w:szCs w:val="21"/>
                    </w:rPr>
                    <w:t>50836</w:t>
                  </w:r>
                  <w:r>
                    <w:rPr>
                      <w:rFonts w:hint="default" w:ascii="Times New Roman" w:hAnsi="Times New Roman"/>
                      <w:color w:val="auto"/>
                      <w:kern w:val="2"/>
                      <w:sz w:val="21"/>
                      <w:szCs w:val="21"/>
                    </w:rPr>
                    <w:t>°</w:t>
                  </w:r>
                </w:p>
              </w:tc>
            </w:tr>
          </w:tbl>
          <w:p w14:paraId="6F7B6E25">
            <w:pPr>
              <w:keepNext w:val="0"/>
              <w:keepLines w:val="0"/>
              <w:widowControl/>
              <w:suppressLineNumbers w:val="0"/>
              <w:tabs>
                <w:tab w:val="left" w:pos="885"/>
              </w:tabs>
              <w:spacing w:before="0" w:beforeAutospacing="0" w:after="0" w:afterAutospacing="0"/>
              <w:ind w:left="0" w:right="0"/>
              <w:rPr>
                <w:rFonts w:hint="default" w:ascii="Times New Roman" w:hAnsi="Times New Roman" w:eastAsia="黑体"/>
                <w:color w:val="auto"/>
                <w:kern w:val="2"/>
              </w:rPr>
            </w:pPr>
          </w:p>
          <w:p w14:paraId="238FDC77">
            <w:pPr>
              <w:keepNext w:val="0"/>
              <w:keepLines w:val="0"/>
              <w:widowControl/>
              <w:suppressLineNumbers w:val="0"/>
              <w:tabs>
                <w:tab w:val="left" w:pos="885"/>
              </w:tabs>
              <w:spacing w:before="0" w:beforeAutospacing="0" w:after="0" w:afterAutospacing="0"/>
              <w:ind w:left="0" w:right="0"/>
              <w:rPr>
                <w:rFonts w:hint="default" w:ascii="Times New Roman" w:hAnsi="Times New Roman" w:eastAsia="黑体"/>
                <w:color w:val="auto"/>
                <w:kern w:val="2"/>
              </w:rPr>
            </w:pPr>
          </w:p>
          <w:p w14:paraId="65A0C411">
            <w:pPr>
              <w:keepNext w:val="0"/>
              <w:keepLines w:val="0"/>
              <w:widowControl/>
              <w:suppressLineNumbers w:val="0"/>
              <w:tabs>
                <w:tab w:val="left" w:pos="885"/>
              </w:tabs>
              <w:spacing w:before="0" w:beforeAutospacing="0" w:after="0" w:afterAutospacing="0"/>
              <w:ind w:left="0" w:right="0"/>
              <w:rPr>
                <w:rFonts w:hint="default" w:ascii="Times New Roman" w:hAnsi="Times New Roman" w:eastAsia="黑体"/>
                <w:color w:val="auto"/>
                <w:kern w:val="2"/>
              </w:rPr>
            </w:pPr>
          </w:p>
          <w:p w14:paraId="50524D4D">
            <w:pPr>
              <w:keepNext w:val="0"/>
              <w:keepLines w:val="0"/>
              <w:widowControl/>
              <w:suppressLineNumbers w:val="0"/>
              <w:tabs>
                <w:tab w:val="left" w:pos="885"/>
              </w:tabs>
              <w:spacing w:before="0" w:beforeAutospacing="0" w:after="0" w:afterAutospacing="0"/>
              <w:ind w:left="0" w:right="0"/>
              <w:rPr>
                <w:rFonts w:hint="default" w:ascii="Times New Roman" w:hAnsi="Times New Roman" w:eastAsia="黑体"/>
                <w:color w:val="auto"/>
                <w:kern w:val="2"/>
              </w:rPr>
            </w:pPr>
          </w:p>
          <w:p w14:paraId="52B235EC">
            <w:pPr>
              <w:keepNext w:val="0"/>
              <w:keepLines w:val="0"/>
              <w:widowControl/>
              <w:suppressLineNumbers w:val="0"/>
              <w:tabs>
                <w:tab w:val="left" w:pos="885"/>
              </w:tabs>
              <w:spacing w:before="0" w:beforeAutospacing="0" w:after="0" w:afterAutospacing="0"/>
              <w:ind w:left="0" w:right="0"/>
              <w:rPr>
                <w:rFonts w:hint="default" w:ascii="Times New Roman" w:hAnsi="Times New Roman" w:eastAsia="黑体"/>
                <w:color w:val="auto"/>
                <w:kern w:val="2"/>
              </w:rPr>
            </w:pPr>
          </w:p>
        </w:tc>
      </w:tr>
    </w:tbl>
    <w:p w14:paraId="5B32204F">
      <w:pPr>
        <w:rPr>
          <w:rFonts w:ascii="Times New Roman" w:hAnsi="Times New Roman"/>
          <w:color w:val="auto"/>
        </w:rPr>
        <w:sectPr>
          <w:pgSz w:w="16838" w:h="11906" w:orient="landscape"/>
          <w:pgMar w:top="1800" w:right="1440" w:bottom="1800" w:left="1440" w:header="851" w:footer="992" w:gutter="0"/>
          <w:cols w:space="720" w:num="1"/>
          <w:docGrid w:type="lines" w:linePitch="312" w:charSpace="0"/>
        </w:sectPr>
      </w:pPr>
    </w:p>
    <w:tbl>
      <w:tblPr>
        <w:tblStyle w:val="23"/>
        <w:tblW w:w="491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7794"/>
      </w:tblGrid>
      <w:tr w14:paraId="4A89DD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9" w:type="pct"/>
            <w:tcMar>
              <w:left w:w="28" w:type="dxa"/>
              <w:right w:w="28" w:type="dxa"/>
            </w:tcMar>
            <w:vAlign w:val="center"/>
          </w:tcPr>
          <w:p w14:paraId="41B1F6B4">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运营</w:t>
            </w:r>
          </w:p>
          <w:p w14:paraId="7290C024">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期环</w:t>
            </w:r>
          </w:p>
          <w:p w14:paraId="65F12467">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境影</w:t>
            </w:r>
          </w:p>
          <w:p w14:paraId="021530F4">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响和</w:t>
            </w:r>
          </w:p>
          <w:p w14:paraId="09C197C4">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保护</w:t>
            </w:r>
          </w:p>
          <w:p w14:paraId="362555BB">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措施</w:t>
            </w:r>
          </w:p>
        </w:tc>
        <w:tc>
          <w:tcPr>
            <w:tcW w:w="4701" w:type="pct"/>
          </w:tcPr>
          <w:p w14:paraId="33EF37FC">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bCs/>
                <w:color w:val="auto"/>
                <w:kern w:val="2"/>
              </w:rPr>
            </w:pPr>
            <w:r>
              <w:rPr>
                <w:rFonts w:hint="default" w:ascii="Times New Roman" w:hAnsi="Times New Roman"/>
                <w:b/>
                <w:bCs/>
                <w:color w:val="auto"/>
                <w:kern w:val="2"/>
              </w:rPr>
              <w:t>2、非正常工况</w:t>
            </w:r>
          </w:p>
          <w:p w14:paraId="4B5FD9D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default" w:ascii="Times New Roman" w:hAnsi="Times New Roman"/>
                <w:bCs/>
                <w:color w:val="auto"/>
                <w:kern w:val="2"/>
              </w:rPr>
              <w:t>该项目非正常排放考虑污染物排放控制措施达不到应有效率从而发生非正常排放，一般事故的非正常排放效率约每年1-3次，为小概率事件。每次持续时间30分钟。根据污染源核算中的污染物产生情况，本项目非正常排放源强见下表所示：</w:t>
            </w:r>
          </w:p>
          <w:p w14:paraId="03A0DCA4">
            <w:pPr>
              <w:pStyle w:val="67"/>
              <w:keepNext w:val="0"/>
              <w:keepLines w:val="0"/>
              <w:widowControl/>
              <w:suppressLineNumbers w:val="0"/>
              <w:spacing w:before="0" w:beforeAutospacing="0" w:after="0" w:afterAutospacing="0" w:line="360" w:lineRule="auto"/>
              <w:ind w:left="0" w:right="0" w:firstLine="0"/>
              <w:jc w:val="center"/>
              <w:rPr>
                <w:rFonts w:hint="default" w:eastAsia="黑体"/>
                <w:bCs/>
                <w:color w:val="auto"/>
                <w:kern w:val="2"/>
                <w:szCs w:val="24"/>
              </w:rPr>
            </w:pPr>
            <w:r>
              <w:rPr>
                <w:rFonts w:hint="default" w:eastAsia="黑体"/>
                <w:bCs/>
                <w:color w:val="auto"/>
                <w:kern w:val="2"/>
              </w:rPr>
              <w:t>表</w:t>
            </w:r>
            <w:r>
              <w:rPr>
                <w:rFonts w:hint="default" w:ascii="Times New Roman" w:hAnsi="Times New Roman" w:eastAsia="黑体"/>
                <w:bCs/>
                <w:color w:val="auto"/>
                <w:kern w:val="2"/>
              </w:rPr>
              <w:t>4-</w:t>
            </w:r>
            <w:r>
              <w:rPr>
                <w:rFonts w:hint="eastAsia" w:ascii="Times New Roman" w:hAnsi="Times New Roman" w:eastAsia="黑体"/>
                <w:bCs/>
                <w:color w:val="auto"/>
                <w:kern w:val="2"/>
                <w:lang w:val="en-US" w:eastAsia="zh-CN"/>
              </w:rPr>
              <w:t>4</w:t>
            </w:r>
            <w:r>
              <w:rPr>
                <w:rFonts w:hint="default" w:ascii="Times New Roman" w:hAnsi="Times New Roman" w:eastAsia="黑体"/>
                <w:bCs/>
                <w:color w:val="auto"/>
                <w:kern w:val="2"/>
              </w:rPr>
              <w:t xml:space="preserve"> </w:t>
            </w:r>
            <w:r>
              <w:rPr>
                <w:rFonts w:hint="default" w:eastAsia="黑体"/>
                <w:bCs/>
                <w:color w:val="auto"/>
                <w:kern w:val="2"/>
              </w:rPr>
              <w:t xml:space="preserve"> 项目非正常工况排放参数表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590"/>
              <w:gridCol w:w="842"/>
              <w:gridCol w:w="869"/>
              <w:gridCol w:w="1332"/>
              <w:gridCol w:w="1159"/>
              <w:gridCol w:w="927"/>
            </w:tblGrid>
            <w:tr w14:paraId="3DC317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Align w:val="center"/>
                </w:tcPr>
                <w:p w14:paraId="021A7B15">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非正常排放源</w:t>
                  </w:r>
                </w:p>
              </w:tc>
              <w:tc>
                <w:tcPr>
                  <w:tcW w:w="1048" w:type="pct"/>
                  <w:vAlign w:val="center"/>
                </w:tcPr>
                <w:p w14:paraId="3F15819E">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非正常排放原因</w:t>
                  </w:r>
                </w:p>
              </w:tc>
              <w:tc>
                <w:tcPr>
                  <w:tcW w:w="555" w:type="pct"/>
                  <w:vAlign w:val="center"/>
                </w:tcPr>
                <w:p w14:paraId="12D7D382">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污染物</w:t>
                  </w:r>
                </w:p>
              </w:tc>
              <w:tc>
                <w:tcPr>
                  <w:tcW w:w="573" w:type="pct"/>
                  <w:vAlign w:val="center"/>
                </w:tcPr>
                <w:p w14:paraId="2697F495">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单次持续时间（h）</w:t>
                  </w:r>
                </w:p>
              </w:tc>
              <w:tc>
                <w:tcPr>
                  <w:tcW w:w="878" w:type="pct"/>
                  <w:vAlign w:val="center"/>
                </w:tcPr>
                <w:p w14:paraId="1288249D">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非正常排放浓度（mg/m</w:t>
                  </w:r>
                  <w:r>
                    <w:rPr>
                      <w:rFonts w:hint="default" w:ascii="Times New Roman" w:hAnsi="Times New Roman"/>
                      <w:b/>
                      <w:color w:val="auto"/>
                      <w:kern w:val="2"/>
                      <w:sz w:val="21"/>
                      <w:szCs w:val="21"/>
                      <w:vertAlign w:val="superscript"/>
                    </w:rPr>
                    <w:t>3</w:t>
                  </w:r>
                  <w:r>
                    <w:rPr>
                      <w:rFonts w:hint="default" w:ascii="Times New Roman" w:hAnsi="Times New Roman"/>
                      <w:b/>
                      <w:color w:val="auto"/>
                      <w:kern w:val="2"/>
                      <w:sz w:val="21"/>
                      <w:szCs w:val="21"/>
                    </w:rPr>
                    <w:t>）</w:t>
                  </w:r>
                </w:p>
              </w:tc>
              <w:tc>
                <w:tcPr>
                  <w:tcW w:w="764" w:type="pct"/>
                  <w:vAlign w:val="center"/>
                </w:tcPr>
                <w:p w14:paraId="4F4648D0">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非正常排放速率（kg/h）</w:t>
                  </w:r>
                </w:p>
              </w:tc>
              <w:tc>
                <w:tcPr>
                  <w:tcW w:w="611" w:type="pct"/>
                  <w:vAlign w:val="center"/>
                </w:tcPr>
                <w:p w14:paraId="1CA70E4A">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年发生频次（次）</w:t>
                  </w:r>
                </w:p>
              </w:tc>
            </w:tr>
            <w:tr w14:paraId="0F9026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67" w:type="pct"/>
                  <w:vAlign w:val="center"/>
                </w:tcPr>
                <w:p w14:paraId="00059E12">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olor w:val="auto"/>
                      <w:kern w:val="2"/>
                      <w:sz w:val="21"/>
                      <w:szCs w:val="21"/>
                    </w:rPr>
                    <w:t>DA001</w:t>
                  </w:r>
                </w:p>
              </w:tc>
              <w:tc>
                <w:tcPr>
                  <w:tcW w:w="1048" w:type="pct"/>
                  <w:vAlign w:val="center"/>
                </w:tcPr>
                <w:p w14:paraId="06A4B5FE">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color w:val="auto"/>
                      <w:kern w:val="2"/>
                      <w:sz w:val="21"/>
                      <w:szCs w:val="21"/>
                    </w:rPr>
                    <w:t>二级活性炭吸附装置</w:t>
                  </w:r>
                  <w:r>
                    <w:rPr>
                      <w:rFonts w:hint="default" w:ascii="Times New Roman" w:hAnsi="Times New Roman"/>
                      <w:color w:val="auto"/>
                      <w:kern w:val="2"/>
                      <w:sz w:val="21"/>
                      <w:szCs w:val="21"/>
                    </w:rPr>
                    <w:t>故障，处理效率为</w:t>
                  </w:r>
                  <w:r>
                    <w:rPr>
                      <w:rFonts w:hint="eastAsia" w:ascii="Times New Roman" w:hAnsi="Times New Roman"/>
                      <w:color w:val="auto"/>
                      <w:kern w:val="2"/>
                      <w:sz w:val="21"/>
                      <w:szCs w:val="21"/>
                    </w:rPr>
                    <w:t>50%</w:t>
                  </w:r>
                </w:p>
              </w:tc>
              <w:tc>
                <w:tcPr>
                  <w:tcW w:w="555" w:type="pct"/>
                  <w:vAlign w:val="center"/>
                </w:tcPr>
                <w:p w14:paraId="31A56762">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color w:val="auto"/>
                      <w:kern w:val="2"/>
                      <w:sz w:val="21"/>
                      <w:szCs w:val="21"/>
                    </w:rPr>
                    <w:t>非甲烷总烃</w:t>
                  </w:r>
                </w:p>
              </w:tc>
              <w:tc>
                <w:tcPr>
                  <w:tcW w:w="573" w:type="pct"/>
                  <w:vAlign w:val="center"/>
                </w:tcPr>
                <w:p w14:paraId="7DAF6E22">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olor w:val="auto"/>
                      <w:kern w:val="2"/>
                      <w:sz w:val="21"/>
                      <w:szCs w:val="21"/>
                    </w:rPr>
                    <w:t>0.5</w:t>
                  </w:r>
                </w:p>
              </w:tc>
              <w:tc>
                <w:tcPr>
                  <w:tcW w:w="878" w:type="pct"/>
                  <w:vAlign w:val="center"/>
                </w:tcPr>
                <w:p w14:paraId="657406DE">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13</w:t>
                  </w:r>
                </w:p>
              </w:tc>
              <w:tc>
                <w:tcPr>
                  <w:tcW w:w="764" w:type="pct"/>
                  <w:vAlign w:val="center"/>
                </w:tcPr>
                <w:p w14:paraId="1FD25711">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0.26</w:t>
                  </w:r>
                </w:p>
              </w:tc>
              <w:tc>
                <w:tcPr>
                  <w:tcW w:w="611" w:type="pct"/>
                  <w:vAlign w:val="center"/>
                </w:tcPr>
                <w:p w14:paraId="7125FF57">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olor w:val="auto"/>
                      <w:kern w:val="2"/>
                      <w:sz w:val="21"/>
                      <w:szCs w:val="21"/>
                    </w:rPr>
                    <w:t>2</w:t>
                  </w:r>
                </w:p>
              </w:tc>
            </w:tr>
          </w:tbl>
          <w:p w14:paraId="4949F981">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default" w:ascii="Times New Roman" w:hAnsi="Times New Roman"/>
                <w:bCs/>
                <w:color w:val="auto"/>
                <w:kern w:val="2"/>
              </w:rPr>
              <w:t>由上表可知，本项目在污染治理设施非正常运行时，短时间内污染物排放浓度较大，但由于持续时间较短，污染物的排放量不会明显增加。此外，为保证废气治理设施处理效率，企业应：</w:t>
            </w:r>
          </w:p>
          <w:p w14:paraId="5CBBA09D">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default" w:ascii="Times New Roman" w:hAnsi="Times New Roman"/>
                <w:bCs/>
                <w:color w:val="auto"/>
                <w:kern w:val="2"/>
              </w:rPr>
              <w:t>（1）定期对废气处理系统进行维护和保养，发现设施运行异常，立即停止生产，迅速抢修或更换，待废气处理设施运行正常后恢复生产。</w:t>
            </w:r>
          </w:p>
          <w:p w14:paraId="4B953EC1">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default" w:ascii="Times New Roman" w:hAnsi="Times New Roman"/>
                <w:bCs/>
                <w:color w:val="auto"/>
                <w:kern w:val="2"/>
              </w:rPr>
              <w:t>（2）设有备用电源、备用处理设备和备用零件，以备停电或设备出现故障时保障及时更换，使废气全部达标排放。</w:t>
            </w:r>
          </w:p>
          <w:p w14:paraId="5B708F6B">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default" w:ascii="Times New Roman" w:hAnsi="Times New Roman"/>
                <w:bCs/>
                <w:color w:val="auto"/>
                <w:kern w:val="2"/>
              </w:rPr>
              <w:t>（3）对员工进行岗位培训。做好值班记录，实行岗位责任制。</w:t>
            </w:r>
          </w:p>
          <w:p w14:paraId="72472959">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bCs/>
                <w:color w:val="auto"/>
                <w:kern w:val="2"/>
              </w:rPr>
            </w:pPr>
            <w:bookmarkStart w:id="20" w:name="OLE_LINK45"/>
            <w:bookmarkStart w:id="21" w:name="OLE_LINK46"/>
            <w:r>
              <w:rPr>
                <w:rFonts w:hint="default" w:ascii="Times New Roman" w:hAnsi="Times New Roman"/>
                <w:b/>
                <w:bCs/>
                <w:color w:val="auto"/>
                <w:kern w:val="2"/>
              </w:rPr>
              <w:t>3、废气环保措施可行性分析</w:t>
            </w:r>
          </w:p>
          <w:p w14:paraId="2795D115">
            <w:pPr>
              <w:keepNext w:val="0"/>
              <w:keepLines w:val="0"/>
              <w:widowControl/>
              <w:suppressLineNumbers w:val="0"/>
              <w:spacing w:before="0" w:beforeAutospacing="0" w:after="0" w:afterAutospacing="0" w:line="360" w:lineRule="auto"/>
              <w:ind w:left="0" w:right="0" w:firstLine="480" w:firstLineChars="200"/>
              <w:rPr>
                <w:rFonts w:hint="default"/>
                <w:color w:val="auto"/>
                <w:kern w:val="2"/>
                <w:szCs w:val="21"/>
              </w:rPr>
            </w:pPr>
            <w:r>
              <w:rPr>
                <w:rFonts w:hint="default"/>
                <w:bCs/>
                <w:color w:val="auto"/>
                <w:kern w:val="2"/>
              </w:rPr>
              <w:t>（</w:t>
            </w:r>
            <w:r>
              <w:rPr>
                <w:rFonts w:hint="default" w:ascii="Times New Roman" w:hAnsi="Times New Roman"/>
                <w:bCs/>
                <w:color w:val="auto"/>
                <w:kern w:val="2"/>
              </w:rPr>
              <w:t>1</w:t>
            </w:r>
            <w:r>
              <w:rPr>
                <w:rFonts w:hint="default"/>
                <w:bCs/>
                <w:color w:val="auto"/>
                <w:kern w:val="2"/>
              </w:rPr>
              <w:t>）</w:t>
            </w:r>
            <w:r>
              <w:rPr>
                <w:rFonts w:hint="default"/>
                <w:color w:val="auto"/>
                <w:kern w:val="2"/>
              </w:rPr>
              <w:t>有机废气处理可行性分析</w:t>
            </w:r>
          </w:p>
          <w:p w14:paraId="64FA5B01">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eastAsia" w:ascii="Times New Roman"/>
                <w:color w:val="auto"/>
                <w:kern w:val="2"/>
                <w:szCs w:val="21"/>
              </w:rPr>
              <w:t>清洗</w:t>
            </w:r>
            <w:r>
              <w:rPr>
                <w:rFonts w:hint="eastAsia" w:ascii="Times New Roman"/>
                <w:color w:val="auto"/>
                <w:kern w:val="2"/>
                <w:szCs w:val="21"/>
                <w:lang w:eastAsia="zh-CN"/>
              </w:rPr>
              <w:t>、</w:t>
            </w:r>
            <w:r>
              <w:rPr>
                <w:rFonts w:hint="eastAsia" w:ascii="Times New Roman"/>
                <w:color w:val="auto"/>
                <w:kern w:val="2"/>
                <w:szCs w:val="21"/>
                <w:lang w:val="en-US" w:eastAsia="zh-CN"/>
              </w:rPr>
              <w:t>蒸馏再生</w:t>
            </w:r>
            <w:r>
              <w:rPr>
                <w:rFonts w:hint="default" w:ascii="Times New Roman"/>
                <w:color w:val="auto"/>
                <w:kern w:val="2"/>
                <w:szCs w:val="21"/>
              </w:rPr>
              <w:t>废气</w:t>
            </w:r>
            <w:r>
              <w:rPr>
                <w:rFonts w:hint="eastAsia" w:ascii="Times New Roman"/>
                <w:color w:val="auto"/>
                <w:kern w:val="2"/>
                <w:szCs w:val="21"/>
                <w:lang w:val="en-US" w:eastAsia="zh-CN"/>
              </w:rPr>
              <w:t>密闭</w:t>
            </w:r>
            <w:r>
              <w:rPr>
                <w:rFonts w:hint="eastAsia"/>
                <w:bCs/>
                <w:color w:val="auto"/>
                <w:kern w:val="2"/>
              </w:rPr>
              <w:t>收集</w:t>
            </w:r>
            <w:r>
              <w:rPr>
                <w:rFonts w:hint="eastAsia"/>
                <w:bCs/>
                <w:color w:val="auto"/>
                <w:kern w:val="2"/>
                <w:lang w:val="en-US" w:eastAsia="zh-CN"/>
              </w:rPr>
              <w:t>经</w:t>
            </w:r>
            <w:r>
              <w:rPr>
                <w:rFonts w:hint="eastAsia"/>
                <w:bCs/>
                <w:color w:val="auto"/>
                <w:kern w:val="2"/>
              </w:rPr>
              <w:t>二级活性炭吸附装置处理后</w:t>
            </w:r>
            <w:r>
              <w:rPr>
                <w:rFonts w:hint="default" w:ascii="Times New Roman" w:hAnsi="Times New Roman"/>
                <w:bCs/>
                <w:color w:val="auto"/>
                <w:kern w:val="2"/>
              </w:rPr>
              <w:t>15m</w:t>
            </w:r>
            <w:r>
              <w:rPr>
                <w:rFonts w:hint="eastAsia"/>
                <w:bCs/>
                <w:color w:val="auto"/>
                <w:kern w:val="2"/>
              </w:rPr>
              <w:t>高排气筒排放。</w:t>
            </w:r>
          </w:p>
          <w:p w14:paraId="2920DDD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highlight w:val="yellow"/>
              </w:rPr>
            </w:pPr>
            <w:r>
              <w:rPr>
                <w:rFonts w:hint="default"/>
                <w:bCs/>
                <w:color w:val="auto"/>
                <w:kern w:val="2"/>
              </w:rPr>
              <w:t>本项目产生的非甲烷总烃属于中低浓度有机废气，参照</w:t>
            </w:r>
            <w:r>
              <w:rPr>
                <w:rFonts w:hint="default" w:ascii="Times New Roman" w:hAnsi="Times New Roman" w:cs="Times New Roman"/>
                <w:color w:val="auto"/>
                <w:kern w:val="2"/>
                <w:szCs w:val="21"/>
              </w:rPr>
              <w:t>《排污许可证申请与核发技术规范 汽车制造业》（HJ971-2018）</w:t>
            </w:r>
            <w:r>
              <w:rPr>
                <w:rFonts w:hint="eastAsia"/>
                <w:color w:val="auto"/>
                <w:kern w:val="2"/>
              </w:rPr>
              <w:t>及《汽车整车制造业挥发性有机物治理实用手册》，活性炭吸附为低浓度</w:t>
            </w:r>
            <w:r>
              <w:rPr>
                <w:rFonts w:hint="default" w:ascii="Times New Roman" w:hAnsi="Times New Roman" w:cs="Times New Roman"/>
                <w:color w:val="auto"/>
                <w:kern w:val="2"/>
              </w:rPr>
              <w:t>VOCs</w:t>
            </w:r>
            <w:r>
              <w:rPr>
                <w:rFonts w:hint="eastAsia"/>
                <w:color w:val="auto"/>
                <w:kern w:val="2"/>
              </w:rPr>
              <w:t>废气的推荐治理技术</w:t>
            </w:r>
            <w:r>
              <w:rPr>
                <w:rFonts w:hint="default"/>
                <w:bCs/>
                <w:color w:val="auto"/>
                <w:kern w:val="2"/>
              </w:rPr>
              <w:t>，</w:t>
            </w:r>
            <w:r>
              <w:rPr>
                <w:rFonts w:hint="eastAsia"/>
                <w:bCs/>
                <w:color w:val="auto"/>
                <w:kern w:val="2"/>
                <w:lang w:val="en-US" w:eastAsia="zh-CN"/>
              </w:rPr>
              <w:t>本项目属于低浓度</w:t>
            </w:r>
            <w:r>
              <w:rPr>
                <w:rFonts w:hint="default" w:ascii="Times New Roman" w:hAnsi="Times New Roman" w:cs="Times New Roman"/>
                <w:bCs/>
                <w:color w:val="auto"/>
                <w:kern w:val="2"/>
                <w:lang w:val="en-US" w:eastAsia="zh-CN"/>
              </w:rPr>
              <w:t>VOCs</w:t>
            </w:r>
            <w:r>
              <w:rPr>
                <w:rFonts w:hint="eastAsia" w:ascii="Times New Roman" w:hAnsi="Times New Roman" w:cs="Times New Roman"/>
                <w:bCs/>
                <w:color w:val="auto"/>
                <w:kern w:val="2"/>
                <w:lang w:val="en-US" w:eastAsia="zh-CN"/>
              </w:rPr>
              <w:t>废气治理</w:t>
            </w:r>
            <w:r>
              <w:rPr>
                <w:rFonts w:hint="eastAsia"/>
                <w:bCs/>
                <w:color w:val="auto"/>
                <w:kern w:val="2"/>
                <w:lang w:val="en-US" w:eastAsia="zh-CN"/>
              </w:rPr>
              <w:t>，并根据项目现有工程验收数据，</w:t>
            </w:r>
            <w:r>
              <w:rPr>
                <w:rFonts w:hint="eastAsia" w:ascii="Times New Roman"/>
                <w:color w:val="auto"/>
                <w:kern w:val="2"/>
                <w:szCs w:val="21"/>
              </w:rPr>
              <w:t>清洗</w:t>
            </w:r>
            <w:r>
              <w:rPr>
                <w:rFonts w:hint="eastAsia" w:ascii="Times New Roman"/>
                <w:color w:val="auto"/>
                <w:kern w:val="2"/>
                <w:szCs w:val="21"/>
                <w:lang w:eastAsia="zh-CN"/>
              </w:rPr>
              <w:t>、</w:t>
            </w:r>
            <w:r>
              <w:rPr>
                <w:rFonts w:hint="eastAsia" w:ascii="Times New Roman"/>
                <w:color w:val="auto"/>
                <w:kern w:val="2"/>
                <w:szCs w:val="21"/>
                <w:lang w:val="en-US" w:eastAsia="zh-CN"/>
              </w:rPr>
              <w:t>蒸馏再生</w:t>
            </w:r>
            <w:r>
              <w:rPr>
                <w:rFonts w:hint="default" w:ascii="Times New Roman"/>
                <w:color w:val="auto"/>
                <w:kern w:val="2"/>
                <w:szCs w:val="21"/>
              </w:rPr>
              <w:t>废气</w:t>
            </w:r>
            <w:r>
              <w:rPr>
                <w:rFonts w:hint="eastAsia"/>
                <w:bCs/>
                <w:color w:val="auto"/>
                <w:kern w:val="2"/>
                <w:lang w:val="en-US" w:eastAsia="zh-CN"/>
              </w:rPr>
              <w:t>经</w:t>
            </w:r>
            <w:r>
              <w:rPr>
                <w:rFonts w:hint="eastAsia"/>
                <w:color w:val="auto"/>
                <w:kern w:val="2"/>
              </w:rPr>
              <w:t>二级活性炭吸附装置处理</w:t>
            </w:r>
            <w:r>
              <w:rPr>
                <w:rFonts w:hint="eastAsia"/>
                <w:color w:val="auto"/>
                <w:kern w:val="2"/>
                <w:lang w:val="en-US" w:eastAsia="zh-CN"/>
              </w:rPr>
              <w:t>后</w:t>
            </w:r>
            <w:r>
              <w:rPr>
                <w:rFonts w:hint="eastAsia"/>
                <w:color w:val="auto"/>
                <w:kern w:val="2"/>
              </w:rPr>
              <w:t>，</w:t>
            </w:r>
            <w:r>
              <w:rPr>
                <w:rFonts w:hint="eastAsia"/>
                <w:color w:val="auto"/>
                <w:kern w:val="2"/>
                <w:lang w:val="en-US" w:eastAsia="zh-CN"/>
              </w:rPr>
              <w:t>可</w:t>
            </w:r>
            <w:r>
              <w:rPr>
                <w:rFonts w:hint="eastAsia"/>
                <w:color w:val="auto"/>
                <w:kern w:val="2"/>
              </w:rPr>
              <w:t>达标排放</w:t>
            </w:r>
            <w:r>
              <w:rPr>
                <w:rFonts w:hint="eastAsia"/>
                <w:color w:val="auto"/>
                <w:kern w:val="2"/>
                <w:lang w:eastAsia="zh-CN"/>
              </w:rPr>
              <w:t>。</w:t>
            </w:r>
            <w:r>
              <w:rPr>
                <w:rFonts w:hint="eastAsia"/>
                <w:color w:val="auto"/>
                <w:kern w:val="2"/>
                <w:lang w:val="en-US" w:eastAsia="zh-CN"/>
              </w:rPr>
              <w:t>故</w:t>
            </w:r>
            <w:r>
              <w:rPr>
                <w:rFonts w:hint="eastAsia"/>
                <w:bCs/>
                <w:color w:val="auto"/>
                <w:kern w:val="2"/>
              </w:rPr>
              <w:t>二级活性炭吸附装置</w:t>
            </w:r>
            <w:r>
              <w:rPr>
                <w:rFonts w:hint="default"/>
                <w:bCs/>
                <w:color w:val="auto"/>
                <w:kern w:val="2"/>
              </w:rPr>
              <w:t>处理有机废气属于可行技术。</w:t>
            </w:r>
          </w:p>
          <w:bookmarkEnd w:id="20"/>
          <w:bookmarkEnd w:id="21"/>
          <w:p w14:paraId="73D7E59B">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default" w:ascii="Times New Roman" w:hAnsi="Times New Roman"/>
                <w:b/>
                <w:color w:val="auto"/>
                <w:kern w:val="2"/>
              </w:rPr>
              <w:t>3、监测计划</w:t>
            </w:r>
          </w:p>
          <w:p w14:paraId="1A70CA3A">
            <w:pPr>
              <w:pStyle w:val="29"/>
              <w:keepNext w:val="0"/>
              <w:keepLines w:val="0"/>
              <w:suppressLineNumbers w:val="0"/>
              <w:spacing w:before="0" w:beforeAutospacing="0" w:after="0" w:afterAutospacing="0" w:line="360" w:lineRule="auto"/>
              <w:ind w:left="0" w:right="0" w:firstLine="480" w:firstLineChars="200"/>
              <w:rPr>
                <w:rFonts w:hint="default" w:ascii="Times New Roman"/>
                <w:color w:val="auto"/>
                <w:kern w:val="2"/>
              </w:rPr>
            </w:pPr>
            <w:bookmarkStart w:id="22" w:name="OLE_LINK40"/>
            <w:r>
              <w:rPr>
                <w:rFonts w:hint="default" w:ascii="Times New Roman"/>
                <w:color w:val="auto"/>
                <w:kern w:val="2"/>
              </w:rPr>
              <w:t>本项目国民经济行业类别为</w:t>
            </w:r>
            <w:r>
              <w:rPr>
                <w:rFonts w:hint="default" w:ascii="Times New Roman"/>
                <w:bCs/>
                <w:color w:val="auto"/>
                <w:kern w:val="2"/>
              </w:rPr>
              <w:t>C3</w:t>
            </w:r>
            <w:r>
              <w:rPr>
                <w:rFonts w:hint="eastAsia" w:ascii="Times New Roman"/>
                <w:bCs/>
                <w:color w:val="auto"/>
                <w:kern w:val="2"/>
                <w:lang w:val="en-US" w:eastAsia="zh-CN"/>
              </w:rPr>
              <w:t>670汽车零部件及配件</w:t>
            </w:r>
            <w:r>
              <w:rPr>
                <w:rFonts w:hint="default" w:ascii="Times New Roman"/>
                <w:bCs/>
                <w:color w:val="auto"/>
                <w:kern w:val="2"/>
              </w:rPr>
              <w:t>制造</w:t>
            </w:r>
            <w:r>
              <w:rPr>
                <w:rFonts w:hint="eastAsia" w:ascii="Times New Roman"/>
                <w:color w:val="auto"/>
                <w:kern w:val="2"/>
              </w:rPr>
              <w:t>，根据《固定污染源排污许可分类管理名录》（2019年版）规定，企业无需申领排污许可证，故亦无需开展自行监测；鉴于企业运营期有废气排放，建议企业运营期开展废气监测。</w:t>
            </w:r>
            <w:bookmarkEnd w:id="22"/>
            <w:r>
              <w:rPr>
                <w:rFonts w:hint="eastAsia"/>
                <w:color w:val="auto"/>
                <w:spacing w:val="3"/>
                <w:kern w:val="2"/>
              </w:rPr>
              <w:t>根据</w:t>
            </w:r>
            <w:r>
              <w:rPr>
                <w:rFonts w:hint="default" w:ascii="Times New Roman"/>
                <w:color w:val="auto"/>
                <w:kern w:val="2"/>
              </w:rPr>
              <w:t>《排污许可证申请与核发技术规范 汽车制造业》（HJ971-2018）</w:t>
            </w:r>
            <w:r>
              <w:rPr>
                <w:rFonts w:hint="default"/>
                <w:color w:val="auto"/>
                <w:spacing w:val="-5"/>
                <w:kern w:val="2"/>
              </w:rPr>
              <w:t>以及《排污单位自行</w:t>
            </w:r>
            <w:r>
              <w:rPr>
                <w:rFonts w:hint="default"/>
                <w:color w:val="auto"/>
                <w:spacing w:val="-3"/>
                <w:kern w:val="2"/>
              </w:rPr>
              <w:t>监测技术指南</w:t>
            </w:r>
            <w:r>
              <w:rPr>
                <w:rFonts w:hint="eastAsia" w:ascii="Times New Roman"/>
                <w:color w:val="auto"/>
                <w:spacing w:val="-3"/>
                <w:kern w:val="2"/>
              </w:rPr>
              <w:t xml:space="preserve"> </w:t>
            </w:r>
            <w:r>
              <w:rPr>
                <w:rFonts w:hint="default"/>
                <w:color w:val="auto"/>
                <w:spacing w:val="-3"/>
                <w:kern w:val="2"/>
              </w:rPr>
              <w:t>总则》</w:t>
            </w:r>
            <w:r>
              <w:rPr>
                <w:rFonts w:hint="default"/>
                <w:color w:val="auto"/>
                <w:kern w:val="2"/>
              </w:rPr>
              <w:fldChar w:fldCharType="begin"/>
            </w:r>
            <w:r>
              <w:rPr>
                <w:rFonts w:hint="default"/>
                <w:color w:val="auto"/>
                <w:kern w:val="2"/>
              </w:rPr>
              <w:instrText xml:space="preserve"> HYPERLINK "https://www.mee.gov.cn/ywgz/fgbz/bz/bzwb/shjbh/xgbzh/201705/W020170511332490849000.pdf" </w:instrText>
            </w:r>
            <w:r>
              <w:rPr>
                <w:rFonts w:hint="default"/>
                <w:color w:val="auto"/>
                <w:kern w:val="2"/>
              </w:rPr>
              <w:fldChar w:fldCharType="separate"/>
            </w:r>
            <w:r>
              <w:rPr>
                <w:rStyle w:val="27"/>
                <w:rFonts w:hint="default"/>
                <w:color w:val="auto"/>
                <w:spacing w:val="-3"/>
                <w:kern w:val="2"/>
                <w:u w:val="none"/>
              </w:rPr>
              <w:t>（</w:t>
            </w:r>
            <w:r>
              <w:rPr>
                <w:rStyle w:val="27"/>
                <w:rFonts w:hint="default" w:ascii="Times New Roman"/>
                <w:color w:val="auto"/>
                <w:spacing w:val="-3"/>
                <w:kern w:val="2"/>
                <w:u w:val="none"/>
              </w:rPr>
              <w:t>HJ819-2017</w:t>
            </w:r>
            <w:r>
              <w:rPr>
                <w:rStyle w:val="27"/>
                <w:rFonts w:hint="default"/>
                <w:color w:val="auto"/>
                <w:spacing w:val="-3"/>
                <w:kern w:val="2"/>
                <w:u w:val="none"/>
              </w:rPr>
              <w:t>）</w:t>
            </w:r>
            <w:r>
              <w:rPr>
                <w:rStyle w:val="27"/>
                <w:rFonts w:hint="default"/>
                <w:color w:val="auto"/>
                <w:spacing w:val="-3"/>
                <w:kern w:val="2"/>
                <w:u w:val="none"/>
              </w:rPr>
              <w:fldChar w:fldCharType="end"/>
            </w:r>
            <w:r>
              <w:rPr>
                <w:rFonts w:hint="default"/>
                <w:color w:val="auto"/>
                <w:spacing w:val="-3"/>
                <w:kern w:val="2"/>
              </w:rPr>
              <w:t>中排</w:t>
            </w:r>
            <w:r>
              <w:rPr>
                <w:rFonts w:hint="default"/>
                <w:color w:val="auto"/>
                <w:spacing w:val="-4"/>
                <w:kern w:val="2"/>
              </w:rPr>
              <w:t>污单位自行监测</w:t>
            </w:r>
            <w:r>
              <w:rPr>
                <w:rFonts w:hint="default" w:ascii="Times New Roman"/>
                <w:color w:val="auto"/>
                <w:kern w:val="2"/>
              </w:rPr>
              <w:t>的相关要求，本项目运营期废气监测计划如下所示。</w:t>
            </w:r>
          </w:p>
          <w:p w14:paraId="58B3972B">
            <w:pPr>
              <w:pStyle w:val="67"/>
              <w:keepNext w:val="0"/>
              <w:keepLines w:val="0"/>
              <w:widowControl/>
              <w:suppressLineNumbers w:val="0"/>
              <w:spacing w:before="0" w:beforeAutospacing="0" w:after="0" w:afterAutospacing="0" w:line="360" w:lineRule="auto"/>
              <w:ind w:left="0" w:right="0" w:firstLine="0"/>
              <w:jc w:val="center"/>
              <w:rPr>
                <w:rFonts w:hint="default" w:eastAsia="黑体"/>
                <w:bCs/>
                <w:color w:val="auto"/>
                <w:kern w:val="2"/>
              </w:rPr>
            </w:pPr>
            <w:r>
              <w:rPr>
                <w:rFonts w:hint="default" w:eastAsia="黑体"/>
                <w:bCs/>
                <w:color w:val="auto"/>
                <w:kern w:val="2"/>
              </w:rPr>
              <w:t>表</w:t>
            </w:r>
            <w:r>
              <w:rPr>
                <w:rFonts w:hint="default" w:ascii="Times New Roman" w:hAnsi="Times New Roman" w:eastAsia="黑体"/>
                <w:bCs/>
                <w:color w:val="auto"/>
                <w:kern w:val="2"/>
              </w:rPr>
              <w:t>4-</w:t>
            </w:r>
            <w:r>
              <w:rPr>
                <w:rFonts w:hint="eastAsia" w:ascii="Times New Roman" w:hAnsi="Times New Roman" w:eastAsia="黑体"/>
                <w:bCs/>
                <w:color w:val="auto"/>
                <w:kern w:val="2"/>
                <w:lang w:val="en-US" w:eastAsia="zh-CN"/>
              </w:rPr>
              <w:t>5</w:t>
            </w:r>
            <w:r>
              <w:rPr>
                <w:rFonts w:hint="default" w:eastAsia="黑体"/>
                <w:bCs/>
                <w:color w:val="auto"/>
                <w:kern w:val="2"/>
              </w:rPr>
              <w:t xml:space="preserve">  废气监测计划一览表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487"/>
              <w:gridCol w:w="1446"/>
              <w:gridCol w:w="1062"/>
              <w:gridCol w:w="2950"/>
            </w:tblGrid>
            <w:tr w14:paraId="38630B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3F219B1C">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类别</w:t>
                  </w:r>
                </w:p>
              </w:tc>
              <w:tc>
                <w:tcPr>
                  <w:tcW w:w="1487" w:type="dxa"/>
                  <w:vAlign w:val="center"/>
                </w:tcPr>
                <w:p w14:paraId="284601CF">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监测点位</w:t>
                  </w:r>
                </w:p>
              </w:tc>
              <w:tc>
                <w:tcPr>
                  <w:tcW w:w="1446" w:type="dxa"/>
                  <w:vAlign w:val="center"/>
                </w:tcPr>
                <w:p w14:paraId="34313A10">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监测指标</w:t>
                  </w:r>
                </w:p>
              </w:tc>
              <w:tc>
                <w:tcPr>
                  <w:tcW w:w="1062" w:type="dxa"/>
                  <w:vAlign w:val="center"/>
                </w:tcPr>
                <w:p w14:paraId="008F9125">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监测频次</w:t>
                  </w:r>
                </w:p>
              </w:tc>
              <w:tc>
                <w:tcPr>
                  <w:tcW w:w="2950" w:type="dxa"/>
                  <w:vAlign w:val="center"/>
                </w:tcPr>
                <w:p w14:paraId="096BF8C2">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执行标准</w:t>
                  </w:r>
                </w:p>
              </w:tc>
            </w:tr>
            <w:tr w14:paraId="3FA00E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633" w:type="dxa"/>
                  <w:vAlign w:val="center"/>
                </w:tcPr>
                <w:p w14:paraId="6674CEF5">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有组织</w:t>
                  </w:r>
                </w:p>
              </w:tc>
              <w:tc>
                <w:tcPr>
                  <w:tcW w:w="1487" w:type="dxa"/>
                  <w:vAlign w:val="center"/>
                </w:tcPr>
                <w:p w14:paraId="004041B1">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DA001排气筒</w:t>
                  </w:r>
                </w:p>
              </w:tc>
              <w:tc>
                <w:tcPr>
                  <w:tcW w:w="1446" w:type="dxa"/>
                  <w:vAlign w:val="center"/>
                </w:tcPr>
                <w:p w14:paraId="7D09B297">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bCs/>
                      <w:color w:val="auto"/>
                      <w:spacing w:val="8"/>
                      <w:kern w:val="2"/>
                      <w:sz w:val="21"/>
                      <w:szCs w:val="21"/>
                    </w:rPr>
                    <w:t>非甲烷总烃</w:t>
                  </w:r>
                </w:p>
              </w:tc>
              <w:tc>
                <w:tcPr>
                  <w:tcW w:w="1062" w:type="dxa"/>
                  <w:vAlign w:val="center"/>
                </w:tcPr>
                <w:p w14:paraId="7469B595">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1次/半年</w:t>
                  </w:r>
                </w:p>
              </w:tc>
              <w:tc>
                <w:tcPr>
                  <w:tcW w:w="2950" w:type="dxa"/>
                  <w:vAlign w:val="center"/>
                </w:tcPr>
                <w:p w14:paraId="08FADDE1">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bCs/>
                      <w:color w:val="auto"/>
                      <w:kern w:val="2"/>
                      <w:sz w:val="21"/>
                      <w:szCs w:val="21"/>
                    </w:rPr>
                    <w:t>安徽省地方标准《固定源挥发性有机物综合排放标准 第6部分：其他行业》</w:t>
                  </w:r>
                </w:p>
              </w:tc>
            </w:tr>
            <w:tr w14:paraId="5009FC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33" w:type="dxa"/>
                  <w:vMerge w:val="restart"/>
                  <w:vAlign w:val="center"/>
                </w:tcPr>
                <w:p w14:paraId="1C7526D5">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无组织</w:t>
                  </w:r>
                </w:p>
              </w:tc>
              <w:tc>
                <w:tcPr>
                  <w:tcW w:w="1487" w:type="dxa"/>
                  <w:vAlign w:val="center"/>
                </w:tcPr>
                <w:p w14:paraId="706CBE9C">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厂界</w:t>
                  </w:r>
                </w:p>
              </w:tc>
              <w:tc>
                <w:tcPr>
                  <w:tcW w:w="1446" w:type="dxa"/>
                  <w:vAlign w:val="center"/>
                </w:tcPr>
                <w:p w14:paraId="08BD7352">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bCs/>
                      <w:color w:val="auto"/>
                      <w:spacing w:val="8"/>
                      <w:kern w:val="2"/>
                      <w:sz w:val="21"/>
                      <w:szCs w:val="21"/>
                    </w:rPr>
                    <w:t>非甲烷总烃</w:t>
                  </w:r>
                </w:p>
              </w:tc>
              <w:tc>
                <w:tcPr>
                  <w:tcW w:w="1062" w:type="dxa"/>
                  <w:vAlign w:val="center"/>
                </w:tcPr>
                <w:p w14:paraId="39E8DF2F">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1次/半年</w:t>
                  </w:r>
                </w:p>
              </w:tc>
              <w:tc>
                <w:tcPr>
                  <w:tcW w:w="2950" w:type="dxa"/>
                  <w:vAlign w:val="center"/>
                </w:tcPr>
                <w:p w14:paraId="7BD651B0">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《大气污染物综合排放标准》（GB16297-1996）</w:t>
                  </w:r>
                </w:p>
              </w:tc>
            </w:tr>
            <w:tr w14:paraId="2428A0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633" w:type="dxa"/>
                  <w:vMerge w:val="continue"/>
                  <w:vAlign w:val="center"/>
                </w:tcPr>
                <w:p w14:paraId="42F71B97">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p>
              </w:tc>
              <w:tc>
                <w:tcPr>
                  <w:tcW w:w="1487" w:type="dxa"/>
                  <w:vAlign w:val="center"/>
                </w:tcPr>
                <w:p w14:paraId="2A1B4919">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厂房门窗或通风口、其他开口（孔）</w:t>
                  </w:r>
                </w:p>
              </w:tc>
              <w:tc>
                <w:tcPr>
                  <w:tcW w:w="1446" w:type="dxa"/>
                  <w:vAlign w:val="center"/>
                </w:tcPr>
                <w:p w14:paraId="7F02C63B">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spacing w:val="8"/>
                      <w:kern w:val="2"/>
                      <w:sz w:val="21"/>
                      <w:szCs w:val="21"/>
                    </w:rPr>
                  </w:pPr>
                  <w:r>
                    <w:rPr>
                      <w:rFonts w:hint="default" w:ascii="Times New Roman" w:hAnsi="Times New Roman"/>
                      <w:bCs/>
                      <w:color w:val="auto"/>
                      <w:spacing w:val="8"/>
                      <w:kern w:val="2"/>
                      <w:sz w:val="21"/>
                      <w:szCs w:val="21"/>
                    </w:rPr>
                    <w:t>非甲烷总烃</w:t>
                  </w:r>
                </w:p>
              </w:tc>
              <w:tc>
                <w:tcPr>
                  <w:tcW w:w="1062" w:type="dxa"/>
                  <w:vAlign w:val="center"/>
                </w:tcPr>
                <w:p w14:paraId="4B7B7923">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1次/年</w:t>
                  </w:r>
                </w:p>
              </w:tc>
              <w:tc>
                <w:tcPr>
                  <w:tcW w:w="2950" w:type="dxa"/>
                  <w:vAlign w:val="center"/>
                </w:tcPr>
                <w:p w14:paraId="6402DC87">
                  <w:pPr>
                    <w:keepNext w:val="0"/>
                    <w:keepLines w:val="0"/>
                    <w:widowControl/>
                    <w:suppressLineNumbers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bCs/>
                      <w:color w:val="auto"/>
                      <w:kern w:val="2"/>
                      <w:sz w:val="21"/>
                      <w:szCs w:val="21"/>
                    </w:rPr>
                    <w:t>安徽省地方标准《固定源挥发性有机物综合排放标准 第6部分：其他行业》（</w:t>
                  </w:r>
                  <w:r>
                    <w:rPr>
                      <w:rFonts w:hint="default" w:ascii="Times New Roman"/>
                      <w:bCs/>
                      <w:color w:val="auto"/>
                      <w:kern w:val="2"/>
                      <w:sz w:val="21"/>
                      <w:szCs w:val="21"/>
                    </w:rPr>
                    <w:t>DB34/4812.6</w:t>
                  </w:r>
                  <w:r>
                    <w:rPr>
                      <w:rFonts w:hint="eastAsia" w:ascii="Times New Roman"/>
                      <w:bCs/>
                      <w:color w:val="auto"/>
                      <w:kern w:val="2"/>
                      <w:sz w:val="21"/>
                      <w:szCs w:val="21"/>
                    </w:rPr>
                    <w:t>-</w:t>
                  </w:r>
                  <w:r>
                    <w:rPr>
                      <w:rFonts w:hint="default" w:ascii="Times New Roman"/>
                      <w:bCs/>
                      <w:color w:val="auto"/>
                      <w:kern w:val="2"/>
                      <w:sz w:val="21"/>
                      <w:szCs w:val="21"/>
                    </w:rPr>
                    <w:t>2024</w:t>
                  </w:r>
                  <w:r>
                    <w:rPr>
                      <w:rFonts w:hint="eastAsia" w:ascii="Times New Roman"/>
                      <w:bCs/>
                      <w:color w:val="auto"/>
                      <w:kern w:val="2"/>
                      <w:sz w:val="21"/>
                      <w:szCs w:val="21"/>
                    </w:rPr>
                    <w:t>）</w:t>
                  </w:r>
                </w:p>
              </w:tc>
            </w:tr>
          </w:tbl>
          <w:p w14:paraId="3B47CC31">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bCs/>
                <w:color w:val="auto"/>
                <w:kern w:val="2"/>
              </w:rPr>
            </w:pPr>
            <w:r>
              <w:rPr>
                <w:rFonts w:hint="eastAsia" w:ascii="Times New Roman" w:hAnsi="Times New Roman"/>
                <w:b/>
                <w:bCs/>
                <w:color w:val="auto"/>
                <w:kern w:val="2"/>
              </w:rPr>
              <w:t>二</w:t>
            </w:r>
            <w:r>
              <w:rPr>
                <w:rFonts w:hint="default" w:ascii="Times New Roman" w:hAnsi="Times New Roman"/>
                <w:b/>
                <w:bCs/>
                <w:color w:val="auto"/>
                <w:kern w:val="2"/>
              </w:rPr>
              <w:t>、噪声环境保护措施</w:t>
            </w:r>
          </w:p>
          <w:p w14:paraId="606460BD">
            <w:pPr>
              <w:pStyle w:val="29"/>
              <w:suppressLineNumbers w:val="0"/>
              <w:adjustRightInd/>
              <w:spacing w:before="0" w:beforeAutospacing="0" w:after="0" w:afterAutospacing="0" w:line="360" w:lineRule="auto"/>
              <w:ind w:left="0" w:right="0" w:firstLine="480" w:firstLineChars="200"/>
              <w:jc w:val="both"/>
              <w:rPr>
                <w:rFonts w:hint="default" w:ascii="Times New Roman" w:cs="宋体"/>
                <w:bCs/>
                <w:color w:val="auto"/>
                <w:kern w:val="2"/>
              </w:rPr>
            </w:pPr>
            <w:r>
              <w:rPr>
                <w:rFonts w:hint="eastAsia" w:ascii="Times New Roman" w:cs="宋体"/>
                <w:bCs/>
                <w:color w:val="auto"/>
                <w:kern w:val="2"/>
              </w:rPr>
              <w:t>（1）噪声源强</w:t>
            </w:r>
          </w:p>
          <w:p w14:paraId="687C4D95">
            <w:pPr>
              <w:keepNext w:val="0"/>
              <w:keepLines w:val="0"/>
              <w:widowControl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eastAsia" w:ascii="Times New Roman" w:hAnsi="Times New Roman" w:cs="Times New Roman"/>
                <w:color w:val="auto"/>
                <w:kern w:val="2"/>
              </w:rPr>
              <w:t>本次改扩建项目使用生成设备部分依托现有，部分新增，本次扩建项目对新增设备采用减振、隔声等措施，有效降低噪声环境影响，主要考虑的产噪设备为废气治理设施风机等高噪声设备。本次噪声核算通过扩建后全厂设备贡献值进行核算。</w:t>
            </w:r>
          </w:p>
          <w:p w14:paraId="31D37165">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黑体" w:cs="Times New Roman"/>
                <w:color w:val="auto"/>
                <w:kern w:val="2"/>
              </w:rPr>
            </w:pPr>
            <w:r>
              <w:rPr>
                <w:rFonts w:hint="default" w:ascii="Times New Roman" w:hAnsi="Times New Roman" w:eastAsia="黑体" w:cs="Times New Roman"/>
                <w:color w:val="auto"/>
                <w:kern w:val="2"/>
              </w:rPr>
              <w:t>表4-</w:t>
            </w:r>
            <w:r>
              <w:rPr>
                <w:rFonts w:hint="eastAsia" w:ascii="Times New Roman" w:hAnsi="Times New Roman" w:eastAsia="黑体" w:cs="Times New Roman"/>
                <w:color w:val="auto"/>
                <w:kern w:val="2"/>
                <w:lang w:val="en-US" w:eastAsia="zh-CN"/>
              </w:rPr>
              <w:t>6</w:t>
            </w:r>
            <w:r>
              <w:rPr>
                <w:rFonts w:hint="eastAsia" w:ascii="Times New Roman" w:hAnsi="Times New Roman" w:eastAsia="黑体" w:cs="Times New Roman"/>
                <w:color w:val="auto"/>
                <w:kern w:val="2"/>
              </w:rPr>
              <w:t xml:space="preserve">  </w:t>
            </w:r>
            <w:r>
              <w:rPr>
                <w:rFonts w:hint="default" w:ascii="Times New Roman" w:hAnsi="Times New Roman" w:eastAsia="黑体" w:cs="Times New Roman"/>
                <w:color w:val="auto"/>
                <w:kern w:val="2"/>
              </w:rPr>
              <w:t>工业企业噪声源强调查清单（室</w:t>
            </w:r>
            <w:r>
              <w:rPr>
                <w:rFonts w:hint="eastAsia" w:ascii="Times New Roman" w:hAnsi="Times New Roman" w:eastAsia="黑体" w:cs="Times New Roman"/>
                <w:color w:val="auto"/>
                <w:kern w:val="2"/>
              </w:rPr>
              <w:t>外</w:t>
            </w:r>
            <w:r>
              <w:rPr>
                <w:rFonts w:hint="default" w:ascii="Times New Roman" w:hAnsi="Times New Roman" w:eastAsia="黑体" w:cs="Times New Roman"/>
                <w:color w:val="auto"/>
                <w:kern w:val="2"/>
              </w:rPr>
              <w:t>声源）</w:t>
            </w:r>
          </w:p>
          <w:tbl>
            <w:tblPr>
              <w:tblStyle w:val="23"/>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36"/>
              <w:gridCol w:w="754"/>
              <w:gridCol w:w="602"/>
              <w:gridCol w:w="601"/>
              <w:gridCol w:w="581"/>
              <w:gridCol w:w="1485"/>
              <w:gridCol w:w="2264"/>
              <w:gridCol w:w="755"/>
            </w:tblGrid>
            <w:tr w14:paraId="74EBFA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restart"/>
                  <w:vAlign w:val="center"/>
                </w:tcPr>
                <w:p w14:paraId="6CDC398A">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序号</w:t>
                  </w:r>
                </w:p>
              </w:tc>
              <w:tc>
                <w:tcPr>
                  <w:tcW w:w="0" w:type="auto"/>
                  <w:vMerge w:val="restart"/>
                  <w:vAlign w:val="center"/>
                </w:tcPr>
                <w:p w14:paraId="2ACFD776">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声源名称</w:t>
                  </w:r>
                </w:p>
              </w:tc>
              <w:tc>
                <w:tcPr>
                  <w:tcW w:w="0" w:type="auto"/>
                  <w:gridSpan w:val="3"/>
                  <w:vAlign w:val="center"/>
                </w:tcPr>
                <w:p w14:paraId="4C36F608">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空间相对位置</w:t>
                  </w:r>
                  <w:r>
                    <w:rPr>
                      <w:rFonts w:hint="eastAsia" w:ascii="Times New Roman" w:hAnsi="Times New Roman" w:cs="Times New Roman"/>
                      <w:b/>
                      <w:color w:val="auto"/>
                      <w:kern w:val="2"/>
                      <w:sz w:val="21"/>
                      <w:szCs w:val="21"/>
                    </w:rPr>
                    <w:t>（m）</w:t>
                  </w:r>
                </w:p>
              </w:tc>
              <w:tc>
                <w:tcPr>
                  <w:tcW w:w="0" w:type="auto"/>
                  <w:vAlign w:val="center"/>
                </w:tcPr>
                <w:p w14:paraId="0F93D840">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声源源强</w:t>
                  </w:r>
                </w:p>
              </w:tc>
              <w:tc>
                <w:tcPr>
                  <w:tcW w:w="0" w:type="auto"/>
                  <w:vMerge w:val="restart"/>
                  <w:vAlign w:val="center"/>
                </w:tcPr>
                <w:p w14:paraId="1F956057">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声源控制措施</w:t>
                  </w:r>
                </w:p>
              </w:tc>
              <w:tc>
                <w:tcPr>
                  <w:tcW w:w="0" w:type="auto"/>
                  <w:vMerge w:val="restart"/>
                  <w:vAlign w:val="center"/>
                </w:tcPr>
                <w:p w14:paraId="4E734A34">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运行时段</w:t>
                  </w:r>
                </w:p>
              </w:tc>
            </w:tr>
            <w:tr w14:paraId="4D86AD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14:paraId="73BE66DA">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color w:val="auto"/>
                      <w:kern w:val="2"/>
                      <w:sz w:val="21"/>
                      <w:szCs w:val="21"/>
                    </w:rPr>
                  </w:pPr>
                </w:p>
              </w:tc>
              <w:tc>
                <w:tcPr>
                  <w:tcW w:w="0" w:type="auto"/>
                  <w:vMerge w:val="continue"/>
                  <w:vAlign w:val="center"/>
                </w:tcPr>
                <w:p w14:paraId="5FE5D697">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color w:val="auto"/>
                      <w:kern w:val="2"/>
                      <w:sz w:val="21"/>
                      <w:szCs w:val="21"/>
                    </w:rPr>
                  </w:pPr>
                </w:p>
              </w:tc>
              <w:tc>
                <w:tcPr>
                  <w:tcW w:w="0" w:type="auto"/>
                  <w:vAlign w:val="center"/>
                </w:tcPr>
                <w:p w14:paraId="6315D15A">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b/>
                      <w:color w:val="auto"/>
                      <w:kern w:val="2"/>
                      <w:sz w:val="21"/>
                      <w:szCs w:val="21"/>
                    </w:rPr>
                  </w:pPr>
                  <w:r>
                    <w:rPr>
                      <w:rFonts w:hint="eastAsia" w:ascii="Times New Roman" w:hAnsi="Times New Roman" w:cs="Times New Roman"/>
                      <w:b/>
                      <w:color w:val="auto"/>
                      <w:kern w:val="2"/>
                      <w:sz w:val="21"/>
                      <w:szCs w:val="21"/>
                    </w:rPr>
                    <w:t>X</w:t>
                  </w:r>
                </w:p>
              </w:tc>
              <w:tc>
                <w:tcPr>
                  <w:tcW w:w="0" w:type="auto"/>
                  <w:vAlign w:val="center"/>
                </w:tcPr>
                <w:p w14:paraId="3C580CBE">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b/>
                      <w:color w:val="auto"/>
                      <w:kern w:val="2"/>
                      <w:sz w:val="21"/>
                      <w:szCs w:val="21"/>
                    </w:rPr>
                  </w:pPr>
                  <w:r>
                    <w:rPr>
                      <w:rFonts w:hint="eastAsia" w:ascii="Times New Roman" w:hAnsi="Times New Roman" w:cs="Times New Roman"/>
                      <w:b/>
                      <w:color w:val="auto"/>
                      <w:kern w:val="2"/>
                      <w:sz w:val="21"/>
                      <w:szCs w:val="21"/>
                    </w:rPr>
                    <w:t>Y</w:t>
                  </w:r>
                </w:p>
              </w:tc>
              <w:tc>
                <w:tcPr>
                  <w:tcW w:w="0" w:type="auto"/>
                  <w:vAlign w:val="center"/>
                </w:tcPr>
                <w:p w14:paraId="45C95243">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b/>
                      <w:color w:val="auto"/>
                      <w:kern w:val="2"/>
                      <w:sz w:val="21"/>
                      <w:szCs w:val="21"/>
                    </w:rPr>
                  </w:pPr>
                  <w:r>
                    <w:rPr>
                      <w:rFonts w:hint="eastAsia" w:ascii="Times New Roman" w:hAnsi="Times New Roman" w:cs="Times New Roman"/>
                      <w:b/>
                      <w:color w:val="auto"/>
                      <w:kern w:val="2"/>
                      <w:sz w:val="21"/>
                      <w:szCs w:val="21"/>
                    </w:rPr>
                    <w:t>Z</w:t>
                  </w:r>
                </w:p>
              </w:tc>
              <w:tc>
                <w:tcPr>
                  <w:tcW w:w="0" w:type="auto"/>
                  <w:vAlign w:val="center"/>
                </w:tcPr>
                <w:p w14:paraId="37BCCF81">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声压级/dB（A）</w:t>
                  </w:r>
                  <w:r>
                    <w:rPr>
                      <w:rFonts w:hint="eastAsia" w:ascii="Times New Roman" w:hAnsi="Times New Roman" w:cs="Times New Roman"/>
                      <w:b/>
                      <w:color w:val="auto"/>
                      <w:kern w:val="2"/>
                      <w:sz w:val="21"/>
                      <w:szCs w:val="21"/>
                    </w:rPr>
                    <w:t>/1m/</w:t>
                  </w:r>
                </w:p>
              </w:tc>
              <w:tc>
                <w:tcPr>
                  <w:tcW w:w="0" w:type="auto"/>
                  <w:vMerge w:val="continue"/>
                  <w:vAlign w:val="center"/>
                </w:tcPr>
                <w:p w14:paraId="7536EB17">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color w:val="auto"/>
                      <w:kern w:val="2"/>
                      <w:sz w:val="21"/>
                      <w:szCs w:val="21"/>
                    </w:rPr>
                  </w:pPr>
                </w:p>
              </w:tc>
              <w:tc>
                <w:tcPr>
                  <w:tcW w:w="0" w:type="auto"/>
                  <w:vMerge w:val="continue"/>
                  <w:vAlign w:val="center"/>
                </w:tcPr>
                <w:p w14:paraId="13379BFC">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color w:val="auto"/>
                      <w:kern w:val="2"/>
                      <w:sz w:val="21"/>
                      <w:szCs w:val="21"/>
                    </w:rPr>
                  </w:pPr>
                </w:p>
              </w:tc>
            </w:tr>
            <w:tr w14:paraId="34918F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14:paraId="79CCFB74">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0" w:type="auto"/>
                  <w:vAlign w:val="center"/>
                </w:tcPr>
                <w:p w14:paraId="79C7F85E">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风机</w:t>
                  </w:r>
                </w:p>
              </w:tc>
              <w:tc>
                <w:tcPr>
                  <w:tcW w:w="0" w:type="auto"/>
                  <w:vAlign w:val="center"/>
                </w:tcPr>
                <w:p w14:paraId="2BDFD94B">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-50</w:t>
                  </w:r>
                </w:p>
              </w:tc>
              <w:tc>
                <w:tcPr>
                  <w:tcW w:w="0" w:type="auto"/>
                  <w:vAlign w:val="center"/>
                </w:tcPr>
                <w:p w14:paraId="39760DBA">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-27</w:t>
                  </w:r>
                </w:p>
              </w:tc>
              <w:tc>
                <w:tcPr>
                  <w:tcW w:w="0" w:type="auto"/>
                  <w:vAlign w:val="center"/>
                </w:tcPr>
                <w:p w14:paraId="64F97331">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1.2</w:t>
                  </w:r>
                </w:p>
              </w:tc>
              <w:tc>
                <w:tcPr>
                  <w:tcW w:w="0" w:type="auto"/>
                  <w:vAlign w:val="center"/>
                </w:tcPr>
                <w:p w14:paraId="159D5FC7">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90</w:t>
                  </w:r>
                </w:p>
              </w:tc>
              <w:tc>
                <w:tcPr>
                  <w:tcW w:w="0" w:type="auto"/>
                  <w:vAlign w:val="center"/>
                </w:tcPr>
                <w:p w14:paraId="1E72307E">
                  <w:pPr>
                    <w:keepNext w:val="0"/>
                    <w:keepLines w:val="0"/>
                    <w:widowControl/>
                    <w:suppressLineNumbers w:val="0"/>
                    <w:spacing w:before="100" w:beforeAutospacing="1" w:after="100" w:afterAutospacing="1"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风机底部设置减震垫，四周设置隔声罩</w:t>
                  </w:r>
                </w:p>
              </w:tc>
              <w:tc>
                <w:tcPr>
                  <w:tcW w:w="0" w:type="auto"/>
                  <w:vAlign w:val="center"/>
                </w:tcPr>
                <w:p w14:paraId="3D8A2DDF">
                  <w:pPr>
                    <w:keepNext w:val="0"/>
                    <w:keepLines w:val="0"/>
                    <w:widowControl/>
                    <w:suppressLineNumbers w:val="0"/>
                    <w:spacing w:before="0" w:beforeAutospacing="0" w:after="0" w:afterAutospacing="0" w:line="276" w:lineRule="auto"/>
                    <w:ind w:left="0" w:right="0"/>
                    <w:jc w:val="center"/>
                    <w:rPr>
                      <w:rFonts w:hint="default"/>
                      <w:color w:val="auto"/>
                      <w:kern w:val="2"/>
                      <w:sz w:val="21"/>
                      <w:szCs w:val="21"/>
                    </w:rPr>
                  </w:pPr>
                  <w:r>
                    <w:rPr>
                      <w:rFonts w:hint="eastAsia" w:ascii="Times New Roman" w:cs="Times New Roman"/>
                      <w:color w:val="auto"/>
                      <w:kern w:val="2"/>
                      <w:sz w:val="21"/>
                      <w:szCs w:val="21"/>
                    </w:rPr>
                    <w:t>昼间</w:t>
                  </w:r>
                </w:p>
              </w:tc>
            </w:tr>
          </w:tbl>
          <w:p w14:paraId="73AA246D">
            <w:pPr>
              <w:pStyle w:val="29"/>
              <w:suppressLineNumbers w:val="0"/>
              <w:spacing w:beforeAutospacing="0" w:afterAutospacing="0" w:line="20" w:lineRule="exact"/>
              <w:ind w:left="0" w:right="0"/>
              <w:rPr>
                <w:rFonts w:hint="default"/>
                <w:color w:val="auto"/>
                <w:kern w:val="2"/>
              </w:rPr>
            </w:pPr>
            <w:r>
              <w:rPr>
                <w:rFonts w:hint="default" w:ascii="Times New Roman" w:eastAsia="黑体"/>
                <w:color w:val="auto"/>
                <w:kern w:val="2"/>
                <w:sz w:val="21"/>
                <w:szCs w:val="21"/>
              </w:rPr>
              <w:t>注：本项目空间相对位置坐标以</w:t>
            </w:r>
            <w:bookmarkStart w:id="23" w:name="OLE_LINK42"/>
            <w:bookmarkStart w:id="24" w:name="OLE_LINK43"/>
            <w:r>
              <w:rPr>
                <w:rFonts w:hint="eastAsia" w:ascii="Times New Roman" w:eastAsia="黑体"/>
                <w:color w:val="auto"/>
                <w:kern w:val="2"/>
                <w:sz w:val="21"/>
                <w:szCs w:val="21"/>
              </w:rPr>
              <w:t>厂界</w:t>
            </w:r>
            <w:r>
              <w:rPr>
                <w:rFonts w:hint="default" w:ascii="Times New Roman" w:eastAsia="黑体"/>
                <w:color w:val="auto"/>
                <w:kern w:val="2"/>
                <w:sz w:val="21"/>
                <w:szCs w:val="21"/>
              </w:rPr>
              <w:t>中心</w:t>
            </w:r>
            <w:bookmarkEnd w:id="23"/>
            <w:bookmarkEnd w:id="24"/>
            <w:r>
              <w:rPr>
                <w:rFonts w:hint="default" w:ascii="Times New Roman" w:eastAsia="黑体"/>
                <w:color w:val="auto"/>
                <w:kern w:val="2"/>
                <w:sz w:val="21"/>
                <w:szCs w:val="21"/>
              </w:rPr>
              <w:t>为坐标原点，向东为X轴，向北为Y轴。</w:t>
            </w:r>
          </w:p>
        </w:tc>
      </w:tr>
    </w:tbl>
    <w:p w14:paraId="7811FF4A">
      <w:pPr>
        <w:spacing w:before="100" w:beforeAutospacing="1" w:after="100" w:afterAutospacing="1"/>
        <w:jc w:val="center"/>
        <w:rPr>
          <w:rFonts w:ascii="Times New Roman" w:hAnsi="Times New Roman" w:eastAsia="黑体" w:cs="Times New Roman"/>
          <w:snapToGrid w:val="0"/>
          <w:color w:val="auto"/>
          <w:sz w:val="30"/>
          <w:szCs w:val="30"/>
        </w:rPr>
        <w:sectPr>
          <w:pgSz w:w="11906" w:h="16838"/>
          <w:pgMar w:top="1440" w:right="1800" w:bottom="1440" w:left="1800" w:header="851" w:footer="992" w:gutter="0"/>
          <w:cols w:space="720" w:num="1"/>
          <w:docGrid w:type="lines" w:linePitch="312" w:charSpace="0"/>
        </w:sectPr>
      </w:pPr>
    </w:p>
    <w:tbl>
      <w:tblPr>
        <w:tblStyle w:val="23"/>
        <w:tblW w:w="4910" w:type="pct"/>
        <w:jc w:val="center"/>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3012"/>
      </w:tblGrid>
      <w:tr w14:paraId="424CDD72">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89" w:hRule="atLeast"/>
          <w:jc w:val="center"/>
        </w:trPr>
        <w:tc>
          <w:tcPr>
            <w:tcW w:w="299" w:type="pct"/>
            <w:tcMar>
              <w:left w:w="28" w:type="dxa"/>
              <w:right w:w="28" w:type="dxa"/>
            </w:tcMar>
            <w:vAlign w:val="center"/>
          </w:tcPr>
          <w:p w14:paraId="51B18092">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运营</w:t>
            </w:r>
          </w:p>
          <w:p w14:paraId="312457BC">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期环</w:t>
            </w:r>
          </w:p>
          <w:p w14:paraId="5C931777">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境影</w:t>
            </w:r>
          </w:p>
          <w:p w14:paraId="6F6A155C">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响和</w:t>
            </w:r>
          </w:p>
          <w:p w14:paraId="4E986BE9">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保护</w:t>
            </w:r>
          </w:p>
          <w:p w14:paraId="584D6B86">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措施</w:t>
            </w:r>
          </w:p>
        </w:tc>
        <w:tc>
          <w:tcPr>
            <w:tcW w:w="4701" w:type="pct"/>
          </w:tcPr>
          <w:p w14:paraId="09B38897">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黑体" w:cs="Times New Roman"/>
                <w:color w:val="auto"/>
                <w:kern w:val="2"/>
              </w:rPr>
            </w:pPr>
            <w:r>
              <w:rPr>
                <w:rFonts w:hint="default" w:ascii="Times New Roman" w:hAnsi="Times New Roman" w:eastAsia="黑体" w:cs="Times New Roman"/>
                <w:color w:val="auto"/>
                <w:kern w:val="2"/>
              </w:rPr>
              <w:t>表4-</w:t>
            </w:r>
            <w:r>
              <w:rPr>
                <w:rFonts w:hint="eastAsia" w:ascii="Times New Roman" w:hAnsi="Times New Roman" w:eastAsia="黑体" w:cs="Times New Roman"/>
                <w:color w:val="auto"/>
                <w:kern w:val="2"/>
                <w:lang w:val="en-US" w:eastAsia="zh-CN"/>
              </w:rPr>
              <w:t>7</w:t>
            </w:r>
            <w:r>
              <w:rPr>
                <w:rFonts w:hint="eastAsia" w:ascii="Times New Roman" w:hAnsi="Times New Roman" w:eastAsia="黑体" w:cs="Times New Roman"/>
                <w:color w:val="auto"/>
                <w:kern w:val="2"/>
              </w:rPr>
              <w:t xml:space="preserve">  </w:t>
            </w:r>
            <w:r>
              <w:rPr>
                <w:rFonts w:hint="default" w:ascii="Times New Roman" w:hAnsi="Times New Roman" w:eastAsia="黑体" w:cs="Times New Roman"/>
                <w:color w:val="auto"/>
                <w:kern w:val="2"/>
              </w:rPr>
              <w:t>工业企业噪声源强调查清单（室</w:t>
            </w:r>
            <w:r>
              <w:rPr>
                <w:rFonts w:hint="eastAsia" w:ascii="Times New Roman" w:hAnsi="Times New Roman" w:eastAsia="黑体" w:cs="Times New Roman"/>
                <w:color w:val="auto"/>
                <w:kern w:val="2"/>
              </w:rPr>
              <w:t>内</w:t>
            </w:r>
            <w:r>
              <w:rPr>
                <w:rFonts w:hint="default" w:ascii="Times New Roman" w:hAnsi="Times New Roman" w:eastAsia="黑体" w:cs="Times New Roman"/>
                <w:color w:val="auto"/>
                <w:kern w:val="2"/>
              </w:rPr>
              <w:t>声源）</w:t>
            </w:r>
          </w:p>
          <w:tbl>
            <w:tblPr>
              <w:tblStyle w:val="23"/>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27"/>
              <w:gridCol w:w="427"/>
              <w:gridCol w:w="946"/>
              <w:gridCol w:w="790"/>
              <w:gridCol w:w="636"/>
              <w:gridCol w:w="496"/>
              <w:gridCol w:w="496"/>
              <w:gridCol w:w="531"/>
              <w:gridCol w:w="427"/>
              <w:gridCol w:w="427"/>
              <w:gridCol w:w="427"/>
              <w:gridCol w:w="427"/>
              <w:gridCol w:w="584"/>
              <w:gridCol w:w="584"/>
              <w:gridCol w:w="584"/>
              <w:gridCol w:w="584"/>
              <w:gridCol w:w="427"/>
              <w:gridCol w:w="790"/>
              <w:gridCol w:w="584"/>
              <w:gridCol w:w="584"/>
              <w:gridCol w:w="584"/>
              <w:gridCol w:w="584"/>
              <w:gridCol w:w="450"/>
            </w:tblGrid>
            <w:tr w14:paraId="410907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0" w:type="auto"/>
                  <w:vMerge w:val="restart"/>
                  <w:vAlign w:val="center"/>
                </w:tcPr>
                <w:p w14:paraId="7910E378">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序号</w:t>
                  </w:r>
                </w:p>
              </w:tc>
              <w:tc>
                <w:tcPr>
                  <w:tcW w:w="0" w:type="auto"/>
                  <w:vMerge w:val="restart"/>
                  <w:vAlign w:val="center"/>
                </w:tcPr>
                <w:p w14:paraId="7FBBC18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eastAsia" w:ascii="Times New Roman" w:hAnsi="Times New Roman" w:cs="Times New Roman"/>
                      <w:b/>
                      <w:color w:val="auto"/>
                      <w:kern w:val="2"/>
                      <w:sz w:val="21"/>
                      <w:szCs w:val="21"/>
                    </w:rPr>
                    <w:t>建筑物名称</w:t>
                  </w:r>
                </w:p>
              </w:tc>
              <w:tc>
                <w:tcPr>
                  <w:tcW w:w="1043" w:type="dxa"/>
                  <w:vMerge w:val="restart"/>
                  <w:vAlign w:val="center"/>
                </w:tcPr>
                <w:p w14:paraId="75E98B38">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声源名称</w:t>
                  </w:r>
                </w:p>
              </w:tc>
              <w:tc>
                <w:tcPr>
                  <w:tcW w:w="790" w:type="dxa"/>
                  <w:vAlign w:val="center"/>
                </w:tcPr>
                <w:p w14:paraId="7F274F0B">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eastAsia" w:ascii="Times New Roman" w:hAnsi="Times New Roman" w:cs="Times New Roman"/>
                      <w:b/>
                      <w:color w:val="auto"/>
                      <w:kern w:val="2"/>
                      <w:sz w:val="21"/>
                      <w:szCs w:val="21"/>
                    </w:rPr>
                    <w:t>叠加</w:t>
                  </w:r>
                  <w:r>
                    <w:rPr>
                      <w:rFonts w:hint="default" w:ascii="Times New Roman" w:hAnsi="Times New Roman" w:cs="Times New Roman"/>
                      <w:b/>
                      <w:color w:val="auto"/>
                      <w:kern w:val="2"/>
                      <w:sz w:val="21"/>
                      <w:szCs w:val="21"/>
                    </w:rPr>
                    <w:t>声源源强</w:t>
                  </w:r>
                </w:p>
              </w:tc>
              <w:tc>
                <w:tcPr>
                  <w:tcW w:w="636" w:type="dxa"/>
                  <w:vMerge w:val="restart"/>
                  <w:vAlign w:val="center"/>
                </w:tcPr>
                <w:p w14:paraId="210BAE01">
                  <w:pPr>
                    <w:keepNext w:val="0"/>
                    <w:keepLines w:val="0"/>
                    <w:widowControl w:val="0"/>
                    <w:suppressLineNumbers w:val="0"/>
                    <w:spacing w:before="100" w:beforeAutospacing="1" w:after="100" w:afterAutospacing="1" w:line="276" w:lineRule="auto"/>
                    <w:ind w:left="0" w:right="0"/>
                    <w:jc w:val="center"/>
                    <w:rPr>
                      <w:rFonts w:hint="default" w:ascii="Times New Roman" w:hAnsi="Times New Roman" w:cs="Times New Roman"/>
                      <w:b/>
                      <w:color w:val="auto"/>
                      <w:kern w:val="2"/>
                      <w:sz w:val="21"/>
                      <w:szCs w:val="21"/>
                    </w:rPr>
                  </w:pPr>
                  <w:r>
                    <w:rPr>
                      <w:rFonts w:hint="eastAsia" w:ascii="Times New Roman" w:hAnsi="Times New Roman" w:cs="Times New Roman"/>
                      <w:b/>
                      <w:color w:val="auto"/>
                      <w:kern w:val="2"/>
                      <w:sz w:val="21"/>
                      <w:szCs w:val="21"/>
                    </w:rPr>
                    <w:t>声源控制措施</w:t>
                  </w:r>
                </w:p>
              </w:tc>
              <w:tc>
                <w:tcPr>
                  <w:tcW w:w="0" w:type="auto"/>
                  <w:gridSpan w:val="3"/>
                  <w:vAlign w:val="center"/>
                </w:tcPr>
                <w:p w14:paraId="5B0B80F7">
                  <w:pPr>
                    <w:keepNext w:val="0"/>
                    <w:keepLines w:val="0"/>
                    <w:widowControl w:val="0"/>
                    <w:suppressLineNumbers w:val="0"/>
                    <w:spacing w:before="100" w:beforeAutospacing="1" w:after="100" w:afterAutospacing="1"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空间相对位置</w:t>
                  </w:r>
                  <w:r>
                    <w:rPr>
                      <w:rFonts w:hint="eastAsia" w:ascii="Times New Roman" w:hAnsi="Times New Roman" w:cs="Times New Roman"/>
                      <w:b/>
                      <w:color w:val="auto"/>
                      <w:kern w:val="2"/>
                      <w:sz w:val="21"/>
                      <w:szCs w:val="21"/>
                    </w:rPr>
                    <w:t>（m）</w:t>
                  </w:r>
                </w:p>
              </w:tc>
              <w:tc>
                <w:tcPr>
                  <w:tcW w:w="0" w:type="auto"/>
                  <w:gridSpan w:val="4"/>
                  <w:tcBorders>
                    <w:bottom w:val="single" w:color="auto" w:sz="4" w:space="0"/>
                  </w:tcBorders>
                  <w:vAlign w:val="center"/>
                </w:tcPr>
                <w:p w14:paraId="3EE455A3">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eastAsia" w:ascii="Times New Roman" w:hAnsi="Times New Roman" w:cs="Times New Roman"/>
                      <w:b/>
                      <w:color w:val="auto"/>
                      <w:kern w:val="2"/>
                      <w:sz w:val="21"/>
                      <w:szCs w:val="21"/>
                    </w:rPr>
                    <w:t>距室内边界距离/m</w:t>
                  </w:r>
                </w:p>
              </w:tc>
              <w:tc>
                <w:tcPr>
                  <w:tcW w:w="0" w:type="auto"/>
                  <w:gridSpan w:val="4"/>
                  <w:tcBorders>
                    <w:bottom w:val="single" w:color="auto" w:sz="4" w:space="0"/>
                  </w:tcBorders>
                  <w:vAlign w:val="center"/>
                </w:tcPr>
                <w:p w14:paraId="79A2E8C1">
                  <w:pPr>
                    <w:keepNext w:val="0"/>
                    <w:keepLines w:val="0"/>
                    <w:widowControl w:val="0"/>
                    <w:suppressLineNumbers w:val="0"/>
                    <w:spacing w:before="0" w:beforeAutospacing="0" w:after="0" w:afterAutospacing="0"/>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室内边界声级/dB（A）</w:t>
                  </w:r>
                </w:p>
              </w:tc>
              <w:tc>
                <w:tcPr>
                  <w:tcW w:w="0" w:type="auto"/>
                  <w:vMerge w:val="restart"/>
                  <w:vAlign w:val="center"/>
                </w:tcPr>
                <w:p w14:paraId="34C6B7F7">
                  <w:pPr>
                    <w:keepNext w:val="0"/>
                    <w:keepLines w:val="0"/>
                    <w:widowControl w:val="0"/>
                    <w:suppressLineNumbers w:val="0"/>
                    <w:spacing w:before="0" w:beforeAutospacing="0" w:after="0" w:afterAutospacing="0"/>
                    <w:ind w:left="0" w:right="0"/>
                    <w:jc w:val="center"/>
                    <w:rPr>
                      <w:rFonts w:hint="default" w:ascii="Times New Roman" w:hAnsi="Times New Roman" w:cs="Times New Roman"/>
                      <w:b/>
                      <w:color w:val="auto"/>
                      <w:kern w:val="2"/>
                      <w:sz w:val="21"/>
                      <w:szCs w:val="21"/>
                    </w:rPr>
                  </w:pPr>
                  <w:r>
                    <w:rPr>
                      <w:rFonts w:hint="eastAsia" w:ascii="Times New Roman" w:hAnsi="Times New Roman" w:cs="Times New Roman"/>
                      <w:b/>
                      <w:color w:val="auto"/>
                      <w:kern w:val="2"/>
                      <w:sz w:val="21"/>
                      <w:szCs w:val="21"/>
                    </w:rPr>
                    <w:t>运行时段</w:t>
                  </w:r>
                </w:p>
              </w:tc>
              <w:tc>
                <w:tcPr>
                  <w:tcW w:w="0" w:type="auto"/>
                  <w:vMerge w:val="restart"/>
                  <w:vAlign w:val="center"/>
                </w:tcPr>
                <w:p w14:paraId="671874FC">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建筑物插</w:t>
                  </w:r>
                  <w:r>
                    <w:rPr>
                      <w:rFonts w:hint="eastAsia" w:ascii="Times New Roman" w:hAnsi="Times New Roman" w:cs="Times New Roman"/>
                      <w:b/>
                      <w:color w:val="auto"/>
                      <w:kern w:val="2"/>
                      <w:sz w:val="21"/>
                      <w:szCs w:val="21"/>
                    </w:rPr>
                    <w:t>入</w:t>
                  </w:r>
                  <w:r>
                    <w:rPr>
                      <w:rFonts w:hint="default" w:ascii="Times New Roman" w:hAnsi="Times New Roman" w:cs="Times New Roman"/>
                      <w:b/>
                      <w:color w:val="auto"/>
                      <w:kern w:val="2"/>
                      <w:sz w:val="21"/>
                      <w:szCs w:val="21"/>
                    </w:rPr>
                    <w:t>损失/dB（A）</w:t>
                  </w:r>
                </w:p>
              </w:tc>
              <w:tc>
                <w:tcPr>
                  <w:tcW w:w="0" w:type="auto"/>
                  <w:gridSpan w:val="5"/>
                  <w:vAlign w:val="center"/>
                </w:tcPr>
                <w:p w14:paraId="4B87A2F0">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建筑物外噪声</w:t>
                  </w:r>
                  <w:r>
                    <w:rPr>
                      <w:rFonts w:hint="eastAsia" w:ascii="Times New Roman" w:hAnsi="Times New Roman" w:cs="Times New Roman"/>
                      <w:b/>
                      <w:color w:val="auto"/>
                      <w:kern w:val="2"/>
                      <w:sz w:val="21"/>
                      <w:szCs w:val="21"/>
                    </w:rPr>
                    <w:t>声压级</w:t>
                  </w:r>
                  <w:r>
                    <w:rPr>
                      <w:rFonts w:hint="default" w:ascii="Times New Roman" w:hAnsi="Times New Roman" w:cs="Times New Roman"/>
                      <w:b/>
                      <w:color w:val="auto"/>
                      <w:kern w:val="2"/>
                      <w:sz w:val="21"/>
                      <w:szCs w:val="21"/>
                    </w:rPr>
                    <w:t>/dB（A）</w:t>
                  </w:r>
                </w:p>
              </w:tc>
            </w:tr>
            <w:tr w14:paraId="784BAE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0" w:type="auto"/>
                  <w:vMerge w:val="continue"/>
                  <w:vAlign w:val="center"/>
                </w:tcPr>
                <w:p w14:paraId="7C59F99D">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0" w:type="auto"/>
                  <w:vMerge w:val="continue"/>
                  <w:vAlign w:val="center"/>
                </w:tcPr>
                <w:p w14:paraId="2B6B4F60">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1043" w:type="dxa"/>
                  <w:vMerge w:val="continue"/>
                  <w:vAlign w:val="center"/>
                </w:tcPr>
                <w:p w14:paraId="1FD1DA1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p>
              </w:tc>
              <w:tc>
                <w:tcPr>
                  <w:tcW w:w="790" w:type="dxa"/>
                  <w:tcBorders>
                    <w:bottom w:val="single" w:color="auto" w:sz="4" w:space="0"/>
                  </w:tcBorders>
                  <w:vAlign w:val="center"/>
                </w:tcPr>
                <w:p w14:paraId="4E827FB6">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eastAsia" w:ascii="Times New Roman" w:hAnsi="Times New Roman" w:cs="Times New Roman"/>
                      <w:b/>
                      <w:color w:val="auto"/>
                      <w:kern w:val="2"/>
                      <w:sz w:val="21"/>
                      <w:szCs w:val="21"/>
                    </w:rPr>
                    <w:t>声功能级</w:t>
                  </w:r>
                  <w:r>
                    <w:rPr>
                      <w:rFonts w:hint="default" w:ascii="Times New Roman" w:hAnsi="Times New Roman" w:cs="Times New Roman"/>
                      <w:b/>
                      <w:color w:val="auto"/>
                      <w:kern w:val="2"/>
                      <w:sz w:val="21"/>
                      <w:szCs w:val="21"/>
                    </w:rPr>
                    <w:t>/dB（A）</w:t>
                  </w:r>
                </w:p>
              </w:tc>
              <w:tc>
                <w:tcPr>
                  <w:tcW w:w="636" w:type="dxa"/>
                  <w:vMerge w:val="continue"/>
                  <w:tcBorders>
                    <w:bottom w:val="single" w:color="auto" w:sz="4" w:space="0"/>
                  </w:tcBorders>
                  <w:vAlign w:val="center"/>
                </w:tcPr>
                <w:p w14:paraId="5AF8C830">
                  <w:pPr>
                    <w:keepNext w:val="0"/>
                    <w:keepLines w:val="0"/>
                    <w:widowControl w:val="0"/>
                    <w:suppressLineNumbers w:val="0"/>
                    <w:spacing w:before="100" w:beforeAutospacing="1" w:after="100" w:afterAutospacing="1" w:line="276" w:lineRule="auto"/>
                    <w:ind w:left="0" w:right="0"/>
                    <w:jc w:val="center"/>
                    <w:rPr>
                      <w:rFonts w:hint="default" w:ascii="Times New Roman" w:hAnsi="Times New Roman" w:cs="Times New Roman"/>
                      <w:b/>
                      <w:color w:val="auto"/>
                      <w:kern w:val="2"/>
                      <w:sz w:val="21"/>
                      <w:szCs w:val="21"/>
                    </w:rPr>
                  </w:pPr>
                </w:p>
              </w:tc>
              <w:tc>
                <w:tcPr>
                  <w:tcW w:w="0" w:type="auto"/>
                  <w:tcBorders>
                    <w:bottom w:val="single" w:color="auto" w:sz="4" w:space="0"/>
                  </w:tcBorders>
                  <w:vAlign w:val="center"/>
                </w:tcPr>
                <w:p w14:paraId="09418FE9">
                  <w:pPr>
                    <w:keepNext w:val="0"/>
                    <w:keepLines w:val="0"/>
                    <w:widowControl w:val="0"/>
                    <w:suppressLineNumbers w:val="0"/>
                    <w:spacing w:before="100" w:beforeAutospacing="1" w:after="100" w:afterAutospacing="1" w:line="276" w:lineRule="auto"/>
                    <w:ind w:left="0" w:right="0"/>
                    <w:jc w:val="center"/>
                    <w:rPr>
                      <w:rFonts w:hint="default" w:ascii="Times New Roman" w:hAnsi="Times New Roman" w:cs="Times New Roman"/>
                      <w:b/>
                      <w:color w:val="auto"/>
                      <w:kern w:val="2"/>
                      <w:sz w:val="21"/>
                      <w:szCs w:val="21"/>
                    </w:rPr>
                  </w:pPr>
                  <w:r>
                    <w:rPr>
                      <w:rFonts w:hint="eastAsia" w:ascii="Times New Roman" w:hAnsi="Times New Roman" w:cs="Times New Roman"/>
                      <w:b/>
                      <w:color w:val="auto"/>
                      <w:kern w:val="2"/>
                      <w:sz w:val="21"/>
                      <w:szCs w:val="21"/>
                    </w:rPr>
                    <w:t>X</w:t>
                  </w:r>
                </w:p>
              </w:tc>
              <w:tc>
                <w:tcPr>
                  <w:tcW w:w="0" w:type="auto"/>
                  <w:tcBorders>
                    <w:bottom w:val="single" w:color="auto" w:sz="4" w:space="0"/>
                  </w:tcBorders>
                  <w:vAlign w:val="center"/>
                </w:tcPr>
                <w:p w14:paraId="7239D6AE">
                  <w:pPr>
                    <w:keepNext w:val="0"/>
                    <w:keepLines w:val="0"/>
                    <w:widowControl w:val="0"/>
                    <w:suppressLineNumbers w:val="0"/>
                    <w:spacing w:before="100" w:beforeAutospacing="1" w:after="100" w:afterAutospacing="1" w:line="276" w:lineRule="auto"/>
                    <w:ind w:left="0" w:right="0"/>
                    <w:jc w:val="center"/>
                    <w:rPr>
                      <w:rFonts w:hint="default" w:ascii="Times New Roman" w:hAnsi="Times New Roman" w:cs="Times New Roman"/>
                      <w:b/>
                      <w:color w:val="auto"/>
                      <w:kern w:val="2"/>
                      <w:sz w:val="21"/>
                      <w:szCs w:val="21"/>
                    </w:rPr>
                  </w:pPr>
                  <w:r>
                    <w:rPr>
                      <w:rFonts w:hint="eastAsia" w:ascii="Times New Roman" w:hAnsi="Times New Roman" w:cs="Times New Roman"/>
                      <w:b/>
                      <w:color w:val="auto"/>
                      <w:kern w:val="2"/>
                      <w:sz w:val="21"/>
                      <w:szCs w:val="21"/>
                    </w:rPr>
                    <w:t>Y</w:t>
                  </w:r>
                </w:p>
              </w:tc>
              <w:tc>
                <w:tcPr>
                  <w:tcW w:w="0" w:type="auto"/>
                  <w:tcBorders>
                    <w:top w:val="single" w:color="auto" w:sz="4" w:space="0"/>
                    <w:bottom w:val="single" w:color="auto" w:sz="4" w:space="0"/>
                  </w:tcBorders>
                  <w:vAlign w:val="center"/>
                </w:tcPr>
                <w:p w14:paraId="6B46189A">
                  <w:pPr>
                    <w:keepNext w:val="0"/>
                    <w:keepLines w:val="0"/>
                    <w:widowControl w:val="0"/>
                    <w:suppressLineNumbers w:val="0"/>
                    <w:spacing w:before="100" w:beforeAutospacing="1" w:after="100" w:afterAutospacing="1" w:line="276" w:lineRule="auto"/>
                    <w:ind w:left="0" w:right="0"/>
                    <w:jc w:val="center"/>
                    <w:rPr>
                      <w:rFonts w:hint="default" w:ascii="Times New Roman" w:hAnsi="Times New Roman" w:cs="Times New Roman"/>
                      <w:b/>
                      <w:color w:val="auto"/>
                      <w:kern w:val="2"/>
                      <w:sz w:val="21"/>
                      <w:szCs w:val="21"/>
                    </w:rPr>
                  </w:pPr>
                  <w:r>
                    <w:rPr>
                      <w:rFonts w:hint="eastAsia" w:ascii="Times New Roman" w:hAnsi="Times New Roman" w:cs="Times New Roman"/>
                      <w:b/>
                      <w:color w:val="auto"/>
                      <w:kern w:val="2"/>
                      <w:sz w:val="21"/>
                      <w:szCs w:val="21"/>
                    </w:rPr>
                    <w:t>Z</w:t>
                  </w:r>
                </w:p>
              </w:tc>
              <w:tc>
                <w:tcPr>
                  <w:tcW w:w="0" w:type="auto"/>
                  <w:tcBorders>
                    <w:top w:val="single" w:color="auto" w:sz="4" w:space="0"/>
                  </w:tcBorders>
                  <w:vAlign w:val="center"/>
                </w:tcPr>
                <w:p w14:paraId="4A2FE60A">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东</w:t>
                  </w:r>
                </w:p>
              </w:tc>
              <w:tc>
                <w:tcPr>
                  <w:tcW w:w="0" w:type="auto"/>
                  <w:tcBorders>
                    <w:top w:val="single" w:color="auto" w:sz="4" w:space="0"/>
                  </w:tcBorders>
                  <w:vAlign w:val="center"/>
                </w:tcPr>
                <w:p w14:paraId="2766ED4E">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南</w:t>
                  </w:r>
                </w:p>
              </w:tc>
              <w:tc>
                <w:tcPr>
                  <w:tcW w:w="0" w:type="auto"/>
                  <w:vAlign w:val="center"/>
                </w:tcPr>
                <w:p w14:paraId="0BCDE192">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西</w:t>
                  </w:r>
                </w:p>
              </w:tc>
              <w:tc>
                <w:tcPr>
                  <w:tcW w:w="0" w:type="auto"/>
                  <w:tcBorders>
                    <w:top w:val="single" w:color="auto" w:sz="4" w:space="0"/>
                  </w:tcBorders>
                  <w:vAlign w:val="center"/>
                </w:tcPr>
                <w:p w14:paraId="4C77DD8D">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北</w:t>
                  </w:r>
                </w:p>
              </w:tc>
              <w:tc>
                <w:tcPr>
                  <w:tcW w:w="0" w:type="auto"/>
                  <w:tcBorders>
                    <w:top w:val="single" w:color="auto" w:sz="4" w:space="0"/>
                  </w:tcBorders>
                  <w:vAlign w:val="center"/>
                </w:tcPr>
                <w:p w14:paraId="03E7E34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东</w:t>
                  </w:r>
                </w:p>
              </w:tc>
              <w:tc>
                <w:tcPr>
                  <w:tcW w:w="0" w:type="auto"/>
                  <w:tcBorders>
                    <w:top w:val="single" w:color="auto" w:sz="4" w:space="0"/>
                  </w:tcBorders>
                  <w:vAlign w:val="center"/>
                </w:tcPr>
                <w:p w14:paraId="033EDF1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南</w:t>
                  </w:r>
                </w:p>
              </w:tc>
              <w:tc>
                <w:tcPr>
                  <w:tcW w:w="0" w:type="auto"/>
                  <w:vAlign w:val="center"/>
                </w:tcPr>
                <w:p w14:paraId="4802FFC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西</w:t>
                  </w:r>
                </w:p>
              </w:tc>
              <w:tc>
                <w:tcPr>
                  <w:tcW w:w="0" w:type="auto"/>
                  <w:vAlign w:val="center"/>
                </w:tcPr>
                <w:p w14:paraId="48493B5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北</w:t>
                  </w:r>
                </w:p>
              </w:tc>
              <w:tc>
                <w:tcPr>
                  <w:tcW w:w="0" w:type="auto"/>
                  <w:vMerge w:val="continue"/>
                  <w:vAlign w:val="center"/>
                </w:tcPr>
                <w:p w14:paraId="182A603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p>
              </w:tc>
              <w:tc>
                <w:tcPr>
                  <w:tcW w:w="0" w:type="auto"/>
                  <w:vMerge w:val="continue"/>
                  <w:vAlign w:val="center"/>
                </w:tcPr>
                <w:p w14:paraId="070CF390">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p>
              </w:tc>
              <w:tc>
                <w:tcPr>
                  <w:tcW w:w="0" w:type="auto"/>
                  <w:vAlign w:val="center"/>
                </w:tcPr>
                <w:p w14:paraId="576677DE">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东</w:t>
                  </w:r>
                </w:p>
              </w:tc>
              <w:tc>
                <w:tcPr>
                  <w:tcW w:w="0" w:type="auto"/>
                  <w:vAlign w:val="center"/>
                </w:tcPr>
                <w:p w14:paraId="0461E2C3">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南</w:t>
                  </w:r>
                </w:p>
              </w:tc>
              <w:tc>
                <w:tcPr>
                  <w:tcW w:w="0" w:type="auto"/>
                  <w:vAlign w:val="center"/>
                </w:tcPr>
                <w:p w14:paraId="7AA965E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西</w:t>
                  </w:r>
                </w:p>
              </w:tc>
              <w:tc>
                <w:tcPr>
                  <w:tcW w:w="0" w:type="auto"/>
                  <w:vAlign w:val="center"/>
                </w:tcPr>
                <w:p w14:paraId="3E20EAE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北</w:t>
                  </w:r>
                </w:p>
              </w:tc>
              <w:tc>
                <w:tcPr>
                  <w:tcW w:w="0" w:type="auto"/>
                  <w:vAlign w:val="center"/>
                </w:tcPr>
                <w:p w14:paraId="6EC21A30">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建筑物外距离</w:t>
                  </w:r>
                  <w:r>
                    <w:rPr>
                      <w:rFonts w:hint="eastAsia" w:ascii="Times New Roman" w:hAnsi="Times New Roman" w:cs="Times New Roman"/>
                      <w:b/>
                      <w:color w:val="auto"/>
                      <w:kern w:val="2"/>
                      <w:sz w:val="21"/>
                      <w:szCs w:val="21"/>
                    </w:rPr>
                    <w:t>/m</w:t>
                  </w:r>
                </w:p>
              </w:tc>
            </w:tr>
            <w:tr w14:paraId="0B1EF1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0" w:type="auto"/>
                  <w:vAlign w:val="center"/>
                </w:tcPr>
                <w:p w14:paraId="125C3DC3">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w:t>
                  </w:r>
                </w:p>
              </w:tc>
              <w:tc>
                <w:tcPr>
                  <w:tcW w:w="0" w:type="auto"/>
                  <w:vMerge w:val="restart"/>
                  <w:vAlign w:val="center"/>
                </w:tcPr>
                <w:p w14:paraId="5DDA0512">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生产厂房</w:t>
                  </w:r>
                </w:p>
              </w:tc>
              <w:tc>
                <w:tcPr>
                  <w:tcW w:w="1043" w:type="dxa"/>
                  <w:vAlign w:val="center"/>
                </w:tcPr>
                <w:p w14:paraId="3BD721B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选垫测量设备×6</w:t>
                  </w:r>
                </w:p>
              </w:tc>
              <w:tc>
                <w:tcPr>
                  <w:tcW w:w="790" w:type="dxa"/>
                  <w:tcBorders>
                    <w:top w:val="single" w:color="auto" w:sz="4" w:space="0"/>
                  </w:tcBorders>
                  <w:vAlign w:val="center"/>
                </w:tcPr>
                <w:p w14:paraId="771490B8">
                  <w:pPr>
                    <w:keepNext w:val="0"/>
                    <w:keepLines w:val="0"/>
                    <w:widowControl w:val="0"/>
                    <w:suppressLineNumbers w:val="0"/>
                    <w:spacing w:before="100" w:beforeAutospacing="1" w:after="100" w:afterAutospacing="1" w:line="271" w:lineRule="auto"/>
                    <w:ind w:left="0" w:right="0"/>
                    <w:jc w:val="center"/>
                    <w:rPr>
                      <w:rFonts w:hint="default" w:ascii="Times New Roman" w:hAnsi="Times New Roman" w:cs="Times New Roman"/>
                      <w:color w:val="auto"/>
                      <w:kern w:val="2"/>
                      <w:sz w:val="21"/>
                      <w:szCs w:val="21"/>
                    </w:rPr>
                  </w:pPr>
                  <w:bookmarkStart w:id="25" w:name="OLE_LINK153"/>
                  <w:r>
                    <w:rPr>
                      <w:rFonts w:hint="eastAsia" w:ascii="Times New Roman" w:hAnsi="Times New Roman" w:cs="Times New Roman"/>
                      <w:color w:val="auto"/>
                      <w:kern w:val="2"/>
                      <w:sz w:val="21"/>
                      <w:szCs w:val="21"/>
                    </w:rPr>
                    <w:t>8</w:t>
                  </w:r>
                  <w:bookmarkEnd w:id="25"/>
                  <w:r>
                    <w:rPr>
                      <w:rFonts w:hint="eastAsia" w:ascii="Times New Roman" w:hAnsi="Times New Roman" w:cs="Times New Roman"/>
                      <w:color w:val="auto"/>
                      <w:kern w:val="2"/>
                      <w:sz w:val="21"/>
                      <w:szCs w:val="21"/>
                    </w:rPr>
                    <w:t>7</w:t>
                  </w:r>
                </w:p>
              </w:tc>
              <w:tc>
                <w:tcPr>
                  <w:tcW w:w="636" w:type="dxa"/>
                  <w:vMerge w:val="restart"/>
                  <w:tcBorders>
                    <w:top w:val="single" w:color="auto" w:sz="4" w:space="0"/>
                  </w:tcBorders>
                  <w:vAlign w:val="center"/>
                </w:tcPr>
                <w:p w14:paraId="13F5338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基础减振</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加装消声器</w:t>
                  </w:r>
                  <w:r>
                    <w:rPr>
                      <w:rFonts w:hint="eastAsia" w:ascii="Times New Roman" w:hAnsi="Times New Roman" w:cs="Times New Roman"/>
                      <w:color w:val="auto"/>
                      <w:kern w:val="2"/>
                      <w:sz w:val="21"/>
                      <w:szCs w:val="21"/>
                    </w:rPr>
                    <w:t>、</w:t>
                  </w:r>
                  <w:r>
                    <w:rPr>
                      <w:rFonts w:hint="default" w:ascii="Times New Roman" w:hAnsi="Times New Roman" w:cs="Times New Roman"/>
                      <w:color w:val="auto"/>
                      <w:kern w:val="2"/>
                      <w:sz w:val="21"/>
                      <w:szCs w:val="21"/>
                    </w:rPr>
                    <w:t>隔声</w:t>
                  </w:r>
                </w:p>
              </w:tc>
              <w:tc>
                <w:tcPr>
                  <w:tcW w:w="0" w:type="auto"/>
                  <w:tcBorders>
                    <w:top w:val="single" w:color="auto" w:sz="4" w:space="0"/>
                  </w:tcBorders>
                  <w:vAlign w:val="center"/>
                </w:tcPr>
                <w:p w14:paraId="038FA6E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-67</w:t>
                  </w:r>
                </w:p>
              </w:tc>
              <w:tc>
                <w:tcPr>
                  <w:tcW w:w="0" w:type="auto"/>
                  <w:tcBorders>
                    <w:top w:val="single" w:color="auto" w:sz="4" w:space="0"/>
                  </w:tcBorders>
                  <w:vAlign w:val="center"/>
                </w:tcPr>
                <w:p w14:paraId="451E37E0">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-39</w:t>
                  </w:r>
                </w:p>
              </w:tc>
              <w:tc>
                <w:tcPr>
                  <w:tcW w:w="0" w:type="auto"/>
                  <w:tcBorders>
                    <w:top w:val="single" w:color="auto" w:sz="4" w:space="0"/>
                  </w:tcBorders>
                  <w:vAlign w:val="center"/>
                </w:tcPr>
                <w:p w14:paraId="34633782">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1.2</w:t>
                  </w:r>
                </w:p>
              </w:tc>
              <w:tc>
                <w:tcPr>
                  <w:tcW w:w="0" w:type="auto"/>
                  <w:vAlign w:val="center"/>
                </w:tcPr>
                <w:p w14:paraId="09D78294">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53</w:t>
                  </w:r>
                </w:p>
              </w:tc>
              <w:tc>
                <w:tcPr>
                  <w:tcW w:w="0" w:type="auto"/>
                  <w:vAlign w:val="center"/>
                </w:tcPr>
                <w:p w14:paraId="77D6FC10">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23</w:t>
                  </w:r>
                </w:p>
              </w:tc>
              <w:tc>
                <w:tcPr>
                  <w:tcW w:w="0" w:type="auto"/>
                  <w:vAlign w:val="center"/>
                </w:tcPr>
                <w:p w14:paraId="7A09BB8F">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63</w:t>
                  </w:r>
                </w:p>
              </w:tc>
              <w:tc>
                <w:tcPr>
                  <w:tcW w:w="0" w:type="auto"/>
                  <w:vAlign w:val="center"/>
                </w:tcPr>
                <w:p w14:paraId="0B08E372">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93</w:t>
                  </w:r>
                </w:p>
              </w:tc>
              <w:tc>
                <w:tcPr>
                  <w:tcW w:w="0" w:type="auto"/>
                  <w:vAlign w:val="center"/>
                </w:tcPr>
                <w:p w14:paraId="520846F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45.5</w:t>
                  </w:r>
                </w:p>
              </w:tc>
              <w:tc>
                <w:tcPr>
                  <w:tcW w:w="0" w:type="auto"/>
                  <w:vAlign w:val="center"/>
                </w:tcPr>
                <w:p w14:paraId="4F4E45D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52.8</w:t>
                  </w:r>
                </w:p>
              </w:tc>
              <w:tc>
                <w:tcPr>
                  <w:tcW w:w="0" w:type="auto"/>
                  <w:vAlign w:val="center"/>
                </w:tcPr>
                <w:p w14:paraId="68D9FB3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44.0</w:t>
                  </w:r>
                </w:p>
              </w:tc>
              <w:tc>
                <w:tcPr>
                  <w:tcW w:w="0" w:type="auto"/>
                  <w:vAlign w:val="center"/>
                </w:tcPr>
                <w:p w14:paraId="3869C39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40.6</w:t>
                  </w:r>
                </w:p>
              </w:tc>
              <w:tc>
                <w:tcPr>
                  <w:tcW w:w="0" w:type="auto"/>
                  <w:vMerge w:val="restart"/>
                  <w:vAlign w:val="center"/>
                </w:tcPr>
                <w:p w14:paraId="09E8BF6F">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昼间</w:t>
                  </w:r>
                </w:p>
              </w:tc>
              <w:tc>
                <w:tcPr>
                  <w:tcW w:w="0" w:type="auto"/>
                  <w:vAlign w:val="center"/>
                </w:tcPr>
                <w:p w14:paraId="4527AC14">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15</w:t>
                  </w:r>
                </w:p>
              </w:tc>
              <w:tc>
                <w:tcPr>
                  <w:tcW w:w="0" w:type="auto"/>
                  <w:vAlign w:val="center"/>
                </w:tcPr>
                <w:p w14:paraId="00E9FC3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30.5</w:t>
                  </w:r>
                </w:p>
              </w:tc>
              <w:tc>
                <w:tcPr>
                  <w:tcW w:w="0" w:type="auto"/>
                  <w:vAlign w:val="center"/>
                </w:tcPr>
                <w:p w14:paraId="763594B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37.8</w:t>
                  </w:r>
                </w:p>
              </w:tc>
              <w:tc>
                <w:tcPr>
                  <w:tcW w:w="0" w:type="auto"/>
                  <w:vAlign w:val="center"/>
                </w:tcPr>
                <w:p w14:paraId="55AD8FB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29.0</w:t>
                  </w:r>
                </w:p>
              </w:tc>
              <w:tc>
                <w:tcPr>
                  <w:tcW w:w="0" w:type="auto"/>
                  <w:vAlign w:val="center"/>
                </w:tcPr>
                <w:p w14:paraId="0C2FAF2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25.6</w:t>
                  </w:r>
                </w:p>
              </w:tc>
              <w:tc>
                <w:tcPr>
                  <w:tcW w:w="0" w:type="auto"/>
                  <w:vAlign w:val="center"/>
                </w:tcPr>
                <w:p w14:paraId="55F04ED0">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w:t>
                  </w:r>
                </w:p>
              </w:tc>
            </w:tr>
            <w:tr w14:paraId="646F41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0" w:type="auto"/>
                  <w:vAlign w:val="center"/>
                </w:tcPr>
                <w:p w14:paraId="437F4B1C">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2</w:t>
                  </w:r>
                </w:p>
              </w:tc>
              <w:tc>
                <w:tcPr>
                  <w:tcW w:w="0" w:type="auto"/>
                  <w:vMerge w:val="continue"/>
                  <w:vAlign w:val="center"/>
                </w:tcPr>
                <w:p w14:paraId="75740E5F">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1043" w:type="dxa"/>
                  <w:vAlign w:val="center"/>
                </w:tcPr>
                <w:p w14:paraId="3C304FB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装配生产线×2</w:t>
                  </w:r>
                </w:p>
              </w:tc>
              <w:tc>
                <w:tcPr>
                  <w:tcW w:w="790" w:type="dxa"/>
                  <w:tcBorders>
                    <w:top w:val="single" w:color="auto" w:sz="4" w:space="0"/>
                  </w:tcBorders>
                  <w:vAlign w:val="center"/>
                </w:tcPr>
                <w:p w14:paraId="542C977B">
                  <w:pPr>
                    <w:keepNext w:val="0"/>
                    <w:keepLines w:val="0"/>
                    <w:widowControl w:val="0"/>
                    <w:suppressLineNumbers w:val="0"/>
                    <w:spacing w:before="100" w:beforeAutospacing="1" w:after="100" w:afterAutospacing="1" w:line="271"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82</w:t>
                  </w:r>
                </w:p>
              </w:tc>
              <w:tc>
                <w:tcPr>
                  <w:tcW w:w="636" w:type="dxa"/>
                  <w:vMerge w:val="continue"/>
                  <w:tcBorders>
                    <w:top w:val="single" w:color="auto" w:sz="4" w:space="0"/>
                  </w:tcBorders>
                  <w:vAlign w:val="center"/>
                </w:tcPr>
                <w:p w14:paraId="3F5599B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0" w:type="auto"/>
                  <w:tcBorders>
                    <w:top w:val="single" w:color="auto" w:sz="4" w:space="0"/>
                  </w:tcBorders>
                  <w:vAlign w:val="center"/>
                </w:tcPr>
                <w:p w14:paraId="5E68366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-50</w:t>
                  </w:r>
                </w:p>
              </w:tc>
              <w:tc>
                <w:tcPr>
                  <w:tcW w:w="0" w:type="auto"/>
                  <w:tcBorders>
                    <w:top w:val="single" w:color="auto" w:sz="4" w:space="0"/>
                  </w:tcBorders>
                  <w:vAlign w:val="center"/>
                </w:tcPr>
                <w:p w14:paraId="4C30891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-40</w:t>
                  </w:r>
                </w:p>
              </w:tc>
              <w:tc>
                <w:tcPr>
                  <w:tcW w:w="0" w:type="auto"/>
                  <w:tcBorders>
                    <w:top w:val="single" w:color="auto" w:sz="4" w:space="0"/>
                  </w:tcBorders>
                  <w:vAlign w:val="center"/>
                </w:tcPr>
                <w:p w14:paraId="5D3A96BA">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1.2</w:t>
                  </w:r>
                </w:p>
              </w:tc>
              <w:tc>
                <w:tcPr>
                  <w:tcW w:w="0" w:type="auto"/>
                  <w:vAlign w:val="center"/>
                </w:tcPr>
                <w:p w14:paraId="18F2ECAA">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40</w:t>
                  </w:r>
                </w:p>
              </w:tc>
              <w:tc>
                <w:tcPr>
                  <w:tcW w:w="0" w:type="auto"/>
                  <w:vAlign w:val="center"/>
                </w:tcPr>
                <w:p w14:paraId="2D22C811">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23</w:t>
                  </w:r>
                </w:p>
              </w:tc>
              <w:tc>
                <w:tcPr>
                  <w:tcW w:w="0" w:type="auto"/>
                  <w:vAlign w:val="center"/>
                </w:tcPr>
                <w:p w14:paraId="3D0AB6F3">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76</w:t>
                  </w:r>
                </w:p>
              </w:tc>
              <w:tc>
                <w:tcPr>
                  <w:tcW w:w="0" w:type="auto"/>
                  <w:vAlign w:val="center"/>
                </w:tcPr>
                <w:p w14:paraId="0D4BFABE">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93</w:t>
                  </w:r>
                </w:p>
              </w:tc>
              <w:tc>
                <w:tcPr>
                  <w:tcW w:w="0" w:type="auto"/>
                  <w:vAlign w:val="center"/>
                </w:tcPr>
                <w:p w14:paraId="5861476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48.0</w:t>
                  </w:r>
                </w:p>
              </w:tc>
              <w:tc>
                <w:tcPr>
                  <w:tcW w:w="0" w:type="auto"/>
                  <w:vAlign w:val="center"/>
                </w:tcPr>
                <w:p w14:paraId="5D93EE3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52.8</w:t>
                  </w:r>
                </w:p>
              </w:tc>
              <w:tc>
                <w:tcPr>
                  <w:tcW w:w="0" w:type="auto"/>
                  <w:vAlign w:val="center"/>
                </w:tcPr>
                <w:p w14:paraId="335AB19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42.4</w:t>
                  </w:r>
                </w:p>
              </w:tc>
              <w:tc>
                <w:tcPr>
                  <w:tcW w:w="0" w:type="auto"/>
                  <w:vAlign w:val="center"/>
                </w:tcPr>
                <w:p w14:paraId="757A419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40.6</w:t>
                  </w:r>
                </w:p>
              </w:tc>
              <w:tc>
                <w:tcPr>
                  <w:tcW w:w="0" w:type="auto"/>
                  <w:vMerge w:val="continue"/>
                  <w:vAlign w:val="center"/>
                </w:tcPr>
                <w:p w14:paraId="0EBF37B9">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p>
              </w:tc>
              <w:tc>
                <w:tcPr>
                  <w:tcW w:w="0" w:type="auto"/>
                  <w:vAlign w:val="center"/>
                </w:tcPr>
                <w:p w14:paraId="41BF60CD">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15</w:t>
                  </w:r>
                </w:p>
              </w:tc>
              <w:tc>
                <w:tcPr>
                  <w:tcW w:w="0" w:type="auto"/>
                  <w:vAlign w:val="center"/>
                </w:tcPr>
                <w:p w14:paraId="2302C3C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33.0</w:t>
                  </w:r>
                </w:p>
              </w:tc>
              <w:tc>
                <w:tcPr>
                  <w:tcW w:w="0" w:type="auto"/>
                  <w:vAlign w:val="center"/>
                </w:tcPr>
                <w:p w14:paraId="3AEDF4D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37.8</w:t>
                  </w:r>
                </w:p>
              </w:tc>
              <w:tc>
                <w:tcPr>
                  <w:tcW w:w="0" w:type="auto"/>
                  <w:vAlign w:val="center"/>
                </w:tcPr>
                <w:p w14:paraId="0362ABE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27.4</w:t>
                  </w:r>
                </w:p>
              </w:tc>
              <w:tc>
                <w:tcPr>
                  <w:tcW w:w="0" w:type="auto"/>
                  <w:vAlign w:val="center"/>
                </w:tcPr>
                <w:p w14:paraId="5E1D86D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25.6</w:t>
                  </w:r>
                </w:p>
              </w:tc>
              <w:tc>
                <w:tcPr>
                  <w:tcW w:w="0" w:type="auto"/>
                  <w:vAlign w:val="center"/>
                </w:tcPr>
                <w:p w14:paraId="1C97E95C">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w:t>
                  </w:r>
                </w:p>
              </w:tc>
            </w:tr>
            <w:tr w14:paraId="404C19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0" w:type="auto"/>
                  <w:vAlign w:val="center"/>
                </w:tcPr>
                <w:p w14:paraId="20ED0EE8">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3</w:t>
                  </w:r>
                </w:p>
              </w:tc>
              <w:tc>
                <w:tcPr>
                  <w:tcW w:w="0" w:type="auto"/>
                  <w:vMerge w:val="continue"/>
                  <w:vAlign w:val="center"/>
                </w:tcPr>
                <w:p w14:paraId="55E684A5">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1043" w:type="dxa"/>
                  <w:vAlign w:val="center"/>
                </w:tcPr>
                <w:p w14:paraId="28994DF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电动拧紧枪</w:t>
                  </w:r>
                  <w:r>
                    <w:rPr>
                      <w:rFonts w:hint="default" w:ascii="Times New Roman" w:hAnsi="Times New Roman" w:eastAsia="Times New Roman" w:cs="Times New Roman"/>
                      <w:color w:val="auto"/>
                      <w:kern w:val="2"/>
                      <w:sz w:val="21"/>
                      <w:szCs w:val="21"/>
                    </w:rPr>
                    <w:t>/</w:t>
                  </w:r>
                  <w:r>
                    <w:rPr>
                      <w:rFonts w:hint="default" w:ascii="Times New Roman" w:hAnsi="Times New Roman" w:cs="Times New Roman"/>
                      <w:color w:val="auto"/>
                      <w:kern w:val="2"/>
                      <w:sz w:val="21"/>
                      <w:szCs w:val="21"/>
                    </w:rPr>
                    <w:t>轴×52</w:t>
                  </w:r>
                </w:p>
              </w:tc>
              <w:tc>
                <w:tcPr>
                  <w:tcW w:w="790" w:type="dxa"/>
                  <w:tcBorders>
                    <w:top w:val="single" w:color="auto" w:sz="4" w:space="0"/>
                  </w:tcBorders>
                  <w:vAlign w:val="center"/>
                </w:tcPr>
                <w:p w14:paraId="2080E2F6">
                  <w:pPr>
                    <w:keepNext w:val="0"/>
                    <w:keepLines w:val="0"/>
                    <w:widowControl w:val="0"/>
                    <w:suppressLineNumbers w:val="0"/>
                    <w:spacing w:before="100" w:beforeAutospacing="1" w:after="100" w:afterAutospacing="1" w:line="271"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97</w:t>
                  </w:r>
                </w:p>
              </w:tc>
              <w:tc>
                <w:tcPr>
                  <w:tcW w:w="636" w:type="dxa"/>
                  <w:vMerge w:val="continue"/>
                  <w:tcBorders>
                    <w:top w:val="single" w:color="auto" w:sz="4" w:space="0"/>
                  </w:tcBorders>
                  <w:vAlign w:val="center"/>
                </w:tcPr>
                <w:p w14:paraId="675CDFB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0" w:type="auto"/>
                  <w:tcBorders>
                    <w:top w:val="single" w:color="auto" w:sz="4" w:space="0"/>
                  </w:tcBorders>
                  <w:vAlign w:val="center"/>
                </w:tcPr>
                <w:p w14:paraId="512133BD">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-34</w:t>
                  </w:r>
                </w:p>
              </w:tc>
              <w:tc>
                <w:tcPr>
                  <w:tcW w:w="0" w:type="auto"/>
                  <w:tcBorders>
                    <w:top w:val="single" w:color="auto" w:sz="4" w:space="0"/>
                  </w:tcBorders>
                  <w:vAlign w:val="center"/>
                </w:tcPr>
                <w:p w14:paraId="513C968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-43</w:t>
                  </w:r>
                </w:p>
              </w:tc>
              <w:tc>
                <w:tcPr>
                  <w:tcW w:w="0" w:type="auto"/>
                  <w:tcBorders>
                    <w:top w:val="single" w:color="auto" w:sz="4" w:space="0"/>
                  </w:tcBorders>
                  <w:vAlign w:val="center"/>
                </w:tcPr>
                <w:p w14:paraId="195A62C8">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1.2</w:t>
                  </w:r>
                </w:p>
              </w:tc>
              <w:tc>
                <w:tcPr>
                  <w:tcW w:w="0" w:type="auto"/>
                  <w:vAlign w:val="center"/>
                </w:tcPr>
                <w:p w14:paraId="47DE18E1">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26</w:t>
                  </w:r>
                </w:p>
              </w:tc>
              <w:tc>
                <w:tcPr>
                  <w:tcW w:w="0" w:type="auto"/>
                  <w:vAlign w:val="center"/>
                </w:tcPr>
                <w:p w14:paraId="7E108F4C">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23</w:t>
                  </w:r>
                </w:p>
              </w:tc>
              <w:tc>
                <w:tcPr>
                  <w:tcW w:w="0" w:type="auto"/>
                  <w:vAlign w:val="center"/>
                </w:tcPr>
                <w:p w14:paraId="50133A2C">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90</w:t>
                  </w:r>
                </w:p>
              </w:tc>
              <w:tc>
                <w:tcPr>
                  <w:tcW w:w="0" w:type="auto"/>
                  <w:vAlign w:val="center"/>
                </w:tcPr>
                <w:p w14:paraId="70D8B26D">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93</w:t>
                  </w:r>
                </w:p>
              </w:tc>
              <w:tc>
                <w:tcPr>
                  <w:tcW w:w="0" w:type="auto"/>
                  <w:vAlign w:val="center"/>
                </w:tcPr>
                <w:p w14:paraId="05020BF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51.7</w:t>
                  </w:r>
                </w:p>
              </w:tc>
              <w:tc>
                <w:tcPr>
                  <w:tcW w:w="0" w:type="auto"/>
                  <w:vAlign w:val="center"/>
                </w:tcPr>
                <w:p w14:paraId="5DF19FB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52.8</w:t>
                  </w:r>
                </w:p>
              </w:tc>
              <w:tc>
                <w:tcPr>
                  <w:tcW w:w="0" w:type="auto"/>
                  <w:vAlign w:val="center"/>
                </w:tcPr>
                <w:p w14:paraId="13576D8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40.9</w:t>
                  </w:r>
                </w:p>
              </w:tc>
              <w:tc>
                <w:tcPr>
                  <w:tcW w:w="0" w:type="auto"/>
                  <w:vAlign w:val="center"/>
                </w:tcPr>
                <w:p w14:paraId="1A4DD6D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40.6</w:t>
                  </w:r>
                </w:p>
              </w:tc>
              <w:tc>
                <w:tcPr>
                  <w:tcW w:w="0" w:type="auto"/>
                  <w:vMerge w:val="continue"/>
                  <w:vAlign w:val="center"/>
                </w:tcPr>
                <w:p w14:paraId="4646963A">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p>
              </w:tc>
              <w:tc>
                <w:tcPr>
                  <w:tcW w:w="0" w:type="auto"/>
                  <w:vAlign w:val="center"/>
                </w:tcPr>
                <w:p w14:paraId="2E2F04B9">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15</w:t>
                  </w:r>
                </w:p>
              </w:tc>
              <w:tc>
                <w:tcPr>
                  <w:tcW w:w="0" w:type="auto"/>
                  <w:vAlign w:val="center"/>
                </w:tcPr>
                <w:p w14:paraId="565ECD1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36.7</w:t>
                  </w:r>
                </w:p>
              </w:tc>
              <w:tc>
                <w:tcPr>
                  <w:tcW w:w="0" w:type="auto"/>
                  <w:vAlign w:val="center"/>
                </w:tcPr>
                <w:p w14:paraId="1EF7DD4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37.8</w:t>
                  </w:r>
                </w:p>
              </w:tc>
              <w:tc>
                <w:tcPr>
                  <w:tcW w:w="0" w:type="auto"/>
                  <w:vAlign w:val="center"/>
                </w:tcPr>
                <w:p w14:paraId="50BAC94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25.9</w:t>
                  </w:r>
                </w:p>
              </w:tc>
              <w:tc>
                <w:tcPr>
                  <w:tcW w:w="0" w:type="auto"/>
                  <w:vAlign w:val="center"/>
                </w:tcPr>
                <w:p w14:paraId="53630D4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25.6</w:t>
                  </w:r>
                </w:p>
              </w:tc>
              <w:tc>
                <w:tcPr>
                  <w:tcW w:w="0" w:type="auto"/>
                  <w:vAlign w:val="center"/>
                </w:tcPr>
                <w:p w14:paraId="198CA313">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w:t>
                  </w:r>
                </w:p>
              </w:tc>
            </w:tr>
            <w:tr w14:paraId="6DA2DF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0" w:type="auto"/>
                  <w:vAlign w:val="center"/>
                </w:tcPr>
                <w:p w14:paraId="608D9061">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4</w:t>
                  </w:r>
                </w:p>
              </w:tc>
              <w:tc>
                <w:tcPr>
                  <w:tcW w:w="0" w:type="auto"/>
                  <w:vMerge w:val="continue"/>
                  <w:vAlign w:val="center"/>
                </w:tcPr>
                <w:p w14:paraId="2A6A68A2">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1043" w:type="dxa"/>
                  <w:vAlign w:val="center"/>
                </w:tcPr>
                <w:p w14:paraId="3679FD2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伺服压机×23</w:t>
                  </w:r>
                </w:p>
              </w:tc>
              <w:tc>
                <w:tcPr>
                  <w:tcW w:w="790" w:type="dxa"/>
                  <w:tcBorders>
                    <w:top w:val="single" w:color="auto" w:sz="4" w:space="0"/>
                  </w:tcBorders>
                  <w:vAlign w:val="center"/>
                </w:tcPr>
                <w:p w14:paraId="54EC75C4">
                  <w:pPr>
                    <w:keepNext w:val="0"/>
                    <w:keepLines w:val="0"/>
                    <w:widowControl w:val="0"/>
                    <w:suppressLineNumbers w:val="0"/>
                    <w:spacing w:before="100" w:beforeAutospacing="1" w:after="100" w:afterAutospacing="1" w:line="271"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92</w:t>
                  </w:r>
                </w:p>
              </w:tc>
              <w:tc>
                <w:tcPr>
                  <w:tcW w:w="636" w:type="dxa"/>
                  <w:vMerge w:val="continue"/>
                  <w:tcBorders>
                    <w:top w:val="single" w:color="auto" w:sz="4" w:space="0"/>
                  </w:tcBorders>
                  <w:vAlign w:val="center"/>
                </w:tcPr>
                <w:p w14:paraId="7FC8AA9B">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0" w:type="auto"/>
                  <w:tcBorders>
                    <w:top w:val="single" w:color="auto" w:sz="4" w:space="0"/>
                  </w:tcBorders>
                  <w:vAlign w:val="center"/>
                </w:tcPr>
                <w:p w14:paraId="5510A1C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-46</w:t>
                  </w:r>
                </w:p>
              </w:tc>
              <w:tc>
                <w:tcPr>
                  <w:tcW w:w="0" w:type="auto"/>
                  <w:tcBorders>
                    <w:top w:val="single" w:color="auto" w:sz="4" w:space="0"/>
                  </w:tcBorders>
                  <w:vAlign w:val="center"/>
                </w:tcPr>
                <w:p w14:paraId="04564D3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-16</w:t>
                  </w:r>
                </w:p>
              </w:tc>
              <w:tc>
                <w:tcPr>
                  <w:tcW w:w="0" w:type="auto"/>
                  <w:tcBorders>
                    <w:top w:val="single" w:color="auto" w:sz="4" w:space="0"/>
                  </w:tcBorders>
                  <w:vAlign w:val="center"/>
                </w:tcPr>
                <w:p w14:paraId="35778468">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1.2</w:t>
                  </w:r>
                </w:p>
              </w:tc>
              <w:tc>
                <w:tcPr>
                  <w:tcW w:w="0" w:type="auto"/>
                  <w:vAlign w:val="center"/>
                </w:tcPr>
                <w:p w14:paraId="06CC2F23">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46</w:t>
                  </w:r>
                </w:p>
              </w:tc>
              <w:tc>
                <w:tcPr>
                  <w:tcW w:w="0" w:type="auto"/>
                  <w:vAlign w:val="center"/>
                </w:tcPr>
                <w:p w14:paraId="212B2C00">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42</w:t>
                  </w:r>
                </w:p>
              </w:tc>
              <w:tc>
                <w:tcPr>
                  <w:tcW w:w="0" w:type="auto"/>
                  <w:vAlign w:val="center"/>
                </w:tcPr>
                <w:p w14:paraId="25B5AB8D">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70</w:t>
                  </w:r>
                </w:p>
              </w:tc>
              <w:tc>
                <w:tcPr>
                  <w:tcW w:w="0" w:type="auto"/>
                  <w:vAlign w:val="center"/>
                </w:tcPr>
                <w:p w14:paraId="22FE9318">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74</w:t>
                  </w:r>
                </w:p>
              </w:tc>
              <w:tc>
                <w:tcPr>
                  <w:tcW w:w="0" w:type="auto"/>
                  <w:vAlign w:val="center"/>
                </w:tcPr>
                <w:p w14:paraId="7E54263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51.7</w:t>
                  </w:r>
                </w:p>
              </w:tc>
              <w:tc>
                <w:tcPr>
                  <w:tcW w:w="0" w:type="auto"/>
                  <w:vAlign w:val="center"/>
                </w:tcPr>
                <w:p w14:paraId="6783445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52.5</w:t>
                  </w:r>
                </w:p>
              </w:tc>
              <w:tc>
                <w:tcPr>
                  <w:tcW w:w="0" w:type="auto"/>
                  <w:vAlign w:val="center"/>
                </w:tcPr>
                <w:p w14:paraId="1A1DA0E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48.1</w:t>
                  </w:r>
                </w:p>
              </w:tc>
              <w:tc>
                <w:tcPr>
                  <w:tcW w:w="0" w:type="auto"/>
                  <w:vAlign w:val="center"/>
                </w:tcPr>
                <w:p w14:paraId="2EAD121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47.6</w:t>
                  </w:r>
                </w:p>
              </w:tc>
              <w:tc>
                <w:tcPr>
                  <w:tcW w:w="0" w:type="auto"/>
                  <w:vMerge w:val="continue"/>
                  <w:vAlign w:val="center"/>
                </w:tcPr>
                <w:p w14:paraId="7F74613A">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p>
              </w:tc>
              <w:tc>
                <w:tcPr>
                  <w:tcW w:w="0" w:type="auto"/>
                  <w:vAlign w:val="center"/>
                </w:tcPr>
                <w:p w14:paraId="532795B5">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15</w:t>
                  </w:r>
                </w:p>
              </w:tc>
              <w:tc>
                <w:tcPr>
                  <w:tcW w:w="0" w:type="auto"/>
                  <w:vAlign w:val="center"/>
                </w:tcPr>
                <w:p w14:paraId="2E79ABE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36.7</w:t>
                  </w:r>
                </w:p>
              </w:tc>
              <w:tc>
                <w:tcPr>
                  <w:tcW w:w="0" w:type="auto"/>
                  <w:vAlign w:val="center"/>
                </w:tcPr>
                <w:p w14:paraId="4CC010B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37.5</w:t>
                  </w:r>
                </w:p>
              </w:tc>
              <w:tc>
                <w:tcPr>
                  <w:tcW w:w="0" w:type="auto"/>
                  <w:vAlign w:val="center"/>
                </w:tcPr>
                <w:p w14:paraId="1B6BF05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33.1</w:t>
                  </w:r>
                </w:p>
              </w:tc>
              <w:tc>
                <w:tcPr>
                  <w:tcW w:w="0" w:type="auto"/>
                  <w:vAlign w:val="center"/>
                </w:tcPr>
                <w:p w14:paraId="64D5B73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32.6</w:t>
                  </w:r>
                </w:p>
              </w:tc>
              <w:tc>
                <w:tcPr>
                  <w:tcW w:w="0" w:type="auto"/>
                  <w:vAlign w:val="center"/>
                </w:tcPr>
                <w:p w14:paraId="454B23E5">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w:t>
                  </w:r>
                </w:p>
              </w:tc>
            </w:tr>
            <w:tr w14:paraId="1C7308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0" w:type="auto"/>
                  <w:vAlign w:val="center"/>
                </w:tcPr>
                <w:p w14:paraId="3E502204">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5</w:t>
                  </w:r>
                </w:p>
              </w:tc>
              <w:tc>
                <w:tcPr>
                  <w:tcW w:w="0" w:type="auto"/>
                  <w:vMerge w:val="continue"/>
                  <w:vAlign w:val="center"/>
                </w:tcPr>
                <w:p w14:paraId="57308A4A">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1043" w:type="dxa"/>
                  <w:vAlign w:val="center"/>
                </w:tcPr>
                <w:p w14:paraId="734E2E7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机器人×10</w:t>
                  </w:r>
                </w:p>
              </w:tc>
              <w:tc>
                <w:tcPr>
                  <w:tcW w:w="790" w:type="dxa"/>
                  <w:tcBorders>
                    <w:top w:val="single" w:color="auto" w:sz="4" w:space="0"/>
                  </w:tcBorders>
                  <w:vAlign w:val="center"/>
                </w:tcPr>
                <w:p w14:paraId="211C0B15">
                  <w:pPr>
                    <w:keepNext w:val="0"/>
                    <w:keepLines w:val="0"/>
                    <w:widowControl w:val="0"/>
                    <w:suppressLineNumbers w:val="0"/>
                    <w:spacing w:before="100" w:beforeAutospacing="1" w:after="100" w:afterAutospacing="1" w:line="271"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90</w:t>
                  </w:r>
                </w:p>
              </w:tc>
              <w:tc>
                <w:tcPr>
                  <w:tcW w:w="636" w:type="dxa"/>
                  <w:vMerge w:val="continue"/>
                  <w:tcBorders>
                    <w:top w:val="single" w:color="auto" w:sz="4" w:space="0"/>
                  </w:tcBorders>
                  <w:vAlign w:val="center"/>
                </w:tcPr>
                <w:p w14:paraId="4FB9E06E">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0" w:type="auto"/>
                  <w:tcBorders>
                    <w:top w:val="single" w:color="auto" w:sz="4" w:space="0"/>
                  </w:tcBorders>
                  <w:vAlign w:val="center"/>
                </w:tcPr>
                <w:p w14:paraId="43D67B6A">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-46</w:t>
                  </w:r>
                </w:p>
              </w:tc>
              <w:tc>
                <w:tcPr>
                  <w:tcW w:w="0" w:type="auto"/>
                  <w:tcBorders>
                    <w:top w:val="single" w:color="auto" w:sz="4" w:space="0"/>
                  </w:tcBorders>
                  <w:vAlign w:val="center"/>
                </w:tcPr>
                <w:p w14:paraId="5AA360C0">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-15</w:t>
                  </w:r>
                </w:p>
              </w:tc>
              <w:tc>
                <w:tcPr>
                  <w:tcW w:w="0" w:type="auto"/>
                  <w:tcBorders>
                    <w:top w:val="single" w:color="auto" w:sz="4" w:space="0"/>
                  </w:tcBorders>
                  <w:vAlign w:val="center"/>
                </w:tcPr>
                <w:p w14:paraId="51FF5F9C">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1.2</w:t>
                  </w:r>
                </w:p>
              </w:tc>
              <w:tc>
                <w:tcPr>
                  <w:tcW w:w="0" w:type="auto"/>
                  <w:vAlign w:val="center"/>
                </w:tcPr>
                <w:p w14:paraId="4C64E5ED">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46</w:t>
                  </w:r>
                </w:p>
              </w:tc>
              <w:tc>
                <w:tcPr>
                  <w:tcW w:w="0" w:type="auto"/>
                  <w:vAlign w:val="center"/>
                </w:tcPr>
                <w:p w14:paraId="18FEE93E">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43</w:t>
                  </w:r>
                </w:p>
              </w:tc>
              <w:tc>
                <w:tcPr>
                  <w:tcW w:w="0" w:type="auto"/>
                  <w:vAlign w:val="center"/>
                </w:tcPr>
                <w:p w14:paraId="764DD8A5">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70</w:t>
                  </w:r>
                </w:p>
              </w:tc>
              <w:tc>
                <w:tcPr>
                  <w:tcW w:w="0" w:type="auto"/>
                  <w:vAlign w:val="center"/>
                </w:tcPr>
                <w:p w14:paraId="75090D4D">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73</w:t>
                  </w:r>
                </w:p>
              </w:tc>
              <w:tc>
                <w:tcPr>
                  <w:tcW w:w="0" w:type="auto"/>
                  <w:vAlign w:val="center"/>
                </w:tcPr>
                <w:p w14:paraId="6631C5B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56.7</w:t>
                  </w:r>
                </w:p>
              </w:tc>
              <w:tc>
                <w:tcPr>
                  <w:tcW w:w="0" w:type="auto"/>
                  <w:vAlign w:val="center"/>
                </w:tcPr>
                <w:p w14:paraId="0ED833C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57.3</w:t>
                  </w:r>
                </w:p>
              </w:tc>
              <w:tc>
                <w:tcPr>
                  <w:tcW w:w="0" w:type="auto"/>
                  <w:vAlign w:val="center"/>
                </w:tcPr>
                <w:p w14:paraId="7612590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53.1</w:t>
                  </w:r>
                </w:p>
              </w:tc>
              <w:tc>
                <w:tcPr>
                  <w:tcW w:w="0" w:type="auto"/>
                  <w:vAlign w:val="center"/>
                </w:tcPr>
                <w:p w14:paraId="6FE6460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52.7</w:t>
                  </w:r>
                </w:p>
              </w:tc>
              <w:tc>
                <w:tcPr>
                  <w:tcW w:w="0" w:type="auto"/>
                  <w:vMerge w:val="continue"/>
                  <w:vAlign w:val="center"/>
                </w:tcPr>
                <w:p w14:paraId="006EBDB9">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p>
              </w:tc>
              <w:tc>
                <w:tcPr>
                  <w:tcW w:w="0" w:type="auto"/>
                  <w:vAlign w:val="center"/>
                </w:tcPr>
                <w:p w14:paraId="3B4ABEA3">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15</w:t>
                  </w:r>
                </w:p>
              </w:tc>
              <w:tc>
                <w:tcPr>
                  <w:tcW w:w="0" w:type="auto"/>
                  <w:vAlign w:val="center"/>
                </w:tcPr>
                <w:p w14:paraId="276533F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41.7</w:t>
                  </w:r>
                </w:p>
              </w:tc>
              <w:tc>
                <w:tcPr>
                  <w:tcW w:w="0" w:type="auto"/>
                  <w:vAlign w:val="center"/>
                </w:tcPr>
                <w:p w14:paraId="04165AF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42.3</w:t>
                  </w:r>
                </w:p>
              </w:tc>
              <w:tc>
                <w:tcPr>
                  <w:tcW w:w="0" w:type="auto"/>
                  <w:vAlign w:val="center"/>
                </w:tcPr>
                <w:p w14:paraId="1189031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38.1</w:t>
                  </w:r>
                </w:p>
              </w:tc>
              <w:tc>
                <w:tcPr>
                  <w:tcW w:w="0" w:type="auto"/>
                  <w:vAlign w:val="center"/>
                </w:tcPr>
                <w:p w14:paraId="2D618BB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37.7</w:t>
                  </w:r>
                </w:p>
              </w:tc>
              <w:tc>
                <w:tcPr>
                  <w:tcW w:w="0" w:type="auto"/>
                  <w:vAlign w:val="center"/>
                </w:tcPr>
                <w:p w14:paraId="4E1FE512">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w:t>
                  </w:r>
                </w:p>
              </w:tc>
            </w:tr>
            <w:tr w14:paraId="3BB2B1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0" w:type="auto"/>
                  <w:vAlign w:val="center"/>
                </w:tcPr>
                <w:p w14:paraId="109287AF">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6</w:t>
                  </w:r>
                </w:p>
              </w:tc>
              <w:tc>
                <w:tcPr>
                  <w:tcW w:w="0" w:type="auto"/>
                  <w:vMerge w:val="continue"/>
                  <w:vAlign w:val="center"/>
                </w:tcPr>
                <w:p w14:paraId="3071C1BA">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1043" w:type="dxa"/>
                  <w:vAlign w:val="center"/>
                </w:tcPr>
                <w:p w14:paraId="1FCB506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视觉系统×22</w:t>
                  </w:r>
                </w:p>
              </w:tc>
              <w:tc>
                <w:tcPr>
                  <w:tcW w:w="790" w:type="dxa"/>
                  <w:tcBorders>
                    <w:top w:val="single" w:color="auto" w:sz="4" w:space="0"/>
                  </w:tcBorders>
                  <w:vAlign w:val="center"/>
                </w:tcPr>
                <w:p w14:paraId="39E3925B">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91</w:t>
                  </w:r>
                </w:p>
              </w:tc>
              <w:tc>
                <w:tcPr>
                  <w:tcW w:w="636" w:type="dxa"/>
                  <w:vMerge w:val="continue"/>
                  <w:tcBorders>
                    <w:top w:val="single" w:color="auto" w:sz="4" w:space="0"/>
                  </w:tcBorders>
                  <w:vAlign w:val="center"/>
                </w:tcPr>
                <w:p w14:paraId="5E0881FC">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0" w:type="auto"/>
                  <w:tcBorders>
                    <w:top w:val="single" w:color="auto" w:sz="4" w:space="0"/>
                  </w:tcBorders>
                  <w:vAlign w:val="center"/>
                </w:tcPr>
                <w:p w14:paraId="238D742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-78</w:t>
                  </w:r>
                </w:p>
              </w:tc>
              <w:tc>
                <w:tcPr>
                  <w:tcW w:w="0" w:type="auto"/>
                  <w:tcBorders>
                    <w:top w:val="single" w:color="auto" w:sz="4" w:space="0"/>
                  </w:tcBorders>
                  <w:vAlign w:val="center"/>
                </w:tcPr>
                <w:p w14:paraId="7C817442">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-33</w:t>
                  </w:r>
                </w:p>
              </w:tc>
              <w:tc>
                <w:tcPr>
                  <w:tcW w:w="0" w:type="auto"/>
                  <w:tcBorders>
                    <w:top w:val="single" w:color="auto" w:sz="4" w:space="0"/>
                  </w:tcBorders>
                  <w:vAlign w:val="center"/>
                </w:tcPr>
                <w:p w14:paraId="3FD916C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1.2</w:t>
                  </w:r>
                </w:p>
              </w:tc>
              <w:tc>
                <w:tcPr>
                  <w:tcW w:w="0" w:type="auto"/>
                  <w:vAlign w:val="center"/>
                </w:tcPr>
                <w:p w14:paraId="1C0B7DAE">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76</w:t>
                  </w:r>
                </w:p>
              </w:tc>
              <w:tc>
                <w:tcPr>
                  <w:tcW w:w="0" w:type="auto"/>
                  <w:vAlign w:val="center"/>
                </w:tcPr>
                <w:p w14:paraId="2A5D4EAE">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20</w:t>
                  </w:r>
                </w:p>
              </w:tc>
              <w:tc>
                <w:tcPr>
                  <w:tcW w:w="0" w:type="auto"/>
                  <w:vAlign w:val="center"/>
                </w:tcPr>
                <w:p w14:paraId="1FA2A8EF">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40</w:t>
                  </w:r>
                </w:p>
              </w:tc>
              <w:tc>
                <w:tcPr>
                  <w:tcW w:w="0" w:type="auto"/>
                  <w:vAlign w:val="center"/>
                </w:tcPr>
                <w:p w14:paraId="11F4F6F7">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96</w:t>
                  </w:r>
                </w:p>
              </w:tc>
              <w:tc>
                <w:tcPr>
                  <w:tcW w:w="0" w:type="auto"/>
                  <w:vAlign w:val="center"/>
                </w:tcPr>
                <w:p w14:paraId="2974469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52.4</w:t>
                  </w:r>
                </w:p>
              </w:tc>
              <w:tc>
                <w:tcPr>
                  <w:tcW w:w="0" w:type="auto"/>
                  <w:vAlign w:val="center"/>
                </w:tcPr>
                <w:p w14:paraId="61C2240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64.0</w:t>
                  </w:r>
                </w:p>
              </w:tc>
              <w:tc>
                <w:tcPr>
                  <w:tcW w:w="0" w:type="auto"/>
                  <w:vAlign w:val="center"/>
                </w:tcPr>
                <w:p w14:paraId="7DA2CB9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58.0</w:t>
                  </w:r>
                </w:p>
              </w:tc>
              <w:tc>
                <w:tcPr>
                  <w:tcW w:w="0" w:type="auto"/>
                  <w:vAlign w:val="center"/>
                </w:tcPr>
                <w:p w14:paraId="17ED30A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50.4</w:t>
                  </w:r>
                </w:p>
              </w:tc>
              <w:tc>
                <w:tcPr>
                  <w:tcW w:w="0" w:type="auto"/>
                  <w:vMerge w:val="continue"/>
                  <w:vAlign w:val="center"/>
                </w:tcPr>
                <w:p w14:paraId="2315752C">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p>
              </w:tc>
              <w:tc>
                <w:tcPr>
                  <w:tcW w:w="0" w:type="auto"/>
                  <w:vAlign w:val="center"/>
                </w:tcPr>
                <w:p w14:paraId="402B00EE">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15</w:t>
                  </w:r>
                </w:p>
              </w:tc>
              <w:tc>
                <w:tcPr>
                  <w:tcW w:w="0" w:type="auto"/>
                  <w:vAlign w:val="center"/>
                </w:tcPr>
                <w:p w14:paraId="53EA5CA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37.4</w:t>
                  </w:r>
                </w:p>
              </w:tc>
              <w:tc>
                <w:tcPr>
                  <w:tcW w:w="0" w:type="auto"/>
                  <w:vAlign w:val="center"/>
                </w:tcPr>
                <w:p w14:paraId="2EB5460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49.0</w:t>
                  </w:r>
                </w:p>
              </w:tc>
              <w:tc>
                <w:tcPr>
                  <w:tcW w:w="0" w:type="auto"/>
                  <w:vAlign w:val="center"/>
                </w:tcPr>
                <w:p w14:paraId="2E74ADC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43.0</w:t>
                  </w:r>
                </w:p>
              </w:tc>
              <w:tc>
                <w:tcPr>
                  <w:tcW w:w="0" w:type="auto"/>
                  <w:vAlign w:val="center"/>
                </w:tcPr>
                <w:p w14:paraId="15AD19B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35.4</w:t>
                  </w:r>
                </w:p>
              </w:tc>
              <w:tc>
                <w:tcPr>
                  <w:tcW w:w="0" w:type="auto"/>
                  <w:vAlign w:val="center"/>
                </w:tcPr>
                <w:p w14:paraId="6BF4E20E">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w:t>
                  </w:r>
                </w:p>
              </w:tc>
            </w:tr>
            <w:tr w14:paraId="0ABF5B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0" w:type="auto"/>
                  <w:vAlign w:val="center"/>
                </w:tcPr>
                <w:p w14:paraId="37FE6060">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7</w:t>
                  </w:r>
                </w:p>
              </w:tc>
              <w:tc>
                <w:tcPr>
                  <w:tcW w:w="0" w:type="auto"/>
                  <w:vMerge w:val="continue"/>
                  <w:vAlign w:val="center"/>
                </w:tcPr>
                <w:p w14:paraId="7402CC0A">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1043" w:type="dxa"/>
                  <w:vAlign w:val="center"/>
                </w:tcPr>
                <w:p w14:paraId="5F6DC5C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气密仪×12</w:t>
                  </w:r>
                </w:p>
              </w:tc>
              <w:tc>
                <w:tcPr>
                  <w:tcW w:w="790" w:type="dxa"/>
                  <w:tcBorders>
                    <w:top w:val="single" w:color="auto" w:sz="4" w:space="0"/>
                  </w:tcBorders>
                  <w:vAlign w:val="center"/>
                </w:tcPr>
                <w:p w14:paraId="5CDD7EEA">
                  <w:pPr>
                    <w:keepNext w:val="0"/>
                    <w:keepLines w:val="0"/>
                    <w:widowControl w:val="0"/>
                    <w:suppressLineNumbers w:val="0"/>
                    <w:spacing w:before="100" w:beforeAutospacing="1" w:after="100" w:afterAutospacing="1" w:line="271"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90</w:t>
                  </w:r>
                </w:p>
              </w:tc>
              <w:tc>
                <w:tcPr>
                  <w:tcW w:w="636" w:type="dxa"/>
                  <w:vMerge w:val="continue"/>
                  <w:tcBorders>
                    <w:top w:val="single" w:color="auto" w:sz="4" w:space="0"/>
                  </w:tcBorders>
                  <w:vAlign w:val="center"/>
                </w:tcPr>
                <w:p w14:paraId="350E7AB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0" w:type="auto"/>
                  <w:tcBorders>
                    <w:top w:val="single" w:color="auto" w:sz="4" w:space="0"/>
                  </w:tcBorders>
                  <w:vAlign w:val="center"/>
                </w:tcPr>
                <w:p w14:paraId="5D78EFB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-78</w:t>
                  </w:r>
                </w:p>
              </w:tc>
              <w:tc>
                <w:tcPr>
                  <w:tcW w:w="0" w:type="auto"/>
                  <w:tcBorders>
                    <w:top w:val="single" w:color="auto" w:sz="4" w:space="0"/>
                  </w:tcBorders>
                  <w:vAlign w:val="center"/>
                </w:tcPr>
                <w:p w14:paraId="233D8B76">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-32</w:t>
                  </w:r>
                </w:p>
              </w:tc>
              <w:tc>
                <w:tcPr>
                  <w:tcW w:w="0" w:type="auto"/>
                  <w:tcBorders>
                    <w:top w:val="single" w:color="auto" w:sz="4" w:space="0"/>
                  </w:tcBorders>
                  <w:vAlign w:val="center"/>
                </w:tcPr>
                <w:p w14:paraId="244ED233">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1.2.</w:t>
                  </w:r>
                </w:p>
              </w:tc>
              <w:tc>
                <w:tcPr>
                  <w:tcW w:w="0" w:type="auto"/>
                  <w:vAlign w:val="center"/>
                </w:tcPr>
                <w:p w14:paraId="0025FF49">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76</w:t>
                  </w:r>
                </w:p>
              </w:tc>
              <w:tc>
                <w:tcPr>
                  <w:tcW w:w="0" w:type="auto"/>
                  <w:vAlign w:val="center"/>
                </w:tcPr>
                <w:p w14:paraId="641172F4">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21</w:t>
                  </w:r>
                </w:p>
              </w:tc>
              <w:tc>
                <w:tcPr>
                  <w:tcW w:w="0" w:type="auto"/>
                  <w:vAlign w:val="center"/>
                </w:tcPr>
                <w:p w14:paraId="69A8F110">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40</w:t>
                  </w:r>
                </w:p>
              </w:tc>
              <w:tc>
                <w:tcPr>
                  <w:tcW w:w="0" w:type="auto"/>
                  <w:vAlign w:val="center"/>
                </w:tcPr>
                <w:p w14:paraId="3BC9CC67">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95</w:t>
                  </w:r>
                </w:p>
              </w:tc>
              <w:tc>
                <w:tcPr>
                  <w:tcW w:w="0" w:type="auto"/>
                  <w:vAlign w:val="center"/>
                </w:tcPr>
                <w:p w14:paraId="654CA05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52.4</w:t>
                  </w:r>
                </w:p>
              </w:tc>
              <w:tc>
                <w:tcPr>
                  <w:tcW w:w="0" w:type="auto"/>
                  <w:vAlign w:val="center"/>
                </w:tcPr>
                <w:p w14:paraId="73DEEC2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63.6</w:t>
                  </w:r>
                </w:p>
              </w:tc>
              <w:tc>
                <w:tcPr>
                  <w:tcW w:w="0" w:type="auto"/>
                  <w:vAlign w:val="center"/>
                </w:tcPr>
                <w:p w14:paraId="0408968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58.0</w:t>
                  </w:r>
                </w:p>
              </w:tc>
              <w:tc>
                <w:tcPr>
                  <w:tcW w:w="0" w:type="auto"/>
                  <w:vAlign w:val="center"/>
                </w:tcPr>
                <w:p w14:paraId="3D051E1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50.4</w:t>
                  </w:r>
                </w:p>
              </w:tc>
              <w:tc>
                <w:tcPr>
                  <w:tcW w:w="0" w:type="auto"/>
                  <w:vMerge w:val="continue"/>
                  <w:vAlign w:val="center"/>
                </w:tcPr>
                <w:p w14:paraId="0AB8B2BD">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p>
              </w:tc>
              <w:tc>
                <w:tcPr>
                  <w:tcW w:w="0" w:type="auto"/>
                  <w:vAlign w:val="center"/>
                </w:tcPr>
                <w:p w14:paraId="1D2F3AE4">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15</w:t>
                  </w:r>
                </w:p>
              </w:tc>
              <w:tc>
                <w:tcPr>
                  <w:tcW w:w="0" w:type="auto"/>
                  <w:vAlign w:val="center"/>
                </w:tcPr>
                <w:p w14:paraId="3B58675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37.4</w:t>
                  </w:r>
                </w:p>
              </w:tc>
              <w:tc>
                <w:tcPr>
                  <w:tcW w:w="0" w:type="auto"/>
                  <w:vAlign w:val="center"/>
                </w:tcPr>
                <w:p w14:paraId="7FA4287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48.6</w:t>
                  </w:r>
                </w:p>
              </w:tc>
              <w:tc>
                <w:tcPr>
                  <w:tcW w:w="0" w:type="auto"/>
                  <w:vAlign w:val="center"/>
                </w:tcPr>
                <w:p w14:paraId="7CE354F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43.0</w:t>
                  </w:r>
                </w:p>
              </w:tc>
              <w:tc>
                <w:tcPr>
                  <w:tcW w:w="0" w:type="auto"/>
                  <w:vAlign w:val="center"/>
                </w:tcPr>
                <w:p w14:paraId="78D56AF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35.4</w:t>
                  </w:r>
                </w:p>
              </w:tc>
              <w:tc>
                <w:tcPr>
                  <w:tcW w:w="0" w:type="auto"/>
                  <w:vAlign w:val="center"/>
                </w:tcPr>
                <w:p w14:paraId="57425C9D">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w:t>
                  </w:r>
                </w:p>
              </w:tc>
            </w:tr>
            <w:tr w14:paraId="5D4D34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0" w:type="auto"/>
                  <w:vAlign w:val="center"/>
                </w:tcPr>
                <w:p w14:paraId="003CB89A">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8</w:t>
                  </w:r>
                </w:p>
              </w:tc>
              <w:tc>
                <w:tcPr>
                  <w:tcW w:w="0" w:type="auto"/>
                  <w:vMerge w:val="continue"/>
                  <w:vAlign w:val="center"/>
                </w:tcPr>
                <w:p w14:paraId="483991D2">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1043" w:type="dxa"/>
                  <w:vAlign w:val="center"/>
                </w:tcPr>
                <w:p w14:paraId="62B09AC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供胶系统×3</w:t>
                  </w:r>
                </w:p>
              </w:tc>
              <w:tc>
                <w:tcPr>
                  <w:tcW w:w="790" w:type="dxa"/>
                  <w:tcBorders>
                    <w:top w:val="single" w:color="auto" w:sz="4" w:space="0"/>
                  </w:tcBorders>
                  <w:vAlign w:val="center"/>
                </w:tcPr>
                <w:p w14:paraId="6891077E">
                  <w:pPr>
                    <w:keepNext w:val="0"/>
                    <w:keepLines w:val="0"/>
                    <w:widowControl w:val="0"/>
                    <w:suppressLineNumbers w:val="0"/>
                    <w:spacing w:before="100" w:beforeAutospacing="1" w:after="100" w:afterAutospacing="1" w:line="271"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85</w:t>
                  </w:r>
                </w:p>
              </w:tc>
              <w:tc>
                <w:tcPr>
                  <w:tcW w:w="636" w:type="dxa"/>
                  <w:vMerge w:val="continue"/>
                  <w:tcBorders>
                    <w:top w:val="single" w:color="auto" w:sz="4" w:space="0"/>
                  </w:tcBorders>
                  <w:vAlign w:val="center"/>
                </w:tcPr>
                <w:p w14:paraId="6164F4DA">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0" w:type="auto"/>
                  <w:tcBorders>
                    <w:top w:val="single" w:color="auto" w:sz="4" w:space="0"/>
                  </w:tcBorders>
                  <w:vAlign w:val="center"/>
                </w:tcPr>
                <w:p w14:paraId="654E5E7C">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-45</w:t>
                  </w:r>
                </w:p>
              </w:tc>
              <w:tc>
                <w:tcPr>
                  <w:tcW w:w="0" w:type="auto"/>
                  <w:tcBorders>
                    <w:top w:val="single" w:color="auto" w:sz="4" w:space="0"/>
                  </w:tcBorders>
                  <w:vAlign w:val="center"/>
                </w:tcPr>
                <w:p w14:paraId="2A68399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-38</w:t>
                  </w:r>
                </w:p>
              </w:tc>
              <w:tc>
                <w:tcPr>
                  <w:tcW w:w="0" w:type="auto"/>
                  <w:tcBorders>
                    <w:top w:val="single" w:color="auto" w:sz="4" w:space="0"/>
                  </w:tcBorders>
                  <w:vAlign w:val="center"/>
                </w:tcPr>
                <w:p w14:paraId="4DAADA5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1.2</w:t>
                  </w:r>
                </w:p>
              </w:tc>
              <w:tc>
                <w:tcPr>
                  <w:tcW w:w="0" w:type="auto"/>
                  <w:vAlign w:val="center"/>
                </w:tcPr>
                <w:p w14:paraId="5CD8DFD1">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44</w:t>
                  </w:r>
                </w:p>
              </w:tc>
              <w:tc>
                <w:tcPr>
                  <w:tcW w:w="0" w:type="auto"/>
                  <w:vAlign w:val="center"/>
                </w:tcPr>
                <w:p w14:paraId="6636F8EE">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18</w:t>
                  </w:r>
                </w:p>
              </w:tc>
              <w:tc>
                <w:tcPr>
                  <w:tcW w:w="0" w:type="auto"/>
                  <w:vAlign w:val="center"/>
                </w:tcPr>
                <w:p w14:paraId="75BF5F3D">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72</w:t>
                  </w:r>
                </w:p>
              </w:tc>
              <w:tc>
                <w:tcPr>
                  <w:tcW w:w="0" w:type="auto"/>
                  <w:vAlign w:val="center"/>
                </w:tcPr>
                <w:p w14:paraId="320336DB">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98</w:t>
                  </w:r>
                </w:p>
              </w:tc>
              <w:tc>
                <w:tcPr>
                  <w:tcW w:w="0" w:type="auto"/>
                  <w:vAlign w:val="center"/>
                </w:tcPr>
                <w:p w14:paraId="7FE4178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52.1</w:t>
                  </w:r>
                </w:p>
              </w:tc>
              <w:tc>
                <w:tcPr>
                  <w:tcW w:w="0" w:type="auto"/>
                  <w:vAlign w:val="center"/>
                </w:tcPr>
                <w:p w14:paraId="3D6FAA6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59.9</w:t>
                  </w:r>
                </w:p>
              </w:tc>
              <w:tc>
                <w:tcPr>
                  <w:tcW w:w="0" w:type="auto"/>
                  <w:vAlign w:val="center"/>
                </w:tcPr>
                <w:p w14:paraId="7FFD684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47.9</w:t>
                  </w:r>
                </w:p>
              </w:tc>
              <w:tc>
                <w:tcPr>
                  <w:tcW w:w="0" w:type="auto"/>
                  <w:vAlign w:val="center"/>
                </w:tcPr>
                <w:p w14:paraId="2762FF4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45.2</w:t>
                  </w:r>
                </w:p>
              </w:tc>
              <w:tc>
                <w:tcPr>
                  <w:tcW w:w="0" w:type="auto"/>
                  <w:vMerge w:val="continue"/>
                  <w:vAlign w:val="center"/>
                </w:tcPr>
                <w:p w14:paraId="08B9E2A4">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p>
              </w:tc>
              <w:tc>
                <w:tcPr>
                  <w:tcW w:w="0" w:type="auto"/>
                  <w:vAlign w:val="center"/>
                </w:tcPr>
                <w:p w14:paraId="34F6A5EB">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15</w:t>
                  </w:r>
                </w:p>
              </w:tc>
              <w:tc>
                <w:tcPr>
                  <w:tcW w:w="0" w:type="auto"/>
                  <w:vAlign w:val="center"/>
                </w:tcPr>
                <w:p w14:paraId="45B083A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37.1</w:t>
                  </w:r>
                </w:p>
              </w:tc>
              <w:tc>
                <w:tcPr>
                  <w:tcW w:w="0" w:type="auto"/>
                  <w:vAlign w:val="center"/>
                </w:tcPr>
                <w:p w14:paraId="56EA116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44.9</w:t>
                  </w:r>
                </w:p>
              </w:tc>
              <w:tc>
                <w:tcPr>
                  <w:tcW w:w="0" w:type="auto"/>
                  <w:vAlign w:val="center"/>
                </w:tcPr>
                <w:p w14:paraId="0AE27AA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32.9</w:t>
                  </w:r>
                </w:p>
              </w:tc>
              <w:tc>
                <w:tcPr>
                  <w:tcW w:w="0" w:type="auto"/>
                  <w:vAlign w:val="center"/>
                </w:tcPr>
                <w:p w14:paraId="36DCA00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30.2</w:t>
                  </w:r>
                </w:p>
              </w:tc>
              <w:tc>
                <w:tcPr>
                  <w:tcW w:w="0" w:type="auto"/>
                  <w:vAlign w:val="center"/>
                </w:tcPr>
                <w:p w14:paraId="62C84A7C">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w:t>
                  </w:r>
                </w:p>
              </w:tc>
            </w:tr>
            <w:tr w14:paraId="67CB03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0" w:type="auto"/>
                  <w:vAlign w:val="center"/>
                </w:tcPr>
                <w:p w14:paraId="02263FC2">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9</w:t>
                  </w:r>
                </w:p>
              </w:tc>
              <w:tc>
                <w:tcPr>
                  <w:tcW w:w="0" w:type="auto"/>
                  <w:vMerge w:val="continue"/>
                  <w:vAlign w:val="center"/>
                </w:tcPr>
                <w:p w14:paraId="458F0B68">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1043" w:type="dxa"/>
                  <w:vAlign w:val="center"/>
                </w:tcPr>
                <w:p w14:paraId="0439F5A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烘箱×3</w:t>
                  </w:r>
                </w:p>
              </w:tc>
              <w:tc>
                <w:tcPr>
                  <w:tcW w:w="790" w:type="dxa"/>
                  <w:tcBorders>
                    <w:top w:val="single" w:color="auto" w:sz="4" w:space="0"/>
                  </w:tcBorders>
                  <w:vAlign w:val="center"/>
                </w:tcPr>
                <w:p w14:paraId="55DBB40A">
                  <w:pPr>
                    <w:keepNext w:val="0"/>
                    <w:keepLines w:val="0"/>
                    <w:widowControl w:val="0"/>
                    <w:suppressLineNumbers w:val="0"/>
                    <w:spacing w:before="100" w:beforeAutospacing="1" w:after="100" w:afterAutospacing="1" w:line="271"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85</w:t>
                  </w:r>
                </w:p>
              </w:tc>
              <w:tc>
                <w:tcPr>
                  <w:tcW w:w="636" w:type="dxa"/>
                  <w:vMerge w:val="continue"/>
                  <w:tcBorders>
                    <w:top w:val="single" w:color="auto" w:sz="4" w:space="0"/>
                  </w:tcBorders>
                  <w:vAlign w:val="center"/>
                </w:tcPr>
                <w:p w14:paraId="3D75FBA0">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0" w:type="auto"/>
                  <w:tcBorders>
                    <w:top w:val="single" w:color="auto" w:sz="4" w:space="0"/>
                  </w:tcBorders>
                  <w:vAlign w:val="center"/>
                </w:tcPr>
                <w:p w14:paraId="2922C23C">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-39</w:t>
                  </w:r>
                </w:p>
              </w:tc>
              <w:tc>
                <w:tcPr>
                  <w:tcW w:w="0" w:type="auto"/>
                  <w:tcBorders>
                    <w:top w:val="single" w:color="auto" w:sz="4" w:space="0"/>
                  </w:tcBorders>
                  <w:vAlign w:val="center"/>
                </w:tcPr>
                <w:p w14:paraId="6126230A">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-40</w:t>
                  </w:r>
                </w:p>
              </w:tc>
              <w:tc>
                <w:tcPr>
                  <w:tcW w:w="0" w:type="auto"/>
                  <w:tcBorders>
                    <w:top w:val="single" w:color="auto" w:sz="4" w:space="0"/>
                  </w:tcBorders>
                  <w:vAlign w:val="center"/>
                </w:tcPr>
                <w:p w14:paraId="5854B683">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1.2</w:t>
                  </w:r>
                </w:p>
              </w:tc>
              <w:tc>
                <w:tcPr>
                  <w:tcW w:w="0" w:type="auto"/>
                  <w:vAlign w:val="center"/>
                </w:tcPr>
                <w:p w14:paraId="520A1F5A">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37</w:t>
                  </w:r>
                </w:p>
              </w:tc>
              <w:tc>
                <w:tcPr>
                  <w:tcW w:w="0" w:type="auto"/>
                  <w:vAlign w:val="center"/>
                </w:tcPr>
                <w:p w14:paraId="64DED70C">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18</w:t>
                  </w:r>
                </w:p>
              </w:tc>
              <w:tc>
                <w:tcPr>
                  <w:tcW w:w="0" w:type="auto"/>
                  <w:vAlign w:val="center"/>
                </w:tcPr>
                <w:p w14:paraId="101A35A0">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79</w:t>
                  </w:r>
                </w:p>
              </w:tc>
              <w:tc>
                <w:tcPr>
                  <w:tcW w:w="0" w:type="auto"/>
                  <w:vAlign w:val="center"/>
                </w:tcPr>
                <w:p w14:paraId="6EE7975A">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98</w:t>
                  </w:r>
                </w:p>
              </w:tc>
              <w:tc>
                <w:tcPr>
                  <w:tcW w:w="0" w:type="auto"/>
                  <w:vAlign w:val="center"/>
                </w:tcPr>
                <w:p w14:paraId="3F61BA4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53.6</w:t>
                  </w:r>
                </w:p>
              </w:tc>
              <w:tc>
                <w:tcPr>
                  <w:tcW w:w="0" w:type="auto"/>
                  <w:vAlign w:val="center"/>
                </w:tcPr>
                <w:p w14:paraId="1CEDB0C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59.9</w:t>
                  </w:r>
                </w:p>
              </w:tc>
              <w:tc>
                <w:tcPr>
                  <w:tcW w:w="0" w:type="auto"/>
                  <w:vAlign w:val="center"/>
                </w:tcPr>
                <w:p w14:paraId="3ECAE86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47.0</w:t>
                  </w:r>
                </w:p>
              </w:tc>
              <w:tc>
                <w:tcPr>
                  <w:tcW w:w="0" w:type="auto"/>
                  <w:vAlign w:val="center"/>
                </w:tcPr>
                <w:p w14:paraId="1F332C0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45.2</w:t>
                  </w:r>
                </w:p>
              </w:tc>
              <w:tc>
                <w:tcPr>
                  <w:tcW w:w="0" w:type="auto"/>
                  <w:vMerge w:val="continue"/>
                  <w:vAlign w:val="center"/>
                </w:tcPr>
                <w:p w14:paraId="534F64FD">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p>
              </w:tc>
              <w:tc>
                <w:tcPr>
                  <w:tcW w:w="0" w:type="auto"/>
                  <w:vAlign w:val="center"/>
                </w:tcPr>
                <w:p w14:paraId="3CD241B3">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15</w:t>
                  </w:r>
                </w:p>
              </w:tc>
              <w:tc>
                <w:tcPr>
                  <w:tcW w:w="0" w:type="auto"/>
                  <w:vAlign w:val="center"/>
                </w:tcPr>
                <w:p w14:paraId="1CC1C79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38.6</w:t>
                  </w:r>
                </w:p>
              </w:tc>
              <w:tc>
                <w:tcPr>
                  <w:tcW w:w="0" w:type="auto"/>
                  <w:vAlign w:val="center"/>
                </w:tcPr>
                <w:p w14:paraId="34776DD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44.9</w:t>
                  </w:r>
                </w:p>
              </w:tc>
              <w:tc>
                <w:tcPr>
                  <w:tcW w:w="0" w:type="auto"/>
                  <w:vAlign w:val="center"/>
                </w:tcPr>
                <w:p w14:paraId="7F568C5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32.0</w:t>
                  </w:r>
                </w:p>
              </w:tc>
              <w:tc>
                <w:tcPr>
                  <w:tcW w:w="0" w:type="auto"/>
                  <w:vAlign w:val="center"/>
                </w:tcPr>
                <w:p w14:paraId="25BD884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30.2</w:t>
                  </w:r>
                </w:p>
              </w:tc>
              <w:tc>
                <w:tcPr>
                  <w:tcW w:w="0" w:type="auto"/>
                  <w:vAlign w:val="center"/>
                </w:tcPr>
                <w:p w14:paraId="5C1DE8E1">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w:t>
                  </w:r>
                </w:p>
              </w:tc>
            </w:tr>
            <w:tr w14:paraId="395CDA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0" w:type="auto"/>
                  <w:vAlign w:val="center"/>
                </w:tcPr>
                <w:p w14:paraId="0A924319">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11</w:t>
                  </w:r>
                </w:p>
              </w:tc>
              <w:tc>
                <w:tcPr>
                  <w:tcW w:w="0" w:type="auto"/>
                  <w:vMerge w:val="continue"/>
                  <w:vAlign w:val="center"/>
                </w:tcPr>
                <w:p w14:paraId="3B63F44C">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1043" w:type="dxa"/>
                  <w:vAlign w:val="center"/>
                </w:tcPr>
                <w:p w14:paraId="368E597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测量机×6</w:t>
                  </w:r>
                </w:p>
              </w:tc>
              <w:tc>
                <w:tcPr>
                  <w:tcW w:w="790" w:type="dxa"/>
                  <w:tcBorders>
                    <w:top w:val="single" w:color="auto" w:sz="4" w:space="0"/>
                  </w:tcBorders>
                  <w:vAlign w:val="center"/>
                </w:tcPr>
                <w:p w14:paraId="537EBD53">
                  <w:pPr>
                    <w:keepNext w:val="0"/>
                    <w:keepLines w:val="0"/>
                    <w:widowControl w:val="0"/>
                    <w:suppressLineNumbers w:val="0"/>
                    <w:spacing w:before="100" w:beforeAutospacing="1" w:after="100" w:afterAutospacing="1" w:line="271"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87</w:t>
                  </w:r>
                </w:p>
              </w:tc>
              <w:tc>
                <w:tcPr>
                  <w:tcW w:w="636" w:type="dxa"/>
                  <w:vMerge w:val="continue"/>
                  <w:tcBorders>
                    <w:top w:val="single" w:color="auto" w:sz="4" w:space="0"/>
                  </w:tcBorders>
                  <w:vAlign w:val="center"/>
                </w:tcPr>
                <w:p w14:paraId="4F689E1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0" w:type="auto"/>
                  <w:tcBorders>
                    <w:top w:val="single" w:color="auto" w:sz="4" w:space="0"/>
                  </w:tcBorders>
                  <w:vAlign w:val="center"/>
                </w:tcPr>
                <w:p w14:paraId="410162ED">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-59</w:t>
                  </w:r>
                </w:p>
              </w:tc>
              <w:tc>
                <w:tcPr>
                  <w:tcW w:w="0" w:type="auto"/>
                  <w:tcBorders>
                    <w:top w:val="single" w:color="auto" w:sz="4" w:space="0"/>
                  </w:tcBorders>
                  <w:vAlign w:val="center"/>
                </w:tcPr>
                <w:p w14:paraId="7E69451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-7</w:t>
                  </w:r>
                </w:p>
              </w:tc>
              <w:tc>
                <w:tcPr>
                  <w:tcW w:w="0" w:type="auto"/>
                  <w:tcBorders>
                    <w:top w:val="single" w:color="auto" w:sz="4" w:space="0"/>
                  </w:tcBorders>
                  <w:vAlign w:val="center"/>
                </w:tcPr>
                <w:p w14:paraId="1D6FEDFB">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1.2</w:t>
                  </w:r>
                </w:p>
              </w:tc>
              <w:tc>
                <w:tcPr>
                  <w:tcW w:w="0" w:type="auto"/>
                  <w:vAlign w:val="center"/>
                </w:tcPr>
                <w:p w14:paraId="62C08E8F">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90</w:t>
                  </w:r>
                </w:p>
              </w:tc>
              <w:tc>
                <w:tcPr>
                  <w:tcW w:w="0" w:type="auto"/>
                  <w:vAlign w:val="center"/>
                </w:tcPr>
                <w:p w14:paraId="62093CC1">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48</w:t>
                  </w:r>
                </w:p>
              </w:tc>
              <w:tc>
                <w:tcPr>
                  <w:tcW w:w="0" w:type="auto"/>
                  <w:vAlign w:val="center"/>
                </w:tcPr>
                <w:p w14:paraId="72154E80">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55</w:t>
                  </w:r>
                </w:p>
              </w:tc>
              <w:tc>
                <w:tcPr>
                  <w:tcW w:w="0" w:type="auto"/>
                  <w:vAlign w:val="center"/>
                </w:tcPr>
                <w:p w14:paraId="772F6283">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69</w:t>
                  </w:r>
                </w:p>
              </w:tc>
              <w:tc>
                <w:tcPr>
                  <w:tcW w:w="0" w:type="auto"/>
                  <w:vAlign w:val="center"/>
                </w:tcPr>
                <w:p w14:paraId="051DE0D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40.9</w:t>
                  </w:r>
                </w:p>
              </w:tc>
              <w:tc>
                <w:tcPr>
                  <w:tcW w:w="0" w:type="auto"/>
                  <w:vAlign w:val="center"/>
                </w:tcPr>
                <w:p w14:paraId="50330F5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46.4</w:t>
                  </w:r>
                </w:p>
              </w:tc>
              <w:tc>
                <w:tcPr>
                  <w:tcW w:w="0" w:type="auto"/>
                  <w:vAlign w:val="center"/>
                </w:tcPr>
                <w:p w14:paraId="6C5B383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45.2</w:t>
                  </w:r>
                </w:p>
              </w:tc>
              <w:tc>
                <w:tcPr>
                  <w:tcW w:w="0" w:type="auto"/>
                  <w:vAlign w:val="center"/>
                </w:tcPr>
                <w:p w14:paraId="243D291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43.2</w:t>
                  </w:r>
                </w:p>
              </w:tc>
              <w:tc>
                <w:tcPr>
                  <w:tcW w:w="0" w:type="auto"/>
                  <w:vMerge w:val="continue"/>
                  <w:vAlign w:val="center"/>
                </w:tcPr>
                <w:p w14:paraId="600CE43B">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p>
              </w:tc>
              <w:tc>
                <w:tcPr>
                  <w:tcW w:w="0" w:type="auto"/>
                  <w:vAlign w:val="center"/>
                </w:tcPr>
                <w:p w14:paraId="3077AD28">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15</w:t>
                  </w:r>
                </w:p>
              </w:tc>
              <w:tc>
                <w:tcPr>
                  <w:tcW w:w="0" w:type="auto"/>
                  <w:vAlign w:val="center"/>
                </w:tcPr>
                <w:p w14:paraId="2AD2B9E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25.9</w:t>
                  </w:r>
                </w:p>
              </w:tc>
              <w:tc>
                <w:tcPr>
                  <w:tcW w:w="0" w:type="auto"/>
                  <w:vAlign w:val="center"/>
                </w:tcPr>
                <w:p w14:paraId="1708116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31.4</w:t>
                  </w:r>
                </w:p>
              </w:tc>
              <w:tc>
                <w:tcPr>
                  <w:tcW w:w="0" w:type="auto"/>
                  <w:vAlign w:val="center"/>
                </w:tcPr>
                <w:p w14:paraId="0BCDFC0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30.2</w:t>
                  </w:r>
                </w:p>
              </w:tc>
              <w:tc>
                <w:tcPr>
                  <w:tcW w:w="0" w:type="auto"/>
                  <w:vAlign w:val="center"/>
                </w:tcPr>
                <w:p w14:paraId="3B0410A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28.2</w:t>
                  </w:r>
                </w:p>
              </w:tc>
              <w:tc>
                <w:tcPr>
                  <w:tcW w:w="0" w:type="auto"/>
                  <w:vAlign w:val="center"/>
                </w:tcPr>
                <w:p w14:paraId="5C9E5DBC">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w:t>
                  </w:r>
                </w:p>
              </w:tc>
            </w:tr>
            <w:tr w14:paraId="0FAA9D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0" w:type="auto"/>
                  <w:vAlign w:val="center"/>
                </w:tcPr>
                <w:p w14:paraId="74E532E4">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12</w:t>
                  </w:r>
                </w:p>
              </w:tc>
              <w:tc>
                <w:tcPr>
                  <w:tcW w:w="0" w:type="auto"/>
                  <w:vMerge w:val="continue"/>
                  <w:vAlign w:val="center"/>
                </w:tcPr>
                <w:p w14:paraId="562403A8">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1043" w:type="dxa"/>
                  <w:vAlign w:val="center"/>
                </w:tcPr>
                <w:p w14:paraId="7FEAB03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安规设备×2</w:t>
                  </w:r>
                </w:p>
              </w:tc>
              <w:tc>
                <w:tcPr>
                  <w:tcW w:w="790" w:type="dxa"/>
                  <w:tcBorders>
                    <w:top w:val="single" w:color="auto" w:sz="4" w:space="0"/>
                  </w:tcBorders>
                  <w:vAlign w:val="center"/>
                </w:tcPr>
                <w:p w14:paraId="54270E17">
                  <w:pPr>
                    <w:keepNext w:val="0"/>
                    <w:keepLines w:val="0"/>
                    <w:widowControl w:val="0"/>
                    <w:suppressLineNumbers w:val="0"/>
                    <w:spacing w:before="100" w:beforeAutospacing="1" w:after="100" w:afterAutospacing="1" w:line="271"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82</w:t>
                  </w:r>
                </w:p>
              </w:tc>
              <w:tc>
                <w:tcPr>
                  <w:tcW w:w="636" w:type="dxa"/>
                  <w:vMerge w:val="continue"/>
                  <w:tcBorders>
                    <w:top w:val="single" w:color="auto" w:sz="4" w:space="0"/>
                  </w:tcBorders>
                  <w:vAlign w:val="center"/>
                </w:tcPr>
                <w:p w14:paraId="0EE7AAA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0" w:type="auto"/>
                  <w:tcBorders>
                    <w:top w:val="single" w:color="auto" w:sz="4" w:space="0"/>
                  </w:tcBorders>
                  <w:vAlign w:val="center"/>
                </w:tcPr>
                <w:p w14:paraId="69AC8EE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-41</w:t>
                  </w:r>
                </w:p>
              </w:tc>
              <w:tc>
                <w:tcPr>
                  <w:tcW w:w="0" w:type="auto"/>
                  <w:tcBorders>
                    <w:top w:val="single" w:color="auto" w:sz="4" w:space="0"/>
                  </w:tcBorders>
                  <w:vAlign w:val="center"/>
                </w:tcPr>
                <w:p w14:paraId="76BC4C1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-3</w:t>
                  </w:r>
                </w:p>
              </w:tc>
              <w:tc>
                <w:tcPr>
                  <w:tcW w:w="0" w:type="auto"/>
                  <w:tcBorders>
                    <w:top w:val="single" w:color="auto" w:sz="4" w:space="0"/>
                  </w:tcBorders>
                  <w:vAlign w:val="center"/>
                </w:tcPr>
                <w:p w14:paraId="3663BFD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1.2</w:t>
                  </w:r>
                </w:p>
              </w:tc>
              <w:tc>
                <w:tcPr>
                  <w:tcW w:w="0" w:type="auto"/>
                  <w:vAlign w:val="center"/>
                </w:tcPr>
                <w:p w14:paraId="03209036">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75</w:t>
                  </w:r>
                </w:p>
              </w:tc>
              <w:tc>
                <w:tcPr>
                  <w:tcW w:w="0" w:type="auto"/>
                  <w:vAlign w:val="center"/>
                </w:tcPr>
                <w:p w14:paraId="7CAE5978">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63</w:t>
                  </w:r>
                </w:p>
              </w:tc>
              <w:tc>
                <w:tcPr>
                  <w:tcW w:w="0" w:type="auto"/>
                  <w:vAlign w:val="center"/>
                </w:tcPr>
                <w:p w14:paraId="2400112B">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70</w:t>
                  </w:r>
                </w:p>
              </w:tc>
              <w:tc>
                <w:tcPr>
                  <w:tcW w:w="0" w:type="auto"/>
                  <w:vAlign w:val="center"/>
                </w:tcPr>
                <w:p w14:paraId="52CFD1BB">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54</w:t>
                  </w:r>
                </w:p>
              </w:tc>
              <w:tc>
                <w:tcPr>
                  <w:tcW w:w="0" w:type="auto"/>
                  <w:vAlign w:val="center"/>
                </w:tcPr>
                <w:p w14:paraId="6BC141F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42.5</w:t>
                  </w:r>
                </w:p>
              </w:tc>
              <w:tc>
                <w:tcPr>
                  <w:tcW w:w="0" w:type="auto"/>
                  <w:vAlign w:val="center"/>
                </w:tcPr>
                <w:p w14:paraId="3BF4F63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44.0</w:t>
                  </w:r>
                </w:p>
              </w:tc>
              <w:tc>
                <w:tcPr>
                  <w:tcW w:w="0" w:type="auto"/>
                  <w:vAlign w:val="center"/>
                </w:tcPr>
                <w:p w14:paraId="02C85AC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43.1</w:t>
                  </w:r>
                </w:p>
              </w:tc>
              <w:tc>
                <w:tcPr>
                  <w:tcW w:w="0" w:type="auto"/>
                  <w:vAlign w:val="center"/>
                </w:tcPr>
                <w:p w14:paraId="2C08C05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45.4</w:t>
                  </w:r>
                </w:p>
              </w:tc>
              <w:tc>
                <w:tcPr>
                  <w:tcW w:w="0" w:type="auto"/>
                  <w:vMerge w:val="continue"/>
                  <w:vAlign w:val="center"/>
                </w:tcPr>
                <w:p w14:paraId="4967A6FC">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p>
              </w:tc>
              <w:tc>
                <w:tcPr>
                  <w:tcW w:w="0" w:type="auto"/>
                  <w:vAlign w:val="center"/>
                </w:tcPr>
                <w:p w14:paraId="58A066D2">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15</w:t>
                  </w:r>
                </w:p>
              </w:tc>
              <w:tc>
                <w:tcPr>
                  <w:tcW w:w="0" w:type="auto"/>
                  <w:vAlign w:val="center"/>
                </w:tcPr>
                <w:p w14:paraId="3B0FB9E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27.5</w:t>
                  </w:r>
                </w:p>
              </w:tc>
              <w:tc>
                <w:tcPr>
                  <w:tcW w:w="0" w:type="auto"/>
                  <w:vAlign w:val="center"/>
                </w:tcPr>
                <w:p w14:paraId="09DBC44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29.0</w:t>
                  </w:r>
                </w:p>
              </w:tc>
              <w:tc>
                <w:tcPr>
                  <w:tcW w:w="0" w:type="auto"/>
                  <w:vAlign w:val="center"/>
                </w:tcPr>
                <w:p w14:paraId="72A8D9B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28.1</w:t>
                  </w:r>
                </w:p>
              </w:tc>
              <w:tc>
                <w:tcPr>
                  <w:tcW w:w="0" w:type="auto"/>
                  <w:vAlign w:val="center"/>
                </w:tcPr>
                <w:p w14:paraId="4DB8ACD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30.4</w:t>
                  </w:r>
                </w:p>
              </w:tc>
              <w:tc>
                <w:tcPr>
                  <w:tcW w:w="0" w:type="auto"/>
                  <w:vAlign w:val="center"/>
                </w:tcPr>
                <w:p w14:paraId="34145EC9">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w:t>
                  </w:r>
                </w:p>
              </w:tc>
            </w:tr>
            <w:tr w14:paraId="20EE08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0" w:type="auto"/>
                  <w:vAlign w:val="center"/>
                </w:tcPr>
                <w:p w14:paraId="40A8B037">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13</w:t>
                  </w:r>
                </w:p>
              </w:tc>
              <w:tc>
                <w:tcPr>
                  <w:tcW w:w="0" w:type="auto"/>
                  <w:vMerge w:val="continue"/>
                  <w:vAlign w:val="center"/>
                </w:tcPr>
                <w:p w14:paraId="18597430">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1043" w:type="dxa"/>
                  <w:vAlign w:val="center"/>
                </w:tcPr>
                <w:p w14:paraId="094EE80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打标机×1</w:t>
                  </w:r>
                </w:p>
              </w:tc>
              <w:tc>
                <w:tcPr>
                  <w:tcW w:w="790" w:type="dxa"/>
                  <w:tcBorders>
                    <w:top w:val="single" w:color="auto" w:sz="4" w:space="0"/>
                  </w:tcBorders>
                  <w:vAlign w:val="center"/>
                </w:tcPr>
                <w:p w14:paraId="278B07D4">
                  <w:pPr>
                    <w:keepNext w:val="0"/>
                    <w:keepLines w:val="0"/>
                    <w:widowControl w:val="0"/>
                    <w:suppressLineNumbers w:val="0"/>
                    <w:spacing w:before="100" w:beforeAutospacing="1" w:after="100" w:afterAutospacing="1" w:line="271"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75</w:t>
                  </w:r>
                </w:p>
              </w:tc>
              <w:tc>
                <w:tcPr>
                  <w:tcW w:w="636" w:type="dxa"/>
                  <w:vMerge w:val="continue"/>
                  <w:tcBorders>
                    <w:top w:val="single" w:color="auto" w:sz="4" w:space="0"/>
                  </w:tcBorders>
                  <w:vAlign w:val="center"/>
                </w:tcPr>
                <w:p w14:paraId="5B3FA7C3">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0" w:type="auto"/>
                  <w:tcBorders>
                    <w:top w:val="single" w:color="auto" w:sz="4" w:space="0"/>
                  </w:tcBorders>
                  <w:vAlign w:val="center"/>
                </w:tcPr>
                <w:p w14:paraId="167C3E2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-48</w:t>
                  </w:r>
                </w:p>
              </w:tc>
              <w:tc>
                <w:tcPr>
                  <w:tcW w:w="0" w:type="auto"/>
                  <w:tcBorders>
                    <w:top w:val="single" w:color="auto" w:sz="4" w:space="0"/>
                  </w:tcBorders>
                  <w:vAlign w:val="center"/>
                </w:tcPr>
                <w:p w14:paraId="45160D8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6</w:t>
                  </w:r>
                </w:p>
              </w:tc>
              <w:tc>
                <w:tcPr>
                  <w:tcW w:w="0" w:type="auto"/>
                  <w:tcBorders>
                    <w:top w:val="single" w:color="auto" w:sz="4" w:space="0"/>
                  </w:tcBorders>
                  <w:vAlign w:val="center"/>
                </w:tcPr>
                <w:p w14:paraId="66A6DF7E">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1.2</w:t>
                  </w:r>
                </w:p>
              </w:tc>
              <w:tc>
                <w:tcPr>
                  <w:tcW w:w="0" w:type="auto"/>
                  <w:vAlign w:val="center"/>
                </w:tcPr>
                <w:p w14:paraId="1257275F">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81</w:t>
                  </w:r>
                </w:p>
              </w:tc>
              <w:tc>
                <w:tcPr>
                  <w:tcW w:w="0" w:type="auto"/>
                  <w:vAlign w:val="center"/>
                </w:tcPr>
                <w:p w14:paraId="438BA4C2">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65</w:t>
                  </w:r>
                </w:p>
              </w:tc>
              <w:tc>
                <w:tcPr>
                  <w:tcW w:w="0" w:type="auto"/>
                  <w:vAlign w:val="center"/>
                </w:tcPr>
                <w:p w14:paraId="390A99AF">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64</w:t>
                  </w:r>
                </w:p>
              </w:tc>
              <w:tc>
                <w:tcPr>
                  <w:tcW w:w="0" w:type="auto"/>
                  <w:vAlign w:val="center"/>
                </w:tcPr>
                <w:p w14:paraId="446F0882">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52</w:t>
                  </w:r>
                </w:p>
              </w:tc>
              <w:tc>
                <w:tcPr>
                  <w:tcW w:w="0" w:type="auto"/>
                  <w:vAlign w:val="center"/>
                </w:tcPr>
                <w:p w14:paraId="5C81EE9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51.8</w:t>
                  </w:r>
                </w:p>
              </w:tc>
              <w:tc>
                <w:tcPr>
                  <w:tcW w:w="0" w:type="auto"/>
                  <w:vAlign w:val="center"/>
                </w:tcPr>
                <w:p w14:paraId="0357B51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53.7</w:t>
                  </w:r>
                </w:p>
              </w:tc>
              <w:tc>
                <w:tcPr>
                  <w:tcW w:w="0" w:type="auto"/>
                  <w:vAlign w:val="center"/>
                </w:tcPr>
                <w:p w14:paraId="20A9BD6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53.9</w:t>
                  </w:r>
                </w:p>
              </w:tc>
              <w:tc>
                <w:tcPr>
                  <w:tcW w:w="0" w:type="auto"/>
                  <w:vAlign w:val="center"/>
                </w:tcPr>
                <w:p w14:paraId="1E37AAD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55.7</w:t>
                  </w:r>
                </w:p>
              </w:tc>
              <w:tc>
                <w:tcPr>
                  <w:tcW w:w="0" w:type="auto"/>
                  <w:vMerge w:val="continue"/>
                  <w:vAlign w:val="center"/>
                </w:tcPr>
                <w:p w14:paraId="1E3E0AC4">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p>
              </w:tc>
              <w:tc>
                <w:tcPr>
                  <w:tcW w:w="0" w:type="auto"/>
                  <w:vAlign w:val="center"/>
                </w:tcPr>
                <w:p w14:paraId="326A11BA">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15</w:t>
                  </w:r>
                </w:p>
              </w:tc>
              <w:tc>
                <w:tcPr>
                  <w:tcW w:w="0" w:type="auto"/>
                  <w:vAlign w:val="center"/>
                </w:tcPr>
                <w:p w14:paraId="3484378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36.8</w:t>
                  </w:r>
                </w:p>
              </w:tc>
              <w:tc>
                <w:tcPr>
                  <w:tcW w:w="0" w:type="auto"/>
                  <w:vAlign w:val="center"/>
                </w:tcPr>
                <w:p w14:paraId="04754EC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38.7</w:t>
                  </w:r>
                </w:p>
              </w:tc>
              <w:tc>
                <w:tcPr>
                  <w:tcW w:w="0" w:type="auto"/>
                  <w:vAlign w:val="center"/>
                </w:tcPr>
                <w:p w14:paraId="7BDEDCB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38.9</w:t>
                  </w:r>
                </w:p>
              </w:tc>
              <w:tc>
                <w:tcPr>
                  <w:tcW w:w="0" w:type="auto"/>
                  <w:vAlign w:val="center"/>
                </w:tcPr>
                <w:p w14:paraId="2F264DE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40.7</w:t>
                  </w:r>
                </w:p>
              </w:tc>
              <w:tc>
                <w:tcPr>
                  <w:tcW w:w="0" w:type="auto"/>
                  <w:vAlign w:val="center"/>
                </w:tcPr>
                <w:p w14:paraId="4981D0A8">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w:t>
                  </w:r>
                </w:p>
              </w:tc>
            </w:tr>
            <w:tr w14:paraId="0ED6BD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0" w:type="auto"/>
                  <w:vAlign w:val="center"/>
                </w:tcPr>
                <w:p w14:paraId="43EA3B3B">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14</w:t>
                  </w:r>
                </w:p>
              </w:tc>
              <w:tc>
                <w:tcPr>
                  <w:tcW w:w="0" w:type="auto"/>
                  <w:vMerge w:val="continue"/>
                  <w:vAlign w:val="center"/>
                </w:tcPr>
                <w:p w14:paraId="63BB2B56">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1043" w:type="dxa"/>
                  <w:vAlign w:val="center"/>
                </w:tcPr>
                <w:p w14:paraId="59E3E29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称重系统×4</w:t>
                  </w:r>
                </w:p>
              </w:tc>
              <w:tc>
                <w:tcPr>
                  <w:tcW w:w="790" w:type="dxa"/>
                  <w:tcBorders>
                    <w:top w:val="single" w:color="auto" w:sz="4" w:space="0"/>
                  </w:tcBorders>
                  <w:vAlign w:val="center"/>
                </w:tcPr>
                <w:p w14:paraId="06BC5791">
                  <w:pPr>
                    <w:keepNext w:val="0"/>
                    <w:keepLines w:val="0"/>
                    <w:widowControl w:val="0"/>
                    <w:suppressLineNumbers w:val="0"/>
                    <w:spacing w:before="100" w:beforeAutospacing="1" w:after="100" w:afterAutospacing="1" w:line="271"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81</w:t>
                  </w:r>
                </w:p>
              </w:tc>
              <w:tc>
                <w:tcPr>
                  <w:tcW w:w="636" w:type="dxa"/>
                  <w:vMerge w:val="continue"/>
                  <w:tcBorders>
                    <w:top w:val="single" w:color="auto" w:sz="4" w:space="0"/>
                  </w:tcBorders>
                  <w:vAlign w:val="center"/>
                </w:tcPr>
                <w:p w14:paraId="164E532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0" w:type="auto"/>
                  <w:tcBorders>
                    <w:top w:val="single" w:color="auto" w:sz="4" w:space="0"/>
                  </w:tcBorders>
                  <w:vAlign w:val="center"/>
                </w:tcPr>
                <w:p w14:paraId="24E273C0">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-53</w:t>
                  </w:r>
                </w:p>
              </w:tc>
              <w:tc>
                <w:tcPr>
                  <w:tcW w:w="0" w:type="auto"/>
                  <w:tcBorders>
                    <w:top w:val="single" w:color="auto" w:sz="4" w:space="0"/>
                  </w:tcBorders>
                  <w:vAlign w:val="center"/>
                </w:tcPr>
                <w:p w14:paraId="65AC6A9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6</w:t>
                  </w:r>
                </w:p>
              </w:tc>
              <w:tc>
                <w:tcPr>
                  <w:tcW w:w="0" w:type="auto"/>
                  <w:tcBorders>
                    <w:top w:val="single" w:color="auto" w:sz="4" w:space="0"/>
                  </w:tcBorders>
                  <w:vAlign w:val="center"/>
                </w:tcPr>
                <w:p w14:paraId="496C13F2">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1.2</w:t>
                  </w:r>
                </w:p>
              </w:tc>
              <w:tc>
                <w:tcPr>
                  <w:tcW w:w="0" w:type="auto"/>
                  <w:vAlign w:val="center"/>
                </w:tcPr>
                <w:p w14:paraId="249BA074">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86</w:t>
                  </w:r>
                </w:p>
              </w:tc>
              <w:tc>
                <w:tcPr>
                  <w:tcW w:w="0" w:type="auto"/>
                  <w:vAlign w:val="center"/>
                </w:tcPr>
                <w:p w14:paraId="34588D5F">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65</w:t>
                  </w:r>
                </w:p>
              </w:tc>
              <w:tc>
                <w:tcPr>
                  <w:tcW w:w="0" w:type="auto"/>
                  <w:vAlign w:val="center"/>
                </w:tcPr>
                <w:p w14:paraId="0E1AE452">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59</w:t>
                  </w:r>
                </w:p>
              </w:tc>
              <w:tc>
                <w:tcPr>
                  <w:tcW w:w="0" w:type="auto"/>
                  <w:vAlign w:val="center"/>
                </w:tcPr>
                <w:p w14:paraId="60F23B15">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52</w:t>
                  </w:r>
                </w:p>
              </w:tc>
              <w:tc>
                <w:tcPr>
                  <w:tcW w:w="0" w:type="auto"/>
                  <w:vAlign w:val="center"/>
                </w:tcPr>
                <w:p w14:paraId="40BBCC0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51.3</w:t>
                  </w:r>
                </w:p>
              </w:tc>
              <w:tc>
                <w:tcPr>
                  <w:tcW w:w="0" w:type="auto"/>
                  <w:vAlign w:val="center"/>
                </w:tcPr>
                <w:p w14:paraId="0E804CC0">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53.7</w:t>
                  </w:r>
                </w:p>
              </w:tc>
              <w:tc>
                <w:tcPr>
                  <w:tcW w:w="0" w:type="auto"/>
                  <w:vAlign w:val="center"/>
                </w:tcPr>
                <w:p w14:paraId="28F65EB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54.6</w:t>
                  </w:r>
                </w:p>
              </w:tc>
              <w:tc>
                <w:tcPr>
                  <w:tcW w:w="0" w:type="auto"/>
                  <w:vAlign w:val="center"/>
                </w:tcPr>
                <w:p w14:paraId="54EB081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55.7</w:t>
                  </w:r>
                </w:p>
              </w:tc>
              <w:tc>
                <w:tcPr>
                  <w:tcW w:w="0" w:type="auto"/>
                  <w:vMerge w:val="continue"/>
                  <w:vAlign w:val="center"/>
                </w:tcPr>
                <w:p w14:paraId="4EBA9ABD">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p>
              </w:tc>
              <w:tc>
                <w:tcPr>
                  <w:tcW w:w="0" w:type="auto"/>
                  <w:vAlign w:val="center"/>
                </w:tcPr>
                <w:p w14:paraId="3E57838C">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15</w:t>
                  </w:r>
                </w:p>
              </w:tc>
              <w:tc>
                <w:tcPr>
                  <w:tcW w:w="0" w:type="auto"/>
                  <w:vAlign w:val="center"/>
                </w:tcPr>
                <w:p w14:paraId="27CAE36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36.3</w:t>
                  </w:r>
                </w:p>
              </w:tc>
              <w:tc>
                <w:tcPr>
                  <w:tcW w:w="0" w:type="auto"/>
                  <w:vAlign w:val="center"/>
                </w:tcPr>
                <w:p w14:paraId="08D4EA2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38.7</w:t>
                  </w:r>
                </w:p>
              </w:tc>
              <w:tc>
                <w:tcPr>
                  <w:tcW w:w="0" w:type="auto"/>
                  <w:vAlign w:val="center"/>
                </w:tcPr>
                <w:p w14:paraId="60F64E9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39.6</w:t>
                  </w:r>
                </w:p>
              </w:tc>
              <w:tc>
                <w:tcPr>
                  <w:tcW w:w="0" w:type="auto"/>
                  <w:vAlign w:val="center"/>
                </w:tcPr>
                <w:p w14:paraId="5587BC0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40.7</w:t>
                  </w:r>
                </w:p>
              </w:tc>
              <w:tc>
                <w:tcPr>
                  <w:tcW w:w="0" w:type="auto"/>
                  <w:vAlign w:val="center"/>
                </w:tcPr>
                <w:p w14:paraId="4B838693">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w:t>
                  </w:r>
                </w:p>
              </w:tc>
            </w:tr>
            <w:tr w14:paraId="639385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0" w:type="auto"/>
                  <w:vAlign w:val="center"/>
                </w:tcPr>
                <w:p w14:paraId="5A454308">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15</w:t>
                  </w:r>
                </w:p>
              </w:tc>
              <w:tc>
                <w:tcPr>
                  <w:tcW w:w="0" w:type="auto"/>
                  <w:vMerge w:val="continue"/>
                  <w:vAlign w:val="center"/>
                </w:tcPr>
                <w:p w14:paraId="7BB99BF4">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1043" w:type="dxa"/>
                  <w:vAlign w:val="center"/>
                </w:tcPr>
                <w:p w14:paraId="1EE8AD5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eastAsia="Times New Roman" w:cs="Times New Roman"/>
                      <w:color w:val="auto"/>
                      <w:kern w:val="2"/>
                      <w:sz w:val="21"/>
                      <w:szCs w:val="21"/>
                    </w:rPr>
                    <w:t>EOL</w:t>
                  </w:r>
                  <w:r>
                    <w:rPr>
                      <w:rFonts w:hint="default" w:ascii="Times New Roman" w:hAnsi="Times New Roman" w:cs="Times New Roman"/>
                      <w:color w:val="auto"/>
                      <w:kern w:val="2"/>
                      <w:sz w:val="21"/>
                      <w:szCs w:val="21"/>
                    </w:rPr>
                    <w:t>×4</w:t>
                  </w:r>
                </w:p>
              </w:tc>
              <w:tc>
                <w:tcPr>
                  <w:tcW w:w="790" w:type="dxa"/>
                  <w:tcBorders>
                    <w:top w:val="single" w:color="auto" w:sz="4" w:space="0"/>
                  </w:tcBorders>
                  <w:vAlign w:val="center"/>
                </w:tcPr>
                <w:p w14:paraId="02E9A3F9">
                  <w:pPr>
                    <w:keepNext w:val="0"/>
                    <w:keepLines w:val="0"/>
                    <w:widowControl w:val="0"/>
                    <w:suppressLineNumbers w:val="0"/>
                    <w:spacing w:before="100" w:beforeAutospacing="1" w:after="100" w:afterAutospacing="1" w:line="271"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81</w:t>
                  </w:r>
                </w:p>
              </w:tc>
              <w:tc>
                <w:tcPr>
                  <w:tcW w:w="636" w:type="dxa"/>
                  <w:vMerge w:val="continue"/>
                  <w:tcBorders>
                    <w:top w:val="single" w:color="auto" w:sz="4" w:space="0"/>
                  </w:tcBorders>
                  <w:vAlign w:val="center"/>
                </w:tcPr>
                <w:p w14:paraId="0E6519FC">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0" w:type="auto"/>
                  <w:tcBorders>
                    <w:top w:val="single" w:color="auto" w:sz="4" w:space="0"/>
                  </w:tcBorders>
                  <w:vAlign w:val="center"/>
                </w:tcPr>
                <w:p w14:paraId="4839F046">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-26</w:t>
                  </w:r>
                </w:p>
              </w:tc>
              <w:tc>
                <w:tcPr>
                  <w:tcW w:w="0" w:type="auto"/>
                  <w:tcBorders>
                    <w:top w:val="single" w:color="auto" w:sz="4" w:space="0"/>
                  </w:tcBorders>
                  <w:vAlign w:val="center"/>
                </w:tcPr>
                <w:p w14:paraId="31BE21EB">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18</w:t>
                  </w:r>
                </w:p>
              </w:tc>
              <w:tc>
                <w:tcPr>
                  <w:tcW w:w="0" w:type="auto"/>
                  <w:tcBorders>
                    <w:top w:val="single" w:color="auto" w:sz="4" w:space="0"/>
                  </w:tcBorders>
                  <w:vAlign w:val="center"/>
                </w:tcPr>
                <w:p w14:paraId="67393E92">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1.2</w:t>
                  </w:r>
                </w:p>
              </w:tc>
              <w:tc>
                <w:tcPr>
                  <w:tcW w:w="0" w:type="auto"/>
                  <w:vAlign w:val="center"/>
                </w:tcPr>
                <w:p w14:paraId="16EE58A1">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63</w:t>
                  </w:r>
                </w:p>
              </w:tc>
              <w:tc>
                <w:tcPr>
                  <w:tcW w:w="0" w:type="auto"/>
                  <w:vAlign w:val="center"/>
                </w:tcPr>
                <w:p w14:paraId="774CC44B">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79</w:t>
                  </w:r>
                </w:p>
              </w:tc>
              <w:tc>
                <w:tcPr>
                  <w:tcW w:w="0" w:type="auto"/>
                  <w:vAlign w:val="center"/>
                </w:tcPr>
                <w:p w14:paraId="11E27B18">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82</w:t>
                  </w:r>
                </w:p>
              </w:tc>
              <w:tc>
                <w:tcPr>
                  <w:tcW w:w="0" w:type="auto"/>
                  <w:vAlign w:val="center"/>
                </w:tcPr>
                <w:p w14:paraId="7211D2C7">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38</w:t>
                  </w:r>
                </w:p>
              </w:tc>
              <w:tc>
                <w:tcPr>
                  <w:tcW w:w="0" w:type="auto"/>
                  <w:vAlign w:val="center"/>
                </w:tcPr>
                <w:p w14:paraId="79E9663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54.0</w:t>
                  </w:r>
                </w:p>
              </w:tc>
              <w:tc>
                <w:tcPr>
                  <w:tcW w:w="0" w:type="auto"/>
                  <w:vAlign w:val="center"/>
                </w:tcPr>
                <w:p w14:paraId="751DB3A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52.0</w:t>
                  </w:r>
                </w:p>
              </w:tc>
              <w:tc>
                <w:tcPr>
                  <w:tcW w:w="0" w:type="auto"/>
                  <w:vAlign w:val="center"/>
                </w:tcPr>
                <w:p w14:paraId="0EBB6158">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51.7</w:t>
                  </w:r>
                </w:p>
              </w:tc>
              <w:tc>
                <w:tcPr>
                  <w:tcW w:w="0" w:type="auto"/>
                  <w:vAlign w:val="center"/>
                </w:tcPr>
                <w:p w14:paraId="2809E84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58.4</w:t>
                  </w:r>
                </w:p>
              </w:tc>
              <w:tc>
                <w:tcPr>
                  <w:tcW w:w="0" w:type="auto"/>
                  <w:vMerge w:val="continue"/>
                  <w:vAlign w:val="center"/>
                </w:tcPr>
                <w:p w14:paraId="487FCE7F">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p>
              </w:tc>
              <w:tc>
                <w:tcPr>
                  <w:tcW w:w="0" w:type="auto"/>
                  <w:vAlign w:val="center"/>
                </w:tcPr>
                <w:p w14:paraId="4A11AACB">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15</w:t>
                  </w:r>
                </w:p>
              </w:tc>
              <w:tc>
                <w:tcPr>
                  <w:tcW w:w="0" w:type="auto"/>
                  <w:vAlign w:val="center"/>
                </w:tcPr>
                <w:p w14:paraId="336BF7E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39.0</w:t>
                  </w:r>
                </w:p>
              </w:tc>
              <w:tc>
                <w:tcPr>
                  <w:tcW w:w="0" w:type="auto"/>
                  <w:vAlign w:val="center"/>
                </w:tcPr>
                <w:p w14:paraId="295160F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37.0</w:t>
                  </w:r>
                </w:p>
              </w:tc>
              <w:tc>
                <w:tcPr>
                  <w:tcW w:w="0" w:type="auto"/>
                  <w:vAlign w:val="center"/>
                </w:tcPr>
                <w:p w14:paraId="7CA93AA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36.7</w:t>
                  </w:r>
                </w:p>
              </w:tc>
              <w:tc>
                <w:tcPr>
                  <w:tcW w:w="0" w:type="auto"/>
                  <w:vAlign w:val="center"/>
                </w:tcPr>
                <w:p w14:paraId="041C75B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43.4</w:t>
                  </w:r>
                </w:p>
              </w:tc>
              <w:tc>
                <w:tcPr>
                  <w:tcW w:w="0" w:type="auto"/>
                  <w:vAlign w:val="center"/>
                </w:tcPr>
                <w:p w14:paraId="7AE3F1F2">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w:t>
                  </w:r>
                </w:p>
              </w:tc>
            </w:tr>
            <w:tr w14:paraId="41B6DD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jc w:val="center"/>
              </w:trPr>
              <w:tc>
                <w:tcPr>
                  <w:tcW w:w="0" w:type="auto"/>
                  <w:vAlign w:val="center"/>
                </w:tcPr>
                <w:p w14:paraId="7FAAC5AE">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16</w:t>
                  </w:r>
                </w:p>
              </w:tc>
              <w:tc>
                <w:tcPr>
                  <w:tcW w:w="0" w:type="auto"/>
                  <w:vMerge w:val="continue"/>
                  <w:vAlign w:val="center"/>
                </w:tcPr>
                <w:p w14:paraId="0B8B261D">
                  <w:pPr>
                    <w:keepNext w:val="0"/>
                    <w:keepLines w:val="0"/>
                    <w:widowControl w:val="0"/>
                    <w:suppressLineNumbers w:val="0"/>
                    <w:spacing w:before="0" w:beforeAutospacing="0" w:after="0" w:afterAutospacing="0" w:line="276" w:lineRule="auto"/>
                    <w:ind w:left="0" w:right="0"/>
                    <w:jc w:val="center"/>
                    <w:rPr>
                      <w:rFonts w:hint="default" w:ascii="Times New Roman" w:hAnsi="Calibri" w:cs="Times New Roman"/>
                      <w:color w:val="auto"/>
                      <w:kern w:val="2"/>
                      <w:sz w:val="21"/>
                      <w:szCs w:val="21"/>
                    </w:rPr>
                  </w:pPr>
                </w:p>
              </w:tc>
              <w:tc>
                <w:tcPr>
                  <w:tcW w:w="1043" w:type="dxa"/>
                  <w:vAlign w:val="center"/>
                </w:tcPr>
                <w:p w14:paraId="38413B6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终测试台×4</w:t>
                  </w:r>
                </w:p>
              </w:tc>
              <w:tc>
                <w:tcPr>
                  <w:tcW w:w="790" w:type="dxa"/>
                  <w:tcBorders>
                    <w:top w:val="single" w:color="auto" w:sz="4" w:space="0"/>
                  </w:tcBorders>
                  <w:vAlign w:val="center"/>
                </w:tcPr>
                <w:p w14:paraId="45BF8345">
                  <w:pPr>
                    <w:keepNext w:val="0"/>
                    <w:keepLines w:val="0"/>
                    <w:widowControl w:val="0"/>
                    <w:suppressLineNumbers w:val="0"/>
                    <w:spacing w:before="100" w:beforeAutospacing="1" w:after="100" w:afterAutospacing="1" w:line="271"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81</w:t>
                  </w:r>
                </w:p>
              </w:tc>
              <w:tc>
                <w:tcPr>
                  <w:tcW w:w="636" w:type="dxa"/>
                  <w:vMerge w:val="continue"/>
                  <w:tcBorders>
                    <w:top w:val="single" w:color="auto" w:sz="4" w:space="0"/>
                  </w:tcBorders>
                  <w:vAlign w:val="center"/>
                </w:tcPr>
                <w:p w14:paraId="4C6018F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p>
              </w:tc>
              <w:tc>
                <w:tcPr>
                  <w:tcW w:w="0" w:type="auto"/>
                  <w:tcBorders>
                    <w:top w:val="single" w:color="auto" w:sz="4" w:space="0"/>
                  </w:tcBorders>
                  <w:vAlign w:val="center"/>
                </w:tcPr>
                <w:p w14:paraId="5F80110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-26</w:t>
                  </w:r>
                </w:p>
              </w:tc>
              <w:tc>
                <w:tcPr>
                  <w:tcW w:w="0" w:type="auto"/>
                  <w:tcBorders>
                    <w:top w:val="single" w:color="auto" w:sz="4" w:space="0"/>
                  </w:tcBorders>
                  <w:vAlign w:val="center"/>
                </w:tcPr>
                <w:p w14:paraId="0D2C8F2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25</w:t>
                  </w:r>
                </w:p>
              </w:tc>
              <w:tc>
                <w:tcPr>
                  <w:tcW w:w="0" w:type="auto"/>
                  <w:tcBorders>
                    <w:top w:val="single" w:color="auto" w:sz="4" w:space="0"/>
                  </w:tcBorders>
                  <w:vAlign w:val="center"/>
                </w:tcPr>
                <w:p w14:paraId="6F8061A6">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1.2</w:t>
                  </w:r>
                </w:p>
              </w:tc>
              <w:tc>
                <w:tcPr>
                  <w:tcW w:w="0" w:type="auto"/>
                  <w:vAlign w:val="center"/>
                </w:tcPr>
                <w:p w14:paraId="75FEE898">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63</w:t>
                  </w:r>
                </w:p>
              </w:tc>
              <w:tc>
                <w:tcPr>
                  <w:tcW w:w="0" w:type="auto"/>
                  <w:vAlign w:val="center"/>
                </w:tcPr>
                <w:p w14:paraId="58466A19">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84</w:t>
                  </w:r>
                </w:p>
              </w:tc>
              <w:tc>
                <w:tcPr>
                  <w:tcW w:w="0" w:type="auto"/>
                  <w:vAlign w:val="center"/>
                </w:tcPr>
                <w:p w14:paraId="18DF68DD">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82</w:t>
                  </w:r>
                </w:p>
              </w:tc>
              <w:tc>
                <w:tcPr>
                  <w:tcW w:w="0" w:type="auto"/>
                  <w:vAlign w:val="center"/>
                </w:tcPr>
                <w:p w14:paraId="2BB25CB6">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33</w:t>
                  </w:r>
                </w:p>
              </w:tc>
              <w:tc>
                <w:tcPr>
                  <w:tcW w:w="0" w:type="auto"/>
                  <w:vAlign w:val="center"/>
                </w:tcPr>
                <w:p w14:paraId="3113219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54.0</w:t>
                  </w:r>
                </w:p>
              </w:tc>
              <w:tc>
                <w:tcPr>
                  <w:tcW w:w="0" w:type="auto"/>
                  <w:vAlign w:val="center"/>
                </w:tcPr>
                <w:p w14:paraId="6C16E68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51.5</w:t>
                  </w:r>
                </w:p>
              </w:tc>
              <w:tc>
                <w:tcPr>
                  <w:tcW w:w="0" w:type="auto"/>
                  <w:vAlign w:val="center"/>
                </w:tcPr>
                <w:p w14:paraId="4C7FBE4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51.7</w:t>
                  </w:r>
                </w:p>
              </w:tc>
              <w:tc>
                <w:tcPr>
                  <w:tcW w:w="0" w:type="auto"/>
                  <w:vAlign w:val="center"/>
                </w:tcPr>
                <w:p w14:paraId="595F550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59.6</w:t>
                  </w:r>
                </w:p>
              </w:tc>
              <w:tc>
                <w:tcPr>
                  <w:tcW w:w="0" w:type="auto"/>
                  <w:vMerge w:val="continue"/>
                  <w:vAlign w:val="center"/>
                </w:tcPr>
                <w:p w14:paraId="7D1AD493">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p>
              </w:tc>
              <w:tc>
                <w:tcPr>
                  <w:tcW w:w="0" w:type="auto"/>
                  <w:vAlign w:val="center"/>
                </w:tcPr>
                <w:p w14:paraId="54C5BE75">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15</w:t>
                  </w:r>
                </w:p>
              </w:tc>
              <w:tc>
                <w:tcPr>
                  <w:tcW w:w="0" w:type="auto"/>
                  <w:vAlign w:val="center"/>
                </w:tcPr>
                <w:p w14:paraId="16C4780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39.0</w:t>
                  </w:r>
                </w:p>
              </w:tc>
              <w:tc>
                <w:tcPr>
                  <w:tcW w:w="0" w:type="auto"/>
                  <w:vAlign w:val="center"/>
                </w:tcPr>
                <w:p w14:paraId="44297EC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36.5</w:t>
                  </w:r>
                </w:p>
              </w:tc>
              <w:tc>
                <w:tcPr>
                  <w:tcW w:w="0" w:type="auto"/>
                  <w:vAlign w:val="center"/>
                </w:tcPr>
                <w:p w14:paraId="54DD4F0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36.7</w:t>
                  </w:r>
                </w:p>
              </w:tc>
              <w:tc>
                <w:tcPr>
                  <w:tcW w:w="0" w:type="auto"/>
                  <w:vAlign w:val="center"/>
                </w:tcPr>
                <w:p w14:paraId="27414CFE">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44.6</w:t>
                  </w:r>
                </w:p>
              </w:tc>
              <w:tc>
                <w:tcPr>
                  <w:tcW w:w="0" w:type="auto"/>
                  <w:vAlign w:val="center"/>
                </w:tcPr>
                <w:p w14:paraId="4E1253AA">
                  <w:pPr>
                    <w:keepNext w:val="0"/>
                    <w:keepLines w:val="0"/>
                    <w:widowControl w:val="0"/>
                    <w:suppressLineNumbers w:val="0"/>
                    <w:spacing w:before="0" w:beforeAutospacing="0" w:after="0" w:afterAutospacing="0"/>
                    <w:ind w:left="0" w:right="0"/>
                    <w:jc w:val="center"/>
                    <w:rPr>
                      <w:rFonts w:hint="default" w:ascii="Times New Roman" w:hAnsi="Calibri" w:cs="Times New Roman"/>
                      <w:color w:val="auto"/>
                      <w:kern w:val="2"/>
                      <w:sz w:val="21"/>
                      <w:szCs w:val="21"/>
                    </w:rPr>
                  </w:pPr>
                  <w:r>
                    <w:rPr>
                      <w:rFonts w:hint="eastAsia" w:ascii="Times New Roman" w:hAnsi="Calibri" w:cs="Times New Roman"/>
                      <w:color w:val="auto"/>
                      <w:kern w:val="2"/>
                      <w:sz w:val="21"/>
                      <w:szCs w:val="21"/>
                    </w:rPr>
                    <w:t>1</w:t>
                  </w:r>
                </w:p>
              </w:tc>
            </w:tr>
          </w:tbl>
          <w:p w14:paraId="3F05E6FD">
            <w:pPr>
              <w:keepNext w:val="0"/>
              <w:keepLines w:val="0"/>
              <w:widowControl w:val="0"/>
              <w:suppressLineNumbers w:val="0"/>
              <w:spacing w:before="0" w:beforeAutospacing="0" w:after="0" w:afterAutospacing="0" w:line="360" w:lineRule="auto"/>
              <w:ind w:left="0" w:right="0"/>
              <w:jc w:val="both"/>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注：以厂界中心点为坐标原点，正东为X轴正方向，正北为Y轴正方向。</w:t>
            </w:r>
          </w:p>
        </w:tc>
      </w:tr>
    </w:tbl>
    <w:p w14:paraId="4016E71B">
      <w:pPr>
        <w:spacing w:before="100" w:beforeAutospacing="1" w:after="100" w:afterAutospacing="1"/>
        <w:jc w:val="center"/>
        <w:rPr>
          <w:rFonts w:ascii="Times New Roman" w:hAnsi="Times New Roman" w:eastAsia="黑体" w:cs="Times New Roman"/>
          <w:snapToGrid w:val="0"/>
          <w:color w:val="auto"/>
          <w:sz w:val="30"/>
          <w:szCs w:val="30"/>
        </w:rPr>
        <w:sectPr>
          <w:pgSz w:w="16838" w:h="11906" w:orient="landscape"/>
          <w:pgMar w:top="1800" w:right="1440" w:bottom="1800" w:left="1440" w:header="851" w:footer="992" w:gutter="0"/>
          <w:cols w:space="720" w:num="1"/>
          <w:docGrid w:type="lines" w:linePitch="326" w:charSpace="0"/>
        </w:sectPr>
      </w:pPr>
    </w:p>
    <w:tbl>
      <w:tblPr>
        <w:tblStyle w:val="23"/>
        <w:tblW w:w="4910" w:type="pct"/>
        <w:jc w:val="center"/>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6"/>
        <w:gridCol w:w="7794"/>
      </w:tblGrid>
      <w:tr w14:paraId="224190DC">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89" w:hRule="atLeast"/>
          <w:jc w:val="center"/>
        </w:trPr>
        <w:tc>
          <w:tcPr>
            <w:tcW w:w="299" w:type="pct"/>
            <w:tcMar>
              <w:left w:w="28" w:type="dxa"/>
              <w:right w:w="28" w:type="dxa"/>
            </w:tcMar>
            <w:vAlign w:val="center"/>
          </w:tcPr>
          <w:p w14:paraId="1618C4B9">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运营</w:t>
            </w:r>
          </w:p>
          <w:p w14:paraId="44EAA51F">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期环</w:t>
            </w:r>
          </w:p>
          <w:p w14:paraId="1B13A7FD">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境影</w:t>
            </w:r>
          </w:p>
          <w:p w14:paraId="42629DC2">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响和</w:t>
            </w:r>
          </w:p>
          <w:p w14:paraId="5C7697EF">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保护</w:t>
            </w:r>
          </w:p>
          <w:p w14:paraId="220C11D3">
            <w:pPr>
              <w:keepNext w:val="0"/>
              <w:keepLines w:val="0"/>
              <w:widowControl/>
              <w:suppressLineNumbers w:val="0"/>
              <w:spacing w:before="0" w:beforeAutospacing="0" w:after="0" w:afterAutospacing="0"/>
              <w:ind w:left="0" w:right="0"/>
              <w:jc w:val="center"/>
              <w:rPr>
                <w:rFonts w:hint="default" w:ascii="Times New Roman" w:hAnsi="Times New Roman"/>
                <w:bCs/>
                <w:color w:val="auto"/>
                <w:kern w:val="2"/>
              </w:rPr>
            </w:pPr>
            <w:r>
              <w:rPr>
                <w:rFonts w:hint="eastAsia" w:ascii="Times New Roman" w:hAnsi="Times New Roman"/>
                <w:bCs/>
                <w:color w:val="auto"/>
                <w:kern w:val="2"/>
              </w:rPr>
              <w:t>措施</w:t>
            </w:r>
          </w:p>
        </w:tc>
        <w:tc>
          <w:tcPr>
            <w:tcW w:w="4701" w:type="pct"/>
          </w:tcPr>
          <w:p w14:paraId="721813F9">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Cs w:val="22"/>
              </w:rPr>
            </w:pPr>
            <w:r>
              <w:rPr>
                <w:rFonts w:hint="eastAsia" w:ascii="Times New Roman" w:hAnsi="Times New Roman" w:cs="Times New Roman"/>
                <w:color w:val="auto"/>
                <w:kern w:val="2"/>
                <w:szCs w:val="22"/>
              </w:rPr>
              <w:t>（2）噪声预测</w:t>
            </w:r>
          </w:p>
          <w:p w14:paraId="6D3E291C">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18"/>
                <w:szCs w:val="28"/>
              </w:rPr>
            </w:pPr>
            <w:r>
              <w:rPr>
                <w:rFonts w:hint="default" w:ascii="Times New Roman" w:hAnsi="Times New Roman" w:cs="Times New Roman"/>
                <w:color w:val="auto"/>
                <w:kern w:val="18"/>
                <w:szCs w:val="28"/>
              </w:rPr>
              <w:t>预测计算选用《环境影响评价技术导则声环境》（HJ2.4-2021）中推荐的工业噪声预测计算模式，模式如下：</w:t>
            </w:r>
          </w:p>
          <w:p w14:paraId="438EFE2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18"/>
                <w:szCs w:val="28"/>
              </w:rPr>
            </w:pPr>
            <w:r>
              <w:rPr>
                <w:rFonts w:hint="eastAsia" w:ascii="Times New Roman" w:hAnsi="Times New Roman" w:cs="Times New Roman"/>
                <w:color w:val="auto"/>
                <w:kern w:val="18"/>
                <w:szCs w:val="28"/>
              </w:rPr>
              <w:t>1）</w:t>
            </w:r>
            <w:r>
              <w:rPr>
                <w:rFonts w:hint="default" w:ascii="Times New Roman" w:hAnsi="Times New Roman" w:cs="Times New Roman"/>
                <w:color w:val="auto"/>
                <w:kern w:val="18"/>
                <w:szCs w:val="28"/>
              </w:rPr>
              <w:t>室内声源等效室外声源声功率级计算方法</w:t>
            </w:r>
          </w:p>
          <w:p w14:paraId="3F16726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18"/>
                <w:szCs w:val="28"/>
              </w:rPr>
            </w:pPr>
            <w:r>
              <w:rPr>
                <w:rFonts w:hint="default" w:ascii="Times New Roman" w:hAnsi="Times New Roman" w:cs="Times New Roman"/>
                <w:color w:val="auto"/>
                <w:kern w:val="18"/>
                <w:szCs w:val="28"/>
              </w:rPr>
              <w:t>如图所示，声源位于室内，室内声源可采用等效室外声源声功率级法进行计算。设靠近开口处（或窗户）室内、室外某倍频带的声压级分别为L</w:t>
            </w:r>
            <w:r>
              <w:rPr>
                <w:rFonts w:hint="default" w:ascii="Times New Roman" w:hAnsi="Times New Roman" w:cs="Times New Roman"/>
                <w:color w:val="auto"/>
                <w:kern w:val="18"/>
                <w:szCs w:val="28"/>
                <w:vertAlign w:val="subscript"/>
              </w:rPr>
              <w:t>p1</w:t>
            </w:r>
            <w:r>
              <w:rPr>
                <w:rFonts w:hint="default" w:ascii="Times New Roman" w:hAnsi="Times New Roman" w:cs="Times New Roman"/>
                <w:color w:val="auto"/>
                <w:kern w:val="18"/>
                <w:szCs w:val="28"/>
              </w:rPr>
              <w:t>和L</w:t>
            </w:r>
            <w:r>
              <w:rPr>
                <w:rFonts w:hint="default" w:ascii="Times New Roman" w:hAnsi="Times New Roman" w:cs="Times New Roman"/>
                <w:color w:val="auto"/>
                <w:kern w:val="18"/>
                <w:szCs w:val="28"/>
                <w:vertAlign w:val="subscript"/>
              </w:rPr>
              <w:t>p2</w:t>
            </w:r>
            <w:r>
              <w:rPr>
                <w:rFonts w:hint="default" w:ascii="Times New Roman" w:hAnsi="Times New Roman" w:cs="Times New Roman"/>
                <w:color w:val="auto"/>
                <w:kern w:val="18"/>
                <w:szCs w:val="28"/>
              </w:rPr>
              <w:t>。若声源所在室内声场为近似扩散声场，则可按式1计算某一室内声源靠近围护结构处产生的倍频带声压级：</w:t>
            </w:r>
          </w:p>
          <w:p w14:paraId="68D8B842">
            <w:pPr>
              <w:keepNext w:val="0"/>
              <w:keepLines w:val="0"/>
              <w:widowControl w:val="0"/>
              <w:suppressLineNumbers w:val="0"/>
              <w:autoSpaceDE w:val="0"/>
              <w:autoSpaceDN w:val="0"/>
              <w:adjustRightInd w:val="0"/>
              <w:spacing w:before="0" w:beforeAutospacing="0" w:after="0" w:afterAutospacing="0" w:line="360" w:lineRule="auto"/>
              <w:ind w:left="0" w:right="0" w:firstLine="2"/>
              <w:jc w:val="center"/>
              <w:rPr>
                <w:rFonts w:hint="default" w:ascii="Times New Roman" w:hAnsi="Times New Roman" w:cs="Times New Roman"/>
                <w:color w:val="auto"/>
                <w:spacing w:val="-2"/>
                <w:kern w:val="2"/>
                <w:sz w:val="20"/>
                <w:szCs w:val="20"/>
              </w:rPr>
            </w:pPr>
            <w:r>
              <w:rPr>
                <w:rFonts w:hint="default" w:ascii="Times New Roman" w:hAnsi="Times New Roman" w:cs="Times New Roman"/>
                <w:color w:val="auto"/>
                <w:spacing w:val="-2"/>
                <w:kern w:val="2"/>
                <w:sz w:val="20"/>
                <w:szCs w:val="20"/>
              </w:rPr>
              <w:drawing>
                <wp:inline distT="0" distB="0" distL="0" distR="0">
                  <wp:extent cx="2933700" cy="1381125"/>
                  <wp:effectExtent l="19050" t="0" r="0" b="0"/>
                  <wp:docPr id="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pic:cNvPicPr>
                            <a:picLocks noChangeAspect="1" noChangeArrowheads="1"/>
                          </pic:cNvPicPr>
                        </pic:nvPicPr>
                        <pic:blipFill>
                          <a:blip r:embed="rId14" cstate="print"/>
                          <a:srcRect t="7907" b="6047"/>
                          <a:stretch>
                            <a:fillRect/>
                          </a:stretch>
                        </pic:blipFill>
                        <pic:spPr>
                          <a:xfrm>
                            <a:off x="0" y="0"/>
                            <a:ext cx="2933700" cy="1381125"/>
                          </a:xfrm>
                          <a:prstGeom prst="rect">
                            <a:avLst/>
                          </a:prstGeom>
                          <a:noFill/>
                          <a:ln w="9525" cmpd="sng">
                            <a:noFill/>
                            <a:miter lim="800000"/>
                            <a:headEnd/>
                            <a:tailEnd/>
                          </a:ln>
                        </pic:spPr>
                      </pic:pic>
                    </a:graphicData>
                  </a:graphic>
                </wp:inline>
              </w:drawing>
            </w:r>
          </w:p>
          <w:p w14:paraId="0B994D1D">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黑体" w:cs="Times New Roman"/>
                <w:color w:val="auto"/>
                <w:spacing w:val="-2"/>
                <w:kern w:val="2"/>
              </w:rPr>
            </w:pPr>
            <w:r>
              <w:rPr>
                <w:rFonts w:hint="default" w:ascii="Times New Roman" w:hAnsi="Times New Roman" w:eastAsia="黑体" w:cs="Times New Roman"/>
                <w:color w:val="auto"/>
                <w:spacing w:val="-2"/>
                <w:kern w:val="2"/>
              </w:rPr>
              <w:t>图</w:t>
            </w:r>
            <w:r>
              <w:rPr>
                <w:rFonts w:hint="eastAsia" w:ascii="Times New Roman" w:hAnsi="Times New Roman" w:eastAsia="黑体" w:cs="Times New Roman"/>
                <w:color w:val="auto"/>
                <w:spacing w:val="-2"/>
                <w:kern w:val="2"/>
              </w:rPr>
              <w:t xml:space="preserve">4-2  </w:t>
            </w:r>
            <w:r>
              <w:rPr>
                <w:rFonts w:hint="default" w:ascii="Times New Roman" w:hAnsi="Times New Roman" w:eastAsia="黑体" w:cs="Times New Roman"/>
                <w:color w:val="auto"/>
                <w:spacing w:val="-2"/>
                <w:kern w:val="2"/>
              </w:rPr>
              <w:t>室内声源等效为室外声源图例</w:t>
            </w:r>
          </w:p>
          <w:p w14:paraId="0482AAE1">
            <w:pPr>
              <w:keepNext w:val="0"/>
              <w:keepLines w:val="0"/>
              <w:widowControl w:val="0"/>
              <w:suppressLineNumbers w:val="0"/>
              <w:autoSpaceDE w:val="0"/>
              <w:autoSpaceDN w:val="0"/>
              <w:adjustRightInd w:val="0"/>
              <w:spacing w:before="0" w:beforeAutospacing="0" w:after="0" w:afterAutospacing="0" w:line="360" w:lineRule="auto"/>
              <w:ind w:left="1440" w:right="0"/>
              <w:jc w:val="center"/>
              <w:rPr>
                <w:rFonts w:hint="default" w:ascii="Times New Roman" w:hAnsi="Times New Roman" w:cs="Times New Roman"/>
                <w:color w:val="auto"/>
                <w:spacing w:val="-2"/>
                <w:kern w:val="2"/>
                <w:sz w:val="20"/>
                <w:szCs w:val="20"/>
              </w:rPr>
            </w:pPr>
            <w:r>
              <w:rPr>
                <w:rFonts w:hint="default" w:ascii="Times New Roman" w:hAnsi="Times New Roman" w:cs="Times New Roman"/>
                <w:i/>
                <w:iCs/>
                <w:color w:val="auto"/>
                <w:spacing w:val="-2"/>
                <w:kern w:val="2"/>
                <w:sz w:val="20"/>
                <w:szCs w:val="20"/>
              </w:rPr>
              <w:t>L</w:t>
            </w:r>
            <w:r>
              <w:rPr>
                <w:rFonts w:hint="default" w:ascii="Times New Roman" w:hAnsi="Times New Roman" w:cs="Times New Roman"/>
                <w:i/>
                <w:iCs/>
                <w:color w:val="auto"/>
                <w:spacing w:val="-2"/>
                <w:kern w:val="2"/>
                <w:sz w:val="20"/>
                <w:szCs w:val="20"/>
                <w:vertAlign w:val="subscript"/>
              </w:rPr>
              <w:t>P</w:t>
            </w:r>
            <w:r>
              <w:rPr>
                <w:rFonts w:hint="default" w:ascii="Times New Roman" w:hAnsi="Times New Roman" w:cs="Times New Roman"/>
                <w:color w:val="auto"/>
                <w:spacing w:val="-2"/>
                <w:kern w:val="2"/>
                <w:sz w:val="20"/>
                <w:szCs w:val="20"/>
                <w:vertAlign w:val="subscript"/>
              </w:rPr>
              <w:t>1</w:t>
            </w:r>
            <w:r>
              <w:rPr>
                <w:rFonts w:hint="default" w:ascii="Times New Roman" w:hAnsi="Times New Roman" w:cs="Times New Roman"/>
                <w:color w:val="auto"/>
                <w:spacing w:val="-2"/>
                <w:kern w:val="2"/>
                <w:sz w:val="20"/>
                <w:szCs w:val="20"/>
                <w:vertAlign w:val="superscript"/>
              </w:rPr>
              <w:t>=</w:t>
            </w:r>
            <w:r>
              <w:rPr>
                <w:rFonts w:hint="default" w:ascii="Times New Roman" w:hAnsi="Times New Roman" w:cs="Times New Roman"/>
                <w:i/>
                <w:iCs/>
                <w:color w:val="auto"/>
                <w:spacing w:val="-2"/>
                <w:kern w:val="2"/>
                <w:sz w:val="20"/>
                <w:szCs w:val="20"/>
              </w:rPr>
              <w:t>Lw+10lg</w:t>
            </w:r>
            <w:r>
              <w:rPr>
                <w:rFonts w:hint="default" w:ascii="Times New Roman" w:hAnsi="Times New Roman" w:cs="Times New Roman"/>
                <w:iCs/>
                <w:color w:val="auto"/>
                <w:spacing w:val="-2"/>
                <w:kern w:val="2"/>
                <w:sz w:val="20"/>
                <w:szCs w:val="20"/>
              </w:rPr>
              <w:t>（</w:t>
            </w:r>
            <w:r>
              <w:rPr>
                <w:rFonts w:hint="default" w:ascii="Times New Roman" w:hAnsi="Times New Roman" w:cs="Times New Roman"/>
                <w:color w:val="auto"/>
                <w:spacing w:val="-2"/>
                <w:kern w:val="2"/>
                <w:position w:val="-14"/>
                <w:sz w:val="20"/>
                <w:szCs w:val="20"/>
              </w:rPr>
              <w:drawing>
                <wp:inline distT="0" distB="0" distL="0" distR="0">
                  <wp:extent cx="657225" cy="352425"/>
                  <wp:effectExtent l="0" t="0" r="0" b="0"/>
                  <wp:docPr id="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
                          <pic:cNvPicPr>
                            <a:picLocks noChangeAspect="1" noChangeArrowheads="1"/>
                          </pic:cNvPicPr>
                        </pic:nvPicPr>
                        <pic:blipFill>
                          <a:blip r:embed="rId15" cstate="print"/>
                          <a:srcRect/>
                          <a:stretch>
                            <a:fillRect/>
                          </a:stretch>
                        </pic:blipFill>
                        <pic:spPr>
                          <a:xfrm>
                            <a:off x="0" y="0"/>
                            <a:ext cx="657225" cy="352425"/>
                          </a:xfrm>
                          <a:prstGeom prst="rect">
                            <a:avLst/>
                          </a:prstGeom>
                          <a:noFill/>
                          <a:ln w="9525" cmpd="sng">
                            <a:noFill/>
                            <a:miter lim="800000"/>
                            <a:headEnd/>
                            <a:tailEnd/>
                          </a:ln>
                        </pic:spPr>
                      </pic:pic>
                    </a:graphicData>
                  </a:graphic>
                </wp:inline>
              </w:drawing>
            </w:r>
            <w:r>
              <w:rPr>
                <w:rFonts w:hint="default" w:ascii="Times New Roman" w:hAnsi="Times New Roman" w:cs="Times New Roman"/>
                <w:iCs/>
                <w:color w:val="auto"/>
                <w:spacing w:val="-2"/>
                <w:kern w:val="2"/>
                <w:sz w:val="20"/>
                <w:szCs w:val="20"/>
              </w:rPr>
              <w:t>）</w:t>
            </w:r>
            <w:r>
              <w:rPr>
                <w:rFonts w:hint="default" w:ascii="Times New Roman" w:hAnsi="Times New Roman" w:cs="Times New Roman"/>
                <w:color w:val="auto"/>
                <w:spacing w:val="-2"/>
                <w:kern w:val="2"/>
                <w:sz w:val="20"/>
                <w:szCs w:val="20"/>
              </w:rPr>
              <w:t>（式1）</w:t>
            </w:r>
          </w:p>
          <w:p w14:paraId="08D2BA57">
            <w:pPr>
              <w:keepNext w:val="0"/>
              <w:keepLines w:val="0"/>
              <w:widowControl w:val="0"/>
              <w:suppressLineNumbers w:val="0"/>
              <w:autoSpaceDE w:val="0"/>
              <w:autoSpaceDN w:val="0"/>
              <w:adjustRightInd w:val="0"/>
              <w:spacing w:before="0" w:beforeAutospacing="0" w:after="0" w:afterAutospacing="0" w:line="360" w:lineRule="auto"/>
              <w:ind w:left="0" w:right="0" w:firstLine="472" w:firstLineChars="200"/>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式中：</w:t>
            </w:r>
            <w:r>
              <w:rPr>
                <w:rFonts w:hint="default" w:ascii="Times New Roman" w:hAnsi="Times New Roman" w:cs="Times New Roman"/>
                <w:i/>
                <w:iCs/>
                <w:color w:val="auto"/>
                <w:spacing w:val="-2"/>
                <w:kern w:val="2"/>
                <w:szCs w:val="20"/>
              </w:rPr>
              <w:t>Q</w:t>
            </w:r>
            <w:r>
              <w:rPr>
                <w:rFonts w:hint="default" w:ascii="Times New Roman" w:hAnsi="Times New Roman" w:cs="Times New Roman"/>
                <w:color w:val="auto"/>
                <w:spacing w:val="-2"/>
                <w:kern w:val="2"/>
                <w:szCs w:val="20"/>
              </w:rPr>
              <w:t>—指向性因数；通常对无指向性声源：</w:t>
            </w:r>
          </w:p>
          <w:p w14:paraId="0D5E565D">
            <w:pPr>
              <w:keepNext w:val="0"/>
              <w:keepLines w:val="0"/>
              <w:widowControl w:val="0"/>
              <w:suppressLineNumbers w:val="0"/>
              <w:autoSpaceDE w:val="0"/>
              <w:autoSpaceDN w:val="0"/>
              <w:adjustRightInd w:val="0"/>
              <w:spacing w:before="0" w:beforeAutospacing="0" w:after="0" w:afterAutospacing="0" w:line="360" w:lineRule="auto"/>
              <w:ind w:left="0" w:right="0" w:firstLine="1180" w:firstLineChars="500"/>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当声源放在房间中心时，</w:t>
            </w:r>
            <w:r>
              <w:rPr>
                <w:rFonts w:hint="default" w:ascii="Times New Roman" w:hAnsi="Times New Roman" w:cs="Times New Roman"/>
                <w:i/>
                <w:iCs/>
                <w:color w:val="auto"/>
                <w:spacing w:val="-2"/>
                <w:kern w:val="2"/>
                <w:szCs w:val="20"/>
              </w:rPr>
              <w:t>Q</w:t>
            </w:r>
            <w:r>
              <w:rPr>
                <w:rFonts w:hint="default" w:ascii="Times New Roman" w:hAnsi="Times New Roman" w:cs="Times New Roman"/>
                <w:color w:val="auto"/>
                <w:spacing w:val="-2"/>
                <w:kern w:val="2"/>
                <w:szCs w:val="20"/>
              </w:rPr>
              <w:t>=1；</w:t>
            </w:r>
          </w:p>
          <w:p w14:paraId="21EEFD6C">
            <w:pPr>
              <w:keepNext w:val="0"/>
              <w:keepLines w:val="0"/>
              <w:widowControl w:val="0"/>
              <w:suppressLineNumbers w:val="0"/>
              <w:autoSpaceDE w:val="0"/>
              <w:autoSpaceDN w:val="0"/>
              <w:adjustRightInd w:val="0"/>
              <w:spacing w:before="0" w:beforeAutospacing="0" w:after="0" w:afterAutospacing="0" w:line="360" w:lineRule="auto"/>
              <w:ind w:left="0" w:right="0" w:firstLine="1180" w:firstLineChars="500"/>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当放在一面墙的中心时，</w:t>
            </w:r>
            <w:r>
              <w:rPr>
                <w:rFonts w:hint="default" w:ascii="Times New Roman" w:hAnsi="Times New Roman" w:cs="Times New Roman"/>
                <w:i/>
                <w:iCs/>
                <w:color w:val="auto"/>
                <w:spacing w:val="-2"/>
                <w:kern w:val="2"/>
                <w:szCs w:val="20"/>
              </w:rPr>
              <w:t>Q</w:t>
            </w:r>
            <w:r>
              <w:rPr>
                <w:rFonts w:hint="default" w:ascii="Times New Roman" w:hAnsi="Times New Roman" w:cs="Times New Roman"/>
                <w:color w:val="auto"/>
                <w:spacing w:val="-2"/>
                <w:kern w:val="2"/>
                <w:szCs w:val="20"/>
              </w:rPr>
              <w:t>=2；</w:t>
            </w:r>
          </w:p>
          <w:p w14:paraId="42F03E29">
            <w:pPr>
              <w:keepNext w:val="0"/>
              <w:keepLines w:val="0"/>
              <w:widowControl w:val="0"/>
              <w:suppressLineNumbers w:val="0"/>
              <w:autoSpaceDE w:val="0"/>
              <w:autoSpaceDN w:val="0"/>
              <w:adjustRightInd w:val="0"/>
              <w:spacing w:before="0" w:beforeAutospacing="0" w:after="0" w:afterAutospacing="0" w:line="360" w:lineRule="auto"/>
              <w:ind w:left="0" w:right="0" w:firstLine="1180" w:firstLineChars="500"/>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当放在两面墙夹角处时，Q=4；</w:t>
            </w:r>
          </w:p>
          <w:p w14:paraId="1BA319F5">
            <w:pPr>
              <w:keepNext w:val="0"/>
              <w:keepLines w:val="0"/>
              <w:widowControl w:val="0"/>
              <w:suppressLineNumbers w:val="0"/>
              <w:autoSpaceDE w:val="0"/>
              <w:autoSpaceDN w:val="0"/>
              <w:adjustRightInd w:val="0"/>
              <w:spacing w:before="0" w:beforeAutospacing="0" w:after="0" w:afterAutospacing="0" w:line="360" w:lineRule="auto"/>
              <w:ind w:left="0" w:right="0" w:firstLine="1180" w:firstLineChars="500"/>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当放在三面墙夹角处时，Q=8。</w:t>
            </w:r>
          </w:p>
          <w:p w14:paraId="53B43132">
            <w:pPr>
              <w:keepNext w:val="0"/>
              <w:keepLines w:val="0"/>
              <w:widowControl w:val="0"/>
              <w:suppressLineNumbers w:val="0"/>
              <w:autoSpaceDE w:val="0"/>
              <w:autoSpaceDN w:val="0"/>
              <w:adjustRightInd w:val="0"/>
              <w:spacing w:before="0" w:beforeAutospacing="0" w:after="0" w:afterAutospacing="0" w:line="360" w:lineRule="auto"/>
              <w:ind w:left="0" w:right="0" w:firstLine="1180" w:firstLineChars="500"/>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R—房间常数；</w:t>
            </w:r>
          </w:p>
          <w:p w14:paraId="59B0CD95">
            <w:pPr>
              <w:keepNext w:val="0"/>
              <w:keepLines w:val="0"/>
              <w:widowControl w:val="0"/>
              <w:suppressLineNumbers w:val="0"/>
              <w:autoSpaceDE w:val="0"/>
              <w:autoSpaceDN w:val="0"/>
              <w:adjustRightInd w:val="0"/>
              <w:spacing w:before="0" w:beforeAutospacing="0" w:after="0" w:afterAutospacing="0" w:line="360" w:lineRule="auto"/>
              <w:ind w:left="0" w:right="0" w:firstLine="472" w:firstLineChars="200"/>
              <w:jc w:val="center"/>
              <w:rPr>
                <w:rFonts w:hint="eastAsia" w:ascii="Times New Roman" w:hAnsi="Times New Roman" w:eastAsia="宋体" w:cs="Times New Roman"/>
                <w:color w:val="auto"/>
                <w:spacing w:val="-2"/>
                <w:kern w:val="2"/>
                <w:szCs w:val="20"/>
                <w:lang w:eastAsia="zh-CN"/>
              </w:rPr>
            </w:pPr>
            <w:r>
              <w:rPr>
                <w:rFonts w:hint="default" w:ascii="Times New Roman" w:hAnsi="Times New Roman" w:cs="Times New Roman"/>
                <w:i/>
                <w:iCs/>
                <w:color w:val="auto"/>
                <w:spacing w:val="-2"/>
                <w:kern w:val="2"/>
                <w:szCs w:val="20"/>
              </w:rPr>
              <w:t>R</w:t>
            </w:r>
            <w:r>
              <w:rPr>
                <w:rFonts w:hint="default" w:ascii="Times New Roman" w:hAnsi="Times New Roman" w:cs="Times New Roman"/>
                <w:color w:val="auto"/>
                <w:spacing w:val="-2"/>
                <w:kern w:val="2"/>
                <w:szCs w:val="20"/>
              </w:rPr>
              <w:t>=</w:t>
            </w:r>
            <w:r>
              <w:rPr>
                <w:rFonts w:hint="default" w:ascii="Times New Roman" w:hAnsi="Times New Roman" w:cs="Times New Roman"/>
                <w:i/>
                <w:iCs/>
                <w:color w:val="auto"/>
                <w:spacing w:val="-2"/>
                <w:kern w:val="2"/>
                <w:szCs w:val="20"/>
              </w:rPr>
              <w:t>S</w:t>
            </w:r>
            <w:r>
              <w:rPr>
                <w:rFonts w:hint="default" w:ascii="Times New Roman" w:hAnsi="Times New Roman" w:cs="Times New Roman"/>
                <w:color w:val="auto"/>
                <w:spacing w:val="-2"/>
                <w:kern w:val="2"/>
                <w:szCs w:val="20"/>
              </w:rPr>
              <w:t>α/</w:t>
            </w:r>
            <w:r>
              <w:rPr>
                <w:rFonts w:hint="eastAsia" w:ascii="Times New Roman" w:hAnsi="Times New Roman" w:eastAsia="宋体" w:cs="Times New Roman"/>
                <w:color w:val="auto"/>
                <w:spacing w:val="-2"/>
                <w:kern w:val="2"/>
                <w:szCs w:val="20"/>
                <w:lang w:eastAsia="zh-CN"/>
              </w:rPr>
              <w:t>（</w:t>
            </w:r>
            <w:r>
              <w:rPr>
                <w:rFonts w:hint="default" w:ascii="Times New Roman" w:hAnsi="Times New Roman" w:cs="Times New Roman"/>
                <w:color w:val="auto"/>
                <w:spacing w:val="-2"/>
                <w:kern w:val="2"/>
                <w:szCs w:val="20"/>
              </w:rPr>
              <w:t>1</w:t>
            </w:r>
            <w:r>
              <w:rPr>
                <w:rFonts w:hint="default" w:ascii="Times New Roman" w:hAnsi="Times New Roman" w:eastAsia="MS Mincho" w:cs="Times New Roman"/>
                <w:color w:val="auto"/>
                <w:spacing w:val="-2"/>
                <w:kern w:val="2"/>
                <w:szCs w:val="20"/>
              </w:rPr>
              <w:t>−</w:t>
            </w:r>
            <w:r>
              <w:rPr>
                <w:rFonts w:hint="default" w:ascii="Times New Roman" w:hAnsi="Times New Roman" w:cs="Times New Roman"/>
                <w:color w:val="auto"/>
                <w:spacing w:val="-2"/>
                <w:kern w:val="2"/>
                <w:szCs w:val="20"/>
              </w:rPr>
              <w:t>α</w:t>
            </w:r>
            <w:r>
              <w:rPr>
                <w:rFonts w:hint="eastAsia" w:ascii="Times New Roman" w:hAnsi="Times New Roman" w:eastAsia="宋体" w:cs="Times New Roman"/>
                <w:color w:val="auto"/>
                <w:spacing w:val="-2"/>
                <w:kern w:val="2"/>
                <w:szCs w:val="20"/>
                <w:lang w:eastAsia="zh-CN"/>
              </w:rPr>
              <w:t>）</w:t>
            </w:r>
          </w:p>
          <w:p w14:paraId="50DAF627">
            <w:pPr>
              <w:keepNext w:val="0"/>
              <w:keepLines w:val="0"/>
              <w:widowControl w:val="0"/>
              <w:suppressLineNumbers w:val="0"/>
              <w:autoSpaceDE w:val="0"/>
              <w:autoSpaceDN w:val="0"/>
              <w:adjustRightInd w:val="0"/>
              <w:spacing w:before="0" w:beforeAutospacing="0" w:after="0" w:afterAutospacing="0" w:line="360" w:lineRule="auto"/>
              <w:ind w:left="0" w:right="0" w:firstLine="1180" w:firstLineChars="500"/>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S为房间内表面面积，m</w:t>
            </w:r>
            <w:r>
              <w:rPr>
                <w:rFonts w:hint="default" w:ascii="Times New Roman" w:hAnsi="Times New Roman" w:cs="Times New Roman"/>
                <w:color w:val="auto"/>
                <w:spacing w:val="-2"/>
                <w:kern w:val="2"/>
                <w:szCs w:val="20"/>
                <w:vertAlign w:val="superscript"/>
              </w:rPr>
              <w:t>2</w:t>
            </w:r>
            <w:r>
              <w:rPr>
                <w:rFonts w:hint="default" w:ascii="Times New Roman" w:hAnsi="Times New Roman" w:cs="Times New Roman"/>
                <w:color w:val="auto"/>
                <w:spacing w:val="-2"/>
                <w:kern w:val="2"/>
                <w:szCs w:val="20"/>
              </w:rPr>
              <w:t>；</w:t>
            </w:r>
          </w:p>
          <w:p w14:paraId="74B3CCBE">
            <w:pPr>
              <w:keepNext w:val="0"/>
              <w:keepLines w:val="0"/>
              <w:widowControl w:val="0"/>
              <w:suppressLineNumbers w:val="0"/>
              <w:autoSpaceDE w:val="0"/>
              <w:autoSpaceDN w:val="0"/>
              <w:adjustRightInd w:val="0"/>
              <w:spacing w:before="0" w:beforeAutospacing="0" w:after="0" w:afterAutospacing="0" w:line="360" w:lineRule="auto"/>
              <w:ind w:left="0" w:right="0" w:firstLine="1180" w:firstLineChars="500"/>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α为平均吸声系数。</w:t>
            </w:r>
          </w:p>
          <w:p w14:paraId="67B41603">
            <w:pPr>
              <w:keepNext w:val="0"/>
              <w:keepLines w:val="0"/>
              <w:widowControl w:val="0"/>
              <w:suppressLineNumbers w:val="0"/>
              <w:autoSpaceDE w:val="0"/>
              <w:autoSpaceDN w:val="0"/>
              <w:adjustRightInd w:val="0"/>
              <w:spacing w:before="0" w:beforeAutospacing="0" w:after="0" w:afterAutospacing="0" w:line="360" w:lineRule="auto"/>
              <w:ind w:left="0" w:right="0" w:firstLine="1180" w:firstLineChars="500"/>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r—声源到靠近围护结构某点处的距离，m。</w:t>
            </w:r>
          </w:p>
          <w:p w14:paraId="1C944B56">
            <w:pPr>
              <w:keepNext w:val="0"/>
              <w:keepLines w:val="0"/>
              <w:widowControl w:val="0"/>
              <w:suppressLineNumbers w:val="0"/>
              <w:autoSpaceDE w:val="0"/>
              <w:autoSpaceDN w:val="0"/>
              <w:adjustRightInd w:val="0"/>
              <w:spacing w:before="0" w:beforeAutospacing="0" w:after="0" w:afterAutospacing="0" w:line="360" w:lineRule="auto"/>
              <w:ind w:left="0" w:right="0" w:firstLine="472" w:firstLineChars="200"/>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然后按式8-2计算出所有室内声源在围护结构处产生的</w:t>
            </w:r>
            <w:r>
              <w:rPr>
                <w:rFonts w:hint="default" w:ascii="Times New Roman" w:hAnsi="Times New Roman" w:cs="Times New Roman"/>
                <w:i/>
                <w:iCs/>
                <w:color w:val="auto"/>
                <w:spacing w:val="-2"/>
                <w:kern w:val="2"/>
                <w:szCs w:val="20"/>
              </w:rPr>
              <w:t>i</w:t>
            </w:r>
            <w:r>
              <w:rPr>
                <w:rFonts w:hint="default" w:ascii="Times New Roman" w:hAnsi="Times New Roman" w:cs="Times New Roman"/>
                <w:color w:val="auto"/>
                <w:spacing w:val="-2"/>
                <w:kern w:val="2"/>
                <w:szCs w:val="20"/>
              </w:rPr>
              <w:t>倍频带叠加声压级：</w:t>
            </w:r>
          </w:p>
          <w:p w14:paraId="2F57F644">
            <w:pPr>
              <w:keepNext w:val="0"/>
              <w:keepLines w:val="0"/>
              <w:widowControl w:val="0"/>
              <w:suppressLineNumbers w:val="0"/>
              <w:autoSpaceDE w:val="0"/>
              <w:autoSpaceDN w:val="0"/>
              <w:adjustRightInd w:val="0"/>
              <w:spacing w:before="0" w:beforeAutospacing="0" w:after="0" w:afterAutospacing="0" w:line="360" w:lineRule="auto"/>
              <w:ind w:left="0" w:right="0" w:firstLine="472" w:firstLineChars="200"/>
              <w:jc w:val="center"/>
              <w:rPr>
                <w:rFonts w:hint="default" w:ascii="Times New Roman" w:hAnsi="Times New Roman" w:cs="Times New Roman"/>
                <w:color w:val="auto"/>
                <w:spacing w:val="-2"/>
                <w:kern w:val="2"/>
                <w:szCs w:val="20"/>
              </w:rPr>
            </w:pPr>
            <w:r>
              <w:rPr>
                <w:rFonts w:hint="default" w:ascii="Times New Roman" w:hAnsi="Times New Roman" w:cs="Times New Roman"/>
                <w:i/>
                <w:iCs/>
                <w:color w:val="auto"/>
                <w:spacing w:val="-2"/>
                <w:kern w:val="2"/>
                <w:szCs w:val="20"/>
              </w:rPr>
              <w:t>L</w:t>
            </w:r>
            <w:r>
              <w:rPr>
                <w:rFonts w:hint="default" w:ascii="Times New Roman" w:hAnsi="Times New Roman" w:cs="Times New Roman"/>
                <w:i/>
                <w:iCs/>
                <w:color w:val="auto"/>
                <w:spacing w:val="-2"/>
                <w:kern w:val="2"/>
                <w:szCs w:val="20"/>
                <w:vertAlign w:val="subscript"/>
              </w:rPr>
              <w:t>P</w:t>
            </w:r>
            <w:r>
              <w:rPr>
                <w:rFonts w:hint="default" w:ascii="Times New Roman" w:hAnsi="Times New Roman" w:cs="Times New Roman"/>
                <w:color w:val="auto"/>
                <w:spacing w:val="-2"/>
                <w:kern w:val="2"/>
                <w:szCs w:val="20"/>
                <w:vertAlign w:val="subscript"/>
              </w:rPr>
              <w:t>1</w:t>
            </w:r>
            <w:r>
              <w:rPr>
                <w:rFonts w:hint="default" w:ascii="Times New Roman" w:hAnsi="Times New Roman" w:cs="Times New Roman"/>
                <w:i/>
                <w:iCs/>
                <w:color w:val="auto"/>
                <w:spacing w:val="-2"/>
                <w:kern w:val="2"/>
                <w:szCs w:val="20"/>
                <w:vertAlign w:val="subscript"/>
              </w:rPr>
              <w:t>i</w:t>
            </w:r>
            <w:r>
              <w:rPr>
                <w:rFonts w:hint="default" w:ascii="Times New Roman" w:hAnsi="Times New Roman" w:cs="Times New Roman"/>
                <w:color w:val="auto"/>
                <w:spacing w:val="-2"/>
                <w:kern w:val="2"/>
                <w:szCs w:val="20"/>
              </w:rPr>
              <w:t>（T）</w:t>
            </w:r>
            <w:r>
              <w:rPr>
                <w:rFonts w:hint="default" w:ascii="Times New Roman" w:hAnsi="Times New Roman" w:cs="Times New Roman"/>
                <w:color w:val="auto"/>
                <w:spacing w:val="-2"/>
                <w:kern w:val="2"/>
                <w:position w:val="-15"/>
                <w:szCs w:val="20"/>
              </w:rPr>
              <w:drawing>
                <wp:inline distT="0" distB="0" distL="0" distR="0">
                  <wp:extent cx="1171575" cy="285750"/>
                  <wp:effectExtent l="19050" t="0" r="0" b="0"/>
                  <wp:docPr id="1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1"/>
                          <pic:cNvPicPr>
                            <a:picLocks noChangeAspect="1" noChangeArrowheads="1"/>
                          </pic:cNvPicPr>
                        </pic:nvPicPr>
                        <pic:blipFill>
                          <a:blip r:embed="rId16" cstate="print"/>
                          <a:srcRect/>
                          <a:stretch>
                            <a:fillRect/>
                          </a:stretch>
                        </pic:blipFill>
                        <pic:spPr>
                          <a:xfrm>
                            <a:off x="0" y="0"/>
                            <a:ext cx="1171575" cy="285750"/>
                          </a:xfrm>
                          <a:prstGeom prst="rect">
                            <a:avLst/>
                          </a:prstGeom>
                          <a:noFill/>
                          <a:ln w="9525" cmpd="sng">
                            <a:noFill/>
                            <a:miter lim="800000"/>
                            <a:headEnd/>
                            <a:tailEnd/>
                          </a:ln>
                        </pic:spPr>
                      </pic:pic>
                    </a:graphicData>
                  </a:graphic>
                </wp:inline>
              </w:drawing>
            </w:r>
            <w:r>
              <w:rPr>
                <w:rFonts w:hint="default" w:ascii="Times New Roman" w:hAnsi="Times New Roman" w:cs="Times New Roman"/>
                <w:color w:val="auto"/>
                <w:spacing w:val="-2"/>
                <w:kern w:val="2"/>
                <w:szCs w:val="20"/>
              </w:rPr>
              <w:t>（式2）</w:t>
            </w:r>
          </w:p>
          <w:p w14:paraId="7B74BD2D">
            <w:pPr>
              <w:keepNext w:val="0"/>
              <w:keepLines w:val="0"/>
              <w:widowControl w:val="0"/>
              <w:suppressLineNumbers w:val="0"/>
              <w:autoSpaceDE w:val="0"/>
              <w:autoSpaceDN w:val="0"/>
              <w:adjustRightInd w:val="0"/>
              <w:spacing w:before="0" w:beforeAutospacing="0" w:after="0" w:afterAutospacing="0" w:line="360" w:lineRule="auto"/>
              <w:ind w:left="0" w:right="0" w:firstLine="472" w:firstLineChars="200"/>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式中：</w:t>
            </w:r>
          </w:p>
          <w:p w14:paraId="7377FB06">
            <w:pPr>
              <w:keepNext w:val="0"/>
              <w:keepLines w:val="0"/>
              <w:widowControl w:val="0"/>
              <w:suppressLineNumbers w:val="0"/>
              <w:autoSpaceDE w:val="0"/>
              <w:autoSpaceDN w:val="0"/>
              <w:adjustRightInd w:val="0"/>
              <w:spacing w:before="0" w:beforeAutospacing="0" w:after="0" w:afterAutospacing="0" w:line="360" w:lineRule="auto"/>
              <w:ind w:left="0" w:right="0" w:firstLine="472" w:firstLineChars="200"/>
              <w:rPr>
                <w:rFonts w:hint="default" w:ascii="Times New Roman" w:hAnsi="Times New Roman" w:cs="Times New Roman"/>
                <w:color w:val="auto"/>
                <w:spacing w:val="-2"/>
                <w:kern w:val="2"/>
                <w:szCs w:val="20"/>
              </w:rPr>
            </w:pPr>
            <w:r>
              <w:rPr>
                <w:rFonts w:hint="default" w:ascii="Times New Roman" w:hAnsi="Times New Roman" w:cs="Times New Roman"/>
                <w:i/>
                <w:iCs/>
                <w:color w:val="auto"/>
                <w:spacing w:val="-2"/>
                <w:kern w:val="2"/>
                <w:szCs w:val="20"/>
              </w:rPr>
              <w:t>L</w:t>
            </w:r>
            <w:r>
              <w:rPr>
                <w:rFonts w:hint="default" w:ascii="Times New Roman" w:hAnsi="Times New Roman" w:cs="Times New Roman"/>
                <w:i/>
                <w:iCs/>
                <w:color w:val="auto"/>
                <w:spacing w:val="-2"/>
                <w:kern w:val="2"/>
                <w:szCs w:val="20"/>
                <w:vertAlign w:val="subscript"/>
              </w:rPr>
              <w:t>P</w:t>
            </w:r>
            <w:r>
              <w:rPr>
                <w:rFonts w:hint="default" w:ascii="Times New Roman" w:hAnsi="Times New Roman" w:cs="Times New Roman"/>
                <w:color w:val="auto"/>
                <w:spacing w:val="-2"/>
                <w:kern w:val="2"/>
                <w:szCs w:val="20"/>
                <w:vertAlign w:val="subscript"/>
              </w:rPr>
              <w:t>1</w:t>
            </w:r>
            <w:r>
              <w:rPr>
                <w:rFonts w:hint="default" w:ascii="Times New Roman" w:hAnsi="Times New Roman" w:cs="Times New Roman"/>
                <w:i/>
                <w:iCs/>
                <w:color w:val="auto"/>
                <w:spacing w:val="-2"/>
                <w:kern w:val="2"/>
                <w:szCs w:val="20"/>
                <w:vertAlign w:val="subscript"/>
              </w:rPr>
              <w:t>i</w:t>
            </w:r>
            <w:r>
              <w:rPr>
                <w:rFonts w:hint="default" w:ascii="Times New Roman" w:hAnsi="Times New Roman" w:cs="Times New Roman"/>
                <w:color w:val="auto"/>
                <w:spacing w:val="-2"/>
                <w:kern w:val="2"/>
                <w:szCs w:val="20"/>
              </w:rPr>
              <w:t>（T）—靠近围护结构处室内N个声源</w:t>
            </w:r>
            <w:r>
              <w:rPr>
                <w:rFonts w:hint="default" w:ascii="Times New Roman" w:hAnsi="Times New Roman" w:cs="Times New Roman"/>
                <w:i/>
                <w:iCs/>
                <w:color w:val="auto"/>
                <w:spacing w:val="-2"/>
                <w:kern w:val="2"/>
                <w:szCs w:val="20"/>
              </w:rPr>
              <w:t>i</w:t>
            </w:r>
            <w:r>
              <w:rPr>
                <w:rFonts w:hint="default" w:ascii="Times New Roman" w:hAnsi="Times New Roman" w:cs="Times New Roman"/>
                <w:color w:val="auto"/>
                <w:spacing w:val="-2"/>
                <w:kern w:val="2"/>
                <w:szCs w:val="20"/>
              </w:rPr>
              <w:t>倍频带的叠加声压级，dB；</w:t>
            </w:r>
          </w:p>
          <w:p w14:paraId="095618A1">
            <w:pPr>
              <w:keepNext w:val="0"/>
              <w:keepLines w:val="0"/>
              <w:widowControl w:val="0"/>
              <w:suppressLineNumbers w:val="0"/>
              <w:autoSpaceDE w:val="0"/>
              <w:autoSpaceDN w:val="0"/>
              <w:adjustRightInd w:val="0"/>
              <w:spacing w:before="0" w:beforeAutospacing="0" w:after="0" w:afterAutospacing="0" w:line="360" w:lineRule="auto"/>
              <w:ind w:left="0" w:right="0" w:firstLine="472" w:firstLineChars="200"/>
              <w:rPr>
                <w:rFonts w:hint="default" w:ascii="Times New Roman" w:hAnsi="Times New Roman" w:cs="Times New Roman"/>
                <w:color w:val="auto"/>
                <w:spacing w:val="-2"/>
                <w:kern w:val="2"/>
                <w:szCs w:val="20"/>
              </w:rPr>
            </w:pPr>
            <w:r>
              <w:rPr>
                <w:rFonts w:hint="default" w:ascii="Times New Roman" w:hAnsi="Times New Roman" w:cs="Times New Roman"/>
                <w:i/>
                <w:iCs/>
                <w:color w:val="auto"/>
                <w:spacing w:val="-2"/>
                <w:kern w:val="2"/>
                <w:szCs w:val="20"/>
              </w:rPr>
              <w:t>L</w:t>
            </w:r>
            <w:r>
              <w:rPr>
                <w:rFonts w:hint="default" w:ascii="Times New Roman" w:hAnsi="Times New Roman" w:cs="Times New Roman"/>
                <w:i/>
                <w:iCs/>
                <w:color w:val="auto"/>
                <w:spacing w:val="-2"/>
                <w:kern w:val="2"/>
                <w:szCs w:val="20"/>
                <w:vertAlign w:val="subscript"/>
              </w:rPr>
              <w:t>P1</w:t>
            </w:r>
            <w:r>
              <w:rPr>
                <w:rFonts w:hint="default" w:ascii="Times New Roman" w:hAnsi="Times New Roman" w:cs="Times New Roman"/>
                <w:color w:val="auto"/>
                <w:spacing w:val="-2"/>
                <w:kern w:val="2"/>
                <w:szCs w:val="20"/>
                <w:vertAlign w:val="subscript"/>
              </w:rPr>
              <w:t>ij</w:t>
            </w:r>
            <w:r>
              <w:rPr>
                <w:rFonts w:hint="default" w:ascii="Times New Roman" w:hAnsi="Times New Roman" w:cs="Times New Roman"/>
                <w:color w:val="auto"/>
                <w:spacing w:val="-2"/>
                <w:kern w:val="2"/>
                <w:szCs w:val="20"/>
              </w:rPr>
              <w:t>—室内</w:t>
            </w:r>
            <w:r>
              <w:rPr>
                <w:rFonts w:hint="default" w:ascii="Times New Roman" w:hAnsi="Times New Roman" w:cs="Times New Roman"/>
                <w:i/>
                <w:iCs/>
                <w:color w:val="auto"/>
                <w:spacing w:val="-2"/>
                <w:kern w:val="2"/>
                <w:szCs w:val="20"/>
              </w:rPr>
              <w:t>j</w:t>
            </w:r>
            <w:r>
              <w:rPr>
                <w:rFonts w:hint="default" w:ascii="Times New Roman" w:hAnsi="Times New Roman" w:cs="Times New Roman"/>
                <w:color w:val="auto"/>
                <w:spacing w:val="-2"/>
                <w:kern w:val="2"/>
                <w:szCs w:val="20"/>
              </w:rPr>
              <w:t>声源</w:t>
            </w:r>
            <w:r>
              <w:rPr>
                <w:rFonts w:hint="default" w:ascii="Times New Roman" w:hAnsi="Times New Roman" w:cs="Times New Roman"/>
                <w:i/>
                <w:iCs/>
                <w:color w:val="auto"/>
                <w:spacing w:val="-2"/>
                <w:kern w:val="2"/>
                <w:szCs w:val="20"/>
              </w:rPr>
              <w:t>i</w:t>
            </w:r>
            <w:r>
              <w:rPr>
                <w:rFonts w:hint="default" w:ascii="Times New Roman" w:hAnsi="Times New Roman" w:cs="Times New Roman"/>
                <w:color w:val="auto"/>
                <w:spacing w:val="-2"/>
                <w:kern w:val="2"/>
                <w:szCs w:val="20"/>
              </w:rPr>
              <w:t>倍频带的声压级，dB；</w:t>
            </w:r>
          </w:p>
          <w:p w14:paraId="5DC31F7A">
            <w:pPr>
              <w:keepNext w:val="0"/>
              <w:keepLines w:val="0"/>
              <w:widowControl w:val="0"/>
              <w:suppressLineNumbers w:val="0"/>
              <w:autoSpaceDE w:val="0"/>
              <w:autoSpaceDN w:val="0"/>
              <w:adjustRightInd w:val="0"/>
              <w:spacing w:before="0" w:beforeAutospacing="0" w:after="0" w:afterAutospacing="0" w:line="360" w:lineRule="auto"/>
              <w:ind w:left="0" w:right="0" w:firstLine="472" w:firstLineChars="200"/>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N—室内声源总数。</w:t>
            </w:r>
          </w:p>
          <w:p w14:paraId="5518DAA1">
            <w:pPr>
              <w:keepNext w:val="0"/>
              <w:keepLines w:val="0"/>
              <w:widowControl w:val="0"/>
              <w:suppressLineNumbers w:val="0"/>
              <w:autoSpaceDE w:val="0"/>
              <w:autoSpaceDN w:val="0"/>
              <w:adjustRightInd w:val="0"/>
              <w:spacing w:before="0" w:beforeAutospacing="0" w:after="0" w:afterAutospacing="0" w:line="360" w:lineRule="auto"/>
              <w:ind w:left="0" w:right="0" w:firstLine="472" w:firstLineChars="200"/>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在室内近似为扩散声场时，按式3计算出靠近室外围护结构处的声压级：</w:t>
            </w:r>
          </w:p>
          <w:p w14:paraId="015B72D7">
            <w:pPr>
              <w:keepNext w:val="0"/>
              <w:keepLines w:val="0"/>
              <w:widowControl w:val="0"/>
              <w:suppressLineNumbers w:val="0"/>
              <w:autoSpaceDE w:val="0"/>
              <w:autoSpaceDN w:val="0"/>
              <w:adjustRightInd w:val="0"/>
              <w:spacing w:before="0" w:beforeAutospacing="0" w:after="0" w:afterAutospacing="0" w:line="360" w:lineRule="auto"/>
              <w:ind w:left="0" w:right="0" w:firstLine="472" w:firstLineChars="200"/>
              <w:jc w:val="center"/>
              <w:rPr>
                <w:rFonts w:hint="default" w:ascii="Times New Roman" w:hAnsi="Times New Roman" w:cs="Times New Roman"/>
                <w:color w:val="auto"/>
                <w:spacing w:val="-2"/>
                <w:kern w:val="2"/>
                <w:szCs w:val="20"/>
                <w:lang w:val="pl-PL"/>
              </w:rPr>
            </w:pPr>
            <w:r>
              <w:rPr>
                <w:rFonts w:hint="default" w:ascii="Times New Roman" w:hAnsi="Times New Roman" w:cs="Times New Roman"/>
                <w:i/>
                <w:iCs/>
                <w:color w:val="auto"/>
                <w:spacing w:val="-2"/>
                <w:kern w:val="2"/>
                <w:szCs w:val="20"/>
                <w:lang w:val="pl-PL"/>
              </w:rPr>
              <w:t>L</w:t>
            </w:r>
            <w:r>
              <w:rPr>
                <w:rFonts w:hint="default" w:ascii="Times New Roman" w:hAnsi="Times New Roman" w:cs="Times New Roman"/>
                <w:i/>
                <w:iCs/>
                <w:color w:val="auto"/>
                <w:spacing w:val="-2"/>
                <w:kern w:val="2"/>
                <w:szCs w:val="20"/>
                <w:vertAlign w:val="subscript"/>
                <w:lang w:val="pl-PL"/>
              </w:rPr>
              <w:t>P</w:t>
            </w:r>
            <w:r>
              <w:rPr>
                <w:rFonts w:hint="default" w:ascii="Times New Roman" w:hAnsi="Times New Roman" w:cs="Times New Roman"/>
                <w:color w:val="auto"/>
                <w:spacing w:val="-2"/>
                <w:kern w:val="2"/>
                <w:szCs w:val="20"/>
                <w:vertAlign w:val="subscript"/>
                <w:lang w:val="pl-PL"/>
              </w:rPr>
              <w:t>2</w:t>
            </w:r>
            <w:r>
              <w:rPr>
                <w:rFonts w:hint="default" w:ascii="Times New Roman" w:hAnsi="Times New Roman" w:cs="Times New Roman"/>
                <w:i/>
                <w:iCs/>
                <w:color w:val="auto"/>
                <w:spacing w:val="-2"/>
                <w:kern w:val="2"/>
                <w:szCs w:val="20"/>
                <w:vertAlign w:val="subscript"/>
                <w:lang w:val="pl-PL"/>
              </w:rPr>
              <w:t>i</w:t>
            </w:r>
            <w:r>
              <w:rPr>
                <w:rFonts w:hint="default" w:ascii="Times New Roman" w:hAnsi="Times New Roman" w:cs="Times New Roman"/>
                <w:color w:val="auto"/>
                <w:spacing w:val="-2"/>
                <w:kern w:val="2"/>
                <w:szCs w:val="20"/>
                <w:lang w:val="pl-PL"/>
              </w:rPr>
              <w:t>（T）=</w:t>
            </w:r>
            <w:r>
              <w:rPr>
                <w:rFonts w:hint="default" w:ascii="Times New Roman" w:hAnsi="Times New Roman" w:cs="Times New Roman"/>
                <w:i/>
                <w:iCs/>
                <w:color w:val="auto"/>
                <w:spacing w:val="-2"/>
                <w:kern w:val="2"/>
                <w:szCs w:val="20"/>
                <w:lang w:val="pl-PL"/>
              </w:rPr>
              <w:t>L</w:t>
            </w:r>
            <w:r>
              <w:rPr>
                <w:rFonts w:hint="default" w:ascii="Times New Roman" w:hAnsi="Times New Roman" w:cs="Times New Roman"/>
                <w:i/>
                <w:iCs/>
                <w:color w:val="auto"/>
                <w:spacing w:val="-2"/>
                <w:kern w:val="2"/>
                <w:szCs w:val="20"/>
                <w:vertAlign w:val="subscript"/>
                <w:lang w:val="pl-PL"/>
              </w:rPr>
              <w:t>P</w:t>
            </w:r>
            <w:r>
              <w:rPr>
                <w:rFonts w:hint="default" w:ascii="Times New Roman" w:hAnsi="Times New Roman" w:cs="Times New Roman"/>
                <w:color w:val="auto"/>
                <w:spacing w:val="-2"/>
                <w:kern w:val="2"/>
                <w:szCs w:val="20"/>
                <w:vertAlign w:val="subscript"/>
                <w:lang w:val="pl-PL"/>
              </w:rPr>
              <w:t>1</w:t>
            </w:r>
            <w:r>
              <w:rPr>
                <w:rFonts w:hint="default" w:ascii="Times New Roman" w:hAnsi="Times New Roman" w:cs="Times New Roman"/>
                <w:i/>
                <w:iCs/>
                <w:color w:val="auto"/>
                <w:spacing w:val="-2"/>
                <w:kern w:val="2"/>
                <w:szCs w:val="20"/>
                <w:vertAlign w:val="subscript"/>
                <w:lang w:val="pl-PL"/>
              </w:rPr>
              <w:t>i</w:t>
            </w:r>
            <w:r>
              <w:rPr>
                <w:rFonts w:hint="default" w:ascii="Times New Roman" w:hAnsi="Times New Roman" w:cs="Times New Roman"/>
                <w:color w:val="auto"/>
                <w:spacing w:val="-2"/>
                <w:kern w:val="2"/>
                <w:szCs w:val="20"/>
                <w:lang w:val="pl-PL"/>
              </w:rPr>
              <w:t>（T）-（TL</w:t>
            </w:r>
            <w:r>
              <w:rPr>
                <w:rFonts w:hint="default" w:ascii="Times New Roman" w:hAnsi="Times New Roman" w:cs="Times New Roman"/>
                <w:color w:val="auto"/>
                <w:spacing w:val="-2"/>
                <w:kern w:val="2"/>
                <w:szCs w:val="20"/>
                <w:vertAlign w:val="subscript"/>
                <w:lang w:val="pl-PL"/>
              </w:rPr>
              <w:t>i</w:t>
            </w:r>
            <w:r>
              <w:rPr>
                <w:rFonts w:hint="default" w:ascii="Times New Roman" w:hAnsi="Times New Roman" w:cs="Times New Roman"/>
                <w:color w:val="auto"/>
                <w:spacing w:val="-2"/>
                <w:kern w:val="2"/>
                <w:szCs w:val="20"/>
                <w:lang w:val="pl-PL"/>
              </w:rPr>
              <w:t>+6）（</w:t>
            </w:r>
            <w:r>
              <w:rPr>
                <w:rFonts w:hint="default" w:ascii="Times New Roman" w:hAnsi="Times New Roman" w:cs="Times New Roman"/>
                <w:color w:val="auto"/>
                <w:spacing w:val="-2"/>
                <w:kern w:val="2"/>
                <w:szCs w:val="20"/>
              </w:rPr>
              <w:t>式</w:t>
            </w:r>
            <w:r>
              <w:rPr>
                <w:rFonts w:hint="default" w:ascii="Times New Roman" w:hAnsi="Times New Roman" w:cs="Times New Roman"/>
                <w:color w:val="auto"/>
                <w:spacing w:val="-2"/>
                <w:kern w:val="2"/>
                <w:szCs w:val="20"/>
                <w:lang w:val="pl-PL"/>
              </w:rPr>
              <w:t>3）</w:t>
            </w:r>
          </w:p>
          <w:p w14:paraId="6DADBF2F">
            <w:pPr>
              <w:keepNext w:val="0"/>
              <w:keepLines w:val="0"/>
              <w:widowControl w:val="0"/>
              <w:suppressLineNumbers w:val="0"/>
              <w:autoSpaceDE w:val="0"/>
              <w:autoSpaceDN w:val="0"/>
              <w:adjustRightInd w:val="0"/>
              <w:spacing w:before="0" w:beforeAutospacing="0" w:after="0" w:afterAutospacing="0" w:line="360" w:lineRule="auto"/>
              <w:ind w:left="0" w:right="0" w:firstLine="472" w:firstLineChars="200"/>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式中：</w:t>
            </w:r>
          </w:p>
          <w:p w14:paraId="1A4F0070">
            <w:pPr>
              <w:keepNext w:val="0"/>
              <w:keepLines w:val="0"/>
              <w:widowControl w:val="0"/>
              <w:suppressLineNumbers w:val="0"/>
              <w:autoSpaceDE w:val="0"/>
              <w:autoSpaceDN w:val="0"/>
              <w:adjustRightInd w:val="0"/>
              <w:spacing w:before="0" w:beforeAutospacing="0" w:after="0" w:afterAutospacing="0" w:line="360" w:lineRule="auto"/>
              <w:ind w:left="0" w:right="0" w:firstLine="472" w:firstLineChars="200"/>
              <w:rPr>
                <w:rFonts w:hint="default" w:ascii="Times New Roman" w:hAnsi="Times New Roman" w:cs="Times New Roman"/>
                <w:color w:val="auto"/>
                <w:spacing w:val="-2"/>
                <w:kern w:val="2"/>
                <w:szCs w:val="20"/>
              </w:rPr>
            </w:pPr>
            <w:r>
              <w:rPr>
                <w:rFonts w:hint="default" w:ascii="Times New Roman" w:hAnsi="Times New Roman" w:cs="Times New Roman"/>
                <w:i/>
                <w:iCs/>
                <w:color w:val="auto"/>
                <w:spacing w:val="-2"/>
                <w:kern w:val="2"/>
                <w:szCs w:val="20"/>
              </w:rPr>
              <w:t>L</w:t>
            </w:r>
            <w:r>
              <w:rPr>
                <w:rFonts w:hint="default" w:ascii="Times New Roman" w:hAnsi="Times New Roman" w:cs="Times New Roman"/>
                <w:i/>
                <w:iCs/>
                <w:color w:val="auto"/>
                <w:spacing w:val="-2"/>
                <w:kern w:val="2"/>
                <w:szCs w:val="20"/>
                <w:vertAlign w:val="subscript"/>
              </w:rPr>
              <w:t>P</w:t>
            </w:r>
            <w:r>
              <w:rPr>
                <w:rFonts w:hint="default" w:ascii="Times New Roman" w:hAnsi="Times New Roman" w:cs="Times New Roman"/>
                <w:color w:val="auto"/>
                <w:spacing w:val="-2"/>
                <w:kern w:val="2"/>
                <w:szCs w:val="20"/>
                <w:vertAlign w:val="subscript"/>
              </w:rPr>
              <w:t>2</w:t>
            </w:r>
            <w:r>
              <w:rPr>
                <w:rFonts w:hint="default" w:ascii="Times New Roman" w:hAnsi="Times New Roman" w:cs="Times New Roman"/>
                <w:i/>
                <w:iCs/>
                <w:color w:val="auto"/>
                <w:spacing w:val="-2"/>
                <w:kern w:val="2"/>
                <w:szCs w:val="20"/>
                <w:vertAlign w:val="subscript"/>
              </w:rPr>
              <w:t>i</w:t>
            </w:r>
            <w:r>
              <w:rPr>
                <w:rFonts w:hint="default" w:ascii="Times New Roman" w:hAnsi="Times New Roman" w:cs="Times New Roman"/>
                <w:color w:val="auto"/>
                <w:spacing w:val="-2"/>
                <w:kern w:val="2"/>
                <w:szCs w:val="20"/>
              </w:rPr>
              <w:t>（T）—靠近围护结构处室外N个声源</w:t>
            </w:r>
            <w:r>
              <w:rPr>
                <w:rFonts w:hint="default" w:ascii="Times New Roman" w:hAnsi="Times New Roman" w:cs="Times New Roman"/>
                <w:i/>
                <w:iCs/>
                <w:color w:val="auto"/>
                <w:spacing w:val="-2"/>
                <w:kern w:val="2"/>
                <w:szCs w:val="20"/>
              </w:rPr>
              <w:t>i</w:t>
            </w:r>
            <w:r>
              <w:rPr>
                <w:rFonts w:hint="default" w:ascii="Times New Roman" w:hAnsi="Times New Roman" w:cs="Times New Roman"/>
                <w:color w:val="auto"/>
                <w:spacing w:val="-2"/>
                <w:kern w:val="2"/>
                <w:szCs w:val="20"/>
              </w:rPr>
              <w:t>倍频带的叠加声压级，dB；</w:t>
            </w:r>
          </w:p>
          <w:p w14:paraId="33E74DC7">
            <w:pPr>
              <w:keepNext w:val="0"/>
              <w:keepLines w:val="0"/>
              <w:widowControl w:val="0"/>
              <w:suppressLineNumbers w:val="0"/>
              <w:autoSpaceDE w:val="0"/>
              <w:autoSpaceDN w:val="0"/>
              <w:adjustRightInd w:val="0"/>
              <w:spacing w:before="0" w:beforeAutospacing="0" w:after="0" w:afterAutospacing="0" w:line="360" w:lineRule="auto"/>
              <w:ind w:left="0" w:right="0" w:firstLine="472" w:firstLineChars="200"/>
              <w:rPr>
                <w:rFonts w:hint="default" w:ascii="Times New Roman" w:hAnsi="Times New Roman" w:cs="Times New Roman"/>
                <w:color w:val="auto"/>
                <w:spacing w:val="-2"/>
                <w:kern w:val="2"/>
                <w:szCs w:val="20"/>
              </w:rPr>
            </w:pPr>
            <w:r>
              <w:rPr>
                <w:rFonts w:hint="default" w:ascii="Times New Roman" w:hAnsi="Times New Roman" w:cs="Times New Roman"/>
                <w:i/>
                <w:iCs/>
                <w:color w:val="auto"/>
                <w:spacing w:val="-2"/>
                <w:kern w:val="2"/>
                <w:szCs w:val="20"/>
              </w:rPr>
              <w:t>TL</w:t>
            </w:r>
            <w:r>
              <w:rPr>
                <w:rFonts w:hint="default" w:ascii="Times New Roman" w:hAnsi="Times New Roman" w:cs="Times New Roman"/>
                <w:i/>
                <w:iCs/>
                <w:color w:val="auto"/>
                <w:spacing w:val="-2"/>
                <w:kern w:val="2"/>
                <w:szCs w:val="20"/>
                <w:vertAlign w:val="subscript"/>
              </w:rPr>
              <w:t>i</w:t>
            </w:r>
            <w:r>
              <w:rPr>
                <w:rFonts w:hint="default" w:ascii="Times New Roman" w:hAnsi="Times New Roman" w:cs="Times New Roman"/>
                <w:color w:val="auto"/>
                <w:spacing w:val="-2"/>
                <w:kern w:val="2"/>
                <w:szCs w:val="20"/>
              </w:rPr>
              <w:t>—围护结构</w:t>
            </w:r>
            <w:r>
              <w:rPr>
                <w:rFonts w:hint="default" w:ascii="Times New Roman" w:hAnsi="Times New Roman" w:cs="Times New Roman"/>
                <w:i/>
                <w:iCs/>
                <w:color w:val="auto"/>
                <w:spacing w:val="-2"/>
                <w:kern w:val="2"/>
                <w:szCs w:val="20"/>
              </w:rPr>
              <w:t>i</w:t>
            </w:r>
            <w:r>
              <w:rPr>
                <w:rFonts w:hint="default" w:ascii="Times New Roman" w:hAnsi="Times New Roman" w:cs="Times New Roman"/>
                <w:color w:val="auto"/>
                <w:spacing w:val="-2"/>
                <w:kern w:val="2"/>
                <w:szCs w:val="20"/>
              </w:rPr>
              <w:t>倍频带的隔声量，dB。</w:t>
            </w:r>
          </w:p>
          <w:p w14:paraId="76CCD7D6">
            <w:pPr>
              <w:keepNext w:val="0"/>
              <w:keepLines w:val="0"/>
              <w:widowControl w:val="0"/>
              <w:suppressLineNumbers w:val="0"/>
              <w:autoSpaceDE w:val="0"/>
              <w:autoSpaceDN w:val="0"/>
              <w:adjustRightInd w:val="0"/>
              <w:spacing w:before="0" w:beforeAutospacing="0" w:after="0" w:afterAutospacing="0" w:line="360" w:lineRule="auto"/>
              <w:ind w:left="0" w:right="0" w:firstLine="472" w:firstLineChars="200"/>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然后按下式将室外声源的声压级和透过面积换算成等效的室外声源，计算出中心位置位于透声面积（S）处的等效声源的倍频带声功率级。</w:t>
            </w:r>
          </w:p>
          <w:p w14:paraId="69D5424B">
            <w:pPr>
              <w:keepNext w:val="0"/>
              <w:keepLines w:val="0"/>
              <w:widowControl w:val="0"/>
              <w:suppressLineNumbers w:val="0"/>
              <w:autoSpaceDE w:val="0"/>
              <w:autoSpaceDN w:val="0"/>
              <w:adjustRightInd w:val="0"/>
              <w:spacing w:before="0" w:beforeAutospacing="0" w:after="0" w:afterAutospacing="0" w:line="360" w:lineRule="auto"/>
              <w:ind w:left="0" w:right="0" w:firstLine="472" w:firstLineChars="200"/>
              <w:jc w:val="center"/>
              <w:rPr>
                <w:rFonts w:hint="default" w:ascii="Times New Roman" w:hAnsi="Times New Roman" w:cs="Times New Roman"/>
                <w:color w:val="auto"/>
                <w:spacing w:val="-2"/>
                <w:kern w:val="2"/>
                <w:szCs w:val="20"/>
              </w:rPr>
            </w:pPr>
            <w:r>
              <w:rPr>
                <w:rFonts w:hint="default" w:ascii="Times New Roman" w:hAnsi="Times New Roman" w:cs="Times New Roman"/>
                <w:i/>
                <w:iCs/>
                <w:color w:val="auto"/>
                <w:spacing w:val="-2"/>
                <w:kern w:val="2"/>
                <w:szCs w:val="20"/>
              </w:rPr>
              <w:t>L</w:t>
            </w:r>
            <w:r>
              <w:rPr>
                <w:rFonts w:hint="default" w:ascii="Times New Roman" w:hAnsi="Times New Roman" w:cs="Times New Roman"/>
                <w:i/>
                <w:iCs/>
                <w:color w:val="auto"/>
                <w:spacing w:val="-2"/>
                <w:kern w:val="2"/>
                <w:szCs w:val="20"/>
                <w:vertAlign w:val="subscript"/>
              </w:rPr>
              <w:t>W</w:t>
            </w:r>
            <w:r>
              <w:rPr>
                <w:rFonts w:hint="default" w:ascii="Times New Roman" w:hAnsi="Times New Roman" w:cs="Times New Roman"/>
                <w:color w:val="auto"/>
                <w:spacing w:val="-2"/>
                <w:kern w:val="2"/>
                <w:szCs w:val="20"/>
              </w:rPr>
              <w:t>=</w:t>
            </w:r>
            <w:r>
              <w:rPr>
                <w:rFonts w:hint="default" w:ascii="Times New Roman" w:hAnsi="Times New Roman" w:cs="Times New Roman"/>
                <w:i/>
                <w:iCs/>
                <w:color w:val="auto"/>
                <w:spacing w:val="-2"/>
                <w:kern w:val="2"/>
                <w:szCs w:val="20"/>
              </w:rPr>
              <w:t>L</w:t>
            </w:r>
            <w:r>
              <w:rPr>
                <w:rFonts w:hint="default" w:ascii="Times New Roman" w:hAnsi="Times New Roman" w:cs="Times New Roman"/>
                <w:i/>
                <w:iCs/>
                <w:color w:val="auto"/>
                <w:spacing w:val="-2"/>
                <w:kern w:val="2"/>
                <w:szCs w:val="20"/>
                <w:vertAlign w:val="subscript"/>
              </w:rPr>
              <w:t>P</w:t>
            </w:r>
            <w:r>
              <w:rPr>
                <w:rFonts w:hint="default" w:ascii="Times New Roman" w:hAnsi="Times New Roman" w:cs="Times New Roman"/>
                <w:color w:val="auto"/>
                <w:spacing w:val="-2"/>
                <w:kern w:val="2"/>
                <w:szCs w:val="20"/>
                <w:vertAlign w:val="subscript"/>
              </w:rPr>
              <w:t>2</w:t>
            </w:r>
            <w:r>
              <w:rPr>
                <w:rFonts w:hint="default" w:ascii="Times New Roman" w:hAnsi="Times New Roman" w:cs="Times New Roman"/>
                <w:color w:val="auto"/>
                <w:spacing w:val="-2"/>
                <w:kern w:val="2"/>
                <w:szCs w:val="20"/>
              </w:rPr>
              <w:t>（T）+10lg</w:t>
            </w:r>
            <w:r>
              <w:rPr>
                <w:rFonts w:hint="default" w:ascii="Times New Roman" w:hAnsi="Times New Roman" w:cs="Times New Roman"/>
                <w:i/>
                <w:iCs/>
                <w:color w:val="auto"/>
                <w:spacing w:val="-2"/>
                <w:kern w:val="2"/>
                <w:szCs w:val="20"/>
              </w:rPr>
              <w:t>s</w:t>
            </w:r>
            <w:r>
              <w:rPr>
                <w:rFonts w:hint="default" w:ascii="Times New Roman" w:hAnsi="Times New Roman" w:cs="Times New Roman"/>
                <w:color w:val="auto"/>
                <w:spacing w:val="-2"/>
                <w:kern w:val="2"/>
                <w:szCs w:val="20"/>
              </w:rPr>
              <w:t>（式4）</w:t>
            </w:r>
          </w:p>
          <w:p w14:paraId="183BD625">
            <w:pPr>
              <w:keepNext w:val="0"/>
              <w:keepLines w:val="0"/>
              <w:widowControl w:val="0"/>
              <w:suppressLineNumbers w:val="0"/>
              <w:spacing w:before="0" w:beforeAutospacing="0" w:after="0" w:afterAutospacing="0" w:line="360" w:lineRule="auto"/>
              <w:ind w:left="0" w:right="0" w:firstLine="472" w:firstLineChars="200"/>
              <w:jc w:val="both"/>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然后按室外声源预测方法计算预测点处的A声级。</w:t>
            </w:r>
          </w:p>
          <w:p w14:paraId="353438D4">
            <w:pPr>
              <w:keepNext w:val="0"/>
              <w:keepLines w:val="0"/>
              <w:widowControl w:val="0"/>
              <w:suppressLineNumbers w:val="0"/>
              <w:spacing w:before="0" w:beforeAutospacing="0" w:after="0" w:afterAutospacing="0" w:line="360" w:lineRule="auto"/>
              <w:ind w:left="0" w:right="0" w:firstLine="472" w:firstLineChars="200"/>
              <w:rPr>
                <w:rFonts w:hint="default" w:ascii="Times New Roman" w:hAnsi="Times New Roman" w:cs="Times New Roman"/>
                <w:snapToGrid w:val="0"/>
                <w:color w:val="auto"/>
                <w:spacing w:val="-2"/>
                <w:kern w:val="2"/>
                <w:szCs w:val="20"/>
              </w:rPr>
            </w:pPr>
            <w:r>
              <w:rPr>
                <w:rFonts w:hint="eastAsia" w:ascii="Times New Roman" w:hAnsi="Times New Roman" w:cs="Times New Roman"/>
                <w:color w:val="auto"/>
                <w:spacing w:val="-2"/>
                <w:kern w:val="2"/>
                <w:szCs w:val="20"/>
              </w:rPr>
              <w:t>2）</w:t>
            </w:r>
            <w:r>
              <w:rPr>
                <w:rFonts w:hint="default" w:ascii="Times New Roman" w:hAnsi="Times New Roman" w:cs="Times New Roman"/>
                <w:color w:val="auto"/>
                <w:spacing w:val="-2"/>
                <w:kern w:val="2"/>
                <w:szCs w:val="20"/>
              </w:rPr>
              <w:t>室外的点声源在预测点产生的声级计算基本公式</w:t>
            </w:r>
          </w:p>
          <w:p w14:paraId="726AC50F">
            <w:pPr>
              <w:keepNext w:val="0"/>
              <w:keepLines w:val="0"/>
              <w:widowControl w:val="0"/>
              <w:suppressLineNumbers w:val="0"/>
              <w:adjustRightInd w:val="0"/>
              <w:snapToGrid w:val="0"/>
              <w:spacing w:before="0" w:beforeAutospacing="0" w:after="0" w:afterAutospacing="0" w:line="360" w:lineRule="auto"/>
              <w:ind w:left="0" w:right="0" w:firstLine="472" w:firstLineChars="200"/>
              <w:jc w:val="center"/>
              <w:rPr>
                <w:rFonts w:hint="default" w:ascii="Times New Roman" w:hAnsi="Times New Roman" w:cs="Times New Roman"/>
                <w:snapToGrid w:val="0"/>
                <w:color w:val="auto"/>
                <w:spacing w:val="-2"/>
                <w:kern w:val="2"/>
                <w:szCs w:val="20"/>
              </w:rPr>
            </w:pPr>
            <w:r>
              <w:rPr>
                <w:rFonts w:hint="default" w:ascii="Times New Roman" w:hAnsi="Times New Roman" w:cs="Times New Roman"/>
                <w:snapToGrid w:val="0"/>
                <w:color w:val="auto"/>
                <w:spacing w:val="-2"/>
                <w:kern w:val="2"/>
                <w:szCs w:val="20"/>
              </w:rPr>
              <w:t>L</w:t>
            </w:r>
            <w:r>
              <w:rPr>
                <w:rFonts w:hint="default" w:ascii="Times New Roman" w:hAnsi="Times New Roman" w:cs="Times New Roman"/>
                <w:snapToGrid w:val="0"/>
                <w:color w:val="auto"/>
                <w:spacing w:val="-2"/>
                <w:kern w:val="2"/>
                <w:szCs w:val="20"/>
                <w:vertAlign w:val="subscript"/>
              </w:rPr>
              <w:t>A（r）</w:t>
            </w:r>
            <w:r>
              <w:rPr>
                <w:rFonts w:hint="default" w:ascii="Times New Roman" w:hAnsi="Times New Roman" w:cs="Times New Roman"/>
                <w:snapToGrid w:val="0"/>
                <w:color w:val="auto"/>
                <w:spacing w:val="-2"/>
                <w:kern w:val="2"/>
                <w:szCs w:val="20"/>
              </w:rPr>
              <w:t>=L</w:t>
            </w:r>
            <w:r>
              <w:rPr>
                <w:rFonts w:hint="default" w:ascii="Times New Roman" w:hAnsi="Times New Roman" w:cs="Times New Roman"/>
                <w:snapToGrid w:val="0"/>
                <w:color w:val="auto"/>
                <w:spacing w:val="-2"/>
                <w:kern w:val="2"/>
                <w:szCs w:val="20"/>
                <w:vertAlign w:val="subscript"/>
              </w:rPr>
              <w:t>Aref（r0）</w:t>
            </w:r>
            <w:r>
              <w:rPr>
                <w:rFonts w:hint="default" w:ascii="Times New Roman" w:hAnsi="Times New Roman" w:cs="Times New Roman"/>
                <w:snapToGrid w:val="0"/>
                <w:color w:val="auto"/>
                <w:spacing w:val="-2"/>
                <w:kern w:val="2"/>
                <w:szCs w:val="20"/>
              </w:rPr>
              <w:t>+D</w:t>
            </w:r>
            <w:r>
              <w:rPr>
                <w:rFonts w:hint="default" w:ascii="Times New Roman" w:hAnsi="Times New Roman" w:cs="Times New Roman"/>
                <w:snapToGrid w:val="0"/>
                <w:color w:val="auto"/>
                <w:spacing w:val="-2"/>
                <w:kern w:val="2"/>
                <w:szCs w:val="20"/>
                <w:vertAlign w:val="subscript"/>
              </w:rPr>
              <w:t>c</w:t>
            </w:r>
            <w:r>
              <w:rPr>
                <w:rFonts w:hint="default" w:ascii="Times New Roman" w:hAnsi="Times New Roman" w:cs="Times New Roman"/>
                <w:snapToGrid w:val="0"/>
                <w:color w:val="auto"/>
                <w:spacing w:val="-2"/>
                <w:kern w:val="2"/>
                <w:szCs w:val="20"/>
              </w:rPr>
              <w:t>-（A</w:t>
            </w:r>
            <w:r>
              <w:rPr>
                <w:rFonts w:hint="default" w:ascii="Times New Roman" w:hAnsi="Times New Roman" w:cs="Times New Roman"/>
                <w:snapToGrid w:val="0"/>
                <w:color w:val="auto"/>
                <w:spacing w:val="-2"/>
                <w:kern w:val="2"/>
                <w:szCs w:val="20"/>
                <w:vertAlign w:val="subscript"/>
              </w:rPr>
              <w:t>div</w:t>
            </w:r>
            <w:r>
              <w:rPr>
                <w:rFonts w:hint="default" w:ascii="Times New Roman" w:hAnsi="Times New Roman" w:cs="Times New Roman"/>
                <w:snapToGrid w:val="0"/>
                <w:color w:val="auto"/>
                <w:spacing w:val="-2"/>
                <w:kern w:val="2"/>
                <w:szCs w:val="20"/>
              </w:rPr>
              <w:t>+A</w:t>
            </w:r>
            <w:r>
              <w:rPr>
                <w:rFonts w:hint="default" w:ascii="Times New Roman" w:hAnsi="Times New Roman" w:cs="Times New Roman"/>
                <w:snapToGrid w:val="0"/>
                <w:color w:val="auto"/>
                <w:spacing w:val="-2"/>
                <w:kern w:val="2"/>
                <w:szCs w:val="20"/>
                <w:vertAlign w:val="subscript"/>
              </w:rPr>
              <w:t>bar</w:t>
            </w:r>
            <w:r>
              <w:rPr>
                <w:rFonts w:hint="default" w:ascii="Times New Roman" w:hAnsi="Times New Roman" w:cs="Times New Roman"/>
                <w:snapToGrid w:val="0"/>
                <w:color w:val="auto"/>
                <w:spacing w:val="-2"/>
                <w:kern w:val="2"/>
                <w:szCs w:val="20"/>
              </w:rPr>
              <w:t>+A</w:t>
            </w:r>
            <w:r>
              <w:rPr>
                <w:rFonts w:hint="default" w:ascii="Times New Roman" w:hAnsi="Times New Roman" w:cs="Times New Roman"/>
                <w:snapToGrid w:val="0"/>
                <w:color w:val="auto"/>
                <w:spacing w:val="-2"/>
                <w:kern w:val="2"/>
                <w:szCs w:val="20"/>
                <w:vertAlign w:val="subscript"/>
              </w:rPr>
              <w:t>atm</w:t>
            </w:r>
            <w:r>
              <w:rPr>
                <w:rFonts w:hint="default" w:ascii="Times New Roman" w:hAnsi="Times New Roman" w:cs="Times New Roman"/>
                <w:snapToGrid w:val="0"/>
                <w:color w:val="auto"/>
                <w:spacing w:val="-2"/>
                <w:kern w:val="2"/>
                <w:szCs w:val="20"/>
              </w:rPr>
              <w:t>+A</w:t>
            </w:r>
            <w:r>
              <w:rPr>
                <w:rFonts w:hint="default" w:ascii="Times New Roman" w:hAnsi="Times New Roman" w:cs="Times New Roman"/>
                <w:snapToGrid w:val="0"/>
                <w:color w:val="auto"/>
                <w:spacing w:val="-2"/>
                <w:kern w:val="2"/>
                <w:szCs w:val="20"/>
                <w:vertAlign w:val="subscript"/>
              </w:rPr>
              <w:t>gr</w:t>
            </w:r>
            <w:r>
              <w:rPr>
                <w:rFonts w:hint="default" w:ascii="Times New Roman" w:hAnsi="Times New Roman" w:cs="Times New Roman"/>
                <w:snapToGrid w:val="0"/>
                <w:color w:val="auto"/>
                <w:spacing w:val="-2"/>
                <w:kern w:val="2"/>
                <w:szCs w:val="20"/>
              </w:rPr>
              <w:t>+A</w:t>
            </w:r>
            <w:r>
              <w:rPr>
                <w:rFonts w:hint="default" w:ascii="Times New Roman" w:hAnsi="Times New Roman" w:cs="Times New Roman"/>
                <w:snapToGrid w:val="0"/>
                <w:color w:val="auto"/>
                <w:spacing w:val="-2"/>
                <w:kern w:val="2"/>
                <w:szCs w:val="20"/>
                <w:vertAlign w:val="subscript"/>
              </w:rPr>
              <w:t>misc</w:t>
            </w:r>
            <w:r>
              <w:rPr>
                <w:rFonts w:hint="default" w:ascii="Times New Roman" w:hAnsi="Times New Roman" w:cs="Times New Roman"/>
                <w:snapToGrid w:val="0"/>
                <w:color w:val="auto"/>
                <w:spacing w:val="-2"/>
                <w:kern w:val="2"/>
                <w:szCs w:val="20"/>
              </w:rPr>
              <w:t>）</w:t>
            </w:r>
            <w:r>
              <w:rPr>
                <w:rFonts w:hint="default" w:ascii="Times New Roman" w:hAnsi="Times New Roman" w:cs="Times New Roman"/>
                <w:color w:val="auto"/>
                <w:spacing w:val="-2"/>
                <w:kern w:val="2"/>
                <w:szCs w:val="20"/>
              </w:rPr>
              <w:t>（式5）</w:t>
            </w:r>
          </w:p>
          <w:p w14:paraId="6965E604">
            <w:pPr>
              <w:keepNext w:val="0"/>
              <w:keepLines w:val="0"/>
              <w:widowControl w:val="0"/>
              <w:suppressLineNumbers w:val="0"/>
              <w:adjustRightInd w:val="0"/>
              <w:snapToGrid w:val="0"/>
              <w:spacing w:before="0" w:beforeAutospacing="0" w:after="0" w:afterAutospacing="0" w:line="360" w:lineRule="auto"/>
              <w:ind w:left="0" w:right="0" w:firstLine="472" w:firstLineChars="200"/>
              <w:rPr>
                <w:rFonts w:hint="default" w:ascii="Times New Roman" w:hAnsi="Times New Roman" w:cs="Times New Roman"/>
                <w:snapToGrid w:val="0"/>
                <w:color w:val="auto"/>
                <w:spacing w:val="-2"/>
                <w:kern w:val="2"/>
                <w:szCs w:val="20"/>
              </w:rPr>
            </w:pPr>
            <w:r>
              <w:rPr>
                <w:rFonts w:hint="default" w:ascii="Times New Roman" w:hAnsi="Times New Roman" w:cs="Times New Roman"/>
                <w:snapToGrid w:val="0"/>
                <w:color w:val="auto"/>
                <w:spacing w:val="-2"/>
                <w:kern w:val="2"/>
                <w:szCs w:val="20"/>
              </w:rPr>
              <w:t>式中：</w:t>
            </w:r>
            <w:r>
              <w:rPr>
                <w:rFonts w:hint="default" w:ascii="Times New Roman" w:hAnsi="Times New Roman" w:cs="Times New Roman"/>
                <w:i/>
                <w:snapToGrid w:val="0"/>
                <w:color w:val="auto"/>
                <w:spacing w:val="-2"/>
                <w:kern w:val="2"/>
                <w:szCs w:val="20"/>
              </w:rPr>
              <w:t>L</w:t>
            </w:r>
            <w:r>
              <w:rPr>
                <w:rFonts w:hint="default" w:ascii="Times New Roman" w:hAnsi="Times New Roman" w:cs="Times New Roman"/>
                <w:i/>
                <w:snapToGrid w:val="0"/>
                <w:color w:val="auto"/>
                <w:spacing w:val="-2"/>
                <w:kern w:val="2"/>
                <w:szCs w:val="20"/>
                <w:vertAlign w:val="subscript"/>
              </w:rPr>
              <w:t>A（r）</w:t>
            </w:r>
            <w:r>
              <w:rPr>
                <w:rFonts w:hint="default" w:ascii="Times New Roman" w:hAnsi="Times New Roman" w:cs="Times New Roman"/>
                <w:snapToGrid w:val="0"/>
                <w:color w:val="auto"/>
                <w:spacing w:val="-2"/>
                <w:kern w:val="2"/>
                <w:szCs w:val="20"/>
              </w:rPr>
              <w:t>——距离声源r处A声级，dB（A）；</w:t>
            </w:r>
          </w:p>
          <w:p w14:paraId="796B9E4B">
            <w:pPr>
              <w:keepNext w:val="0"/>
              <w:keepLines w:val="0"/>
              <w:widowControl w:val="0"/>
              <w:suppressLineNumbers w:val="0"/>
              <w:adjustRightInd w:val="0"/>
              <w:snapToGrid w:val="0"/>
              <w:spacing w:before="0" w:beforeAutospacing="0" w:after="0" w:afterAutospacing="0" w:line="360" w:lineRule="auto"/>
              <w:ind w:left="0" w:right="0" w:firstLine="1180" w:firstLineChars="500"/>
              <w:rPr>
                <w:rFonts w:hint="default" w:ascii="Times New Roman" w:hAnsi="Times New Roman" w:cs="Times New Roman"/>
                <w:snapToGrid w:val="0"/>
                <w:color w:val="auto"/>
                <w:spacing w:val="-2"/>
                <w:kern w:val="2"/>
                <w:szCs w:val="20"/>
              </w:rPr>
            </w:pPr>
            <w:r>
              <w:rPr>
                <w:rFonts w:hint="default" w:ascii="Times New Roman" w:hAnsi="Times New Roman" w:cs="Times New Roman"/>
                <w:snapToGrid w:val="0"/>
                <w:color w:val="auto"/>
                <w:spacing w:val="-2"/>
                <w:kern w:val="2"/>
                <w:szCs w:val="20"/>
              </w:rPr>
              <w:t>D</w:t>
            </w:r>
            <w:r>
              <w:rPr>
                <w:rFonts w:hint="default" w:ascii="Times New Roman" w:hAnsi="Times New Roman" w:cs="Times New Roman"/>
                <w:snapToGrid w:val="0"/>
                <w:color w:val="auto"/>
                <w:spacing w:val="-2"/>
                <w:kern w:val="2"/>
                <w:szCs w:val="20"/>
                <w:vertAlign w:val="subscript"/>
              </w:rPr>
              <w:t>c</w:t>
            </w:r>
            <w:r>
              <w:rPr>
                <w:rFonts w:hint="default" w:ascii="Times New Roman" w:hAnsi="Times New Roman" w:cs="Times New Roman"/>
                <w:snapToGrid w:val="0"/>
                <w:color w:val="auto"/>
                <w:spacing w:val="-2"/>
                <w:kern w:val="2"/>
                <w:szCs w:val="20"/>
              </w:rPr>
              <w:t>——指向性校正，dB（A），取0；</w:t>
            </w:r>
          </w:p>
          <w:p w14:paraId="352F866F">
            <w:pPr>
              <w:keepNext w:val="0"/>
              <w:keepLines w:val="0"/>
              <w:widowControl w:val="0"/>
              <w:suppressLineNumbers w:val="0"/>
              <w:adjustRightInd w:val="0"/>
              <w:snapToGrid w:val="0"/>
              <w:spacing w:before="0" w:beforeAutospacing="0" w:after="0" w:afterAutospacing="0" w:line="360" w:lineRule="auto"/>
              <w:ind w:left="0" w:right="0" w:firstLine="1180" w:firstLineChars="500"/>
              <w:rPr>
                <w:rFonts w:hint="default" w:ascii="Times New Roman" w:hAnsi="Times New Roman" w:cs="Times New Roman"/>
                <w:snapToGrid w:val="0"/>
                <w:color w:val="auto"/>
                <w:spacing w:val="-2"/>
                <w:kern w:val="2"/>
                <w:szCs w:val="20"/>
              </w:rPr>
            </w:pPr>
            <w:r>
              <w:rPr>
                <w:rFonts w:hint="default" w:ascii="Times New Roman" w:hAnsi="Times New Roman" w:cs="Times New Roman"/>
                <w:i/>
                <w:snapToGrid w:val="0"/>
                <w:color w:val="auto"/>
                <w:spacing w:val="-2"/>
                <w:kern w:val="2"/>
                <w:szCs w:val="20"/>
              </w:rPr>
              <w:t>A</w:t>
            </w:r>
            <w:r>
              <w:rPr>
                <w:rFonts w:hint="default" w:ascii="Times New Roman" w:hAnsi="Times New Roman" w:cs="Times New Roman"/>
                <w:i/>
                <w:snapToGrid w:val="0"/>
                <w:color w:val="auto"/>
                <w:spacing w:val="-2"/>
                <w:kern w:val="2"/>
                <w:szCs w:val="20"/>
                <w:vertAlign w:val="subscript"/>
              </w:rPr>
              <w:t>Aref（r0）</w:t>
            </w:r>
            <w:r>
              <w:rPr>
                <w:rFonts w:hint="default" w:ascii="Times New Roman" w:hAnsi="Times New Roman" w:cs="Times New Roman"/>
                <w:snapToGrid w:val="0"/>
                <w:color w:val="auto"/>
                <w:spacing w:val="-2"/>
                <w:kern w:val="2"/>
                <w:szCs w:val="20"/>
              </w:rPr>
              <w:t>——参考位置r</w:t>
            </w:r>
            <w:r>
              <w:rPr>
                <w:rFonts w:hint="default" w:ascii="Times New Roman" w:hAnsi="Times New Roman" w:cs="Times New Roman"/>
                <w:snapToGrid w:val="0"/>
                <w:color w:val="auto"/>
                <w:spacing w:val="-2"/>
                <w:kern w:val="2"/>
                <w:szCs w:val="20"/>
                <w:vertAlign w:val="subscript"/>
              </w:rPr>
              <w:t>0</w:t>
            </w:r>
            <w:r>
              <w:rPr>
                <w:rFonts w:hint="default" w:ascii="Times New Roman" w:hAnsi="Times New Roman" w:cs="Times New Roman"/>
                <w:snapToGrid w:val="0"/>
                <w:color w:val="auto"/>
                <w:spacing w:val="-2"/>
                <w:kern w:val="2"/>
                <w:szCs w:val="20"/>
              </w:rPr>
              <w:t>处A声级，dB（A）；</w:t>
            </w:r>
          </w:p>
          <w:p w14:paraId="478FD9B0">
            <w:pPr>
              <w:keepNext w:val="0"/>
              <w:keepLines w:val="0"/>
              <w:widowControl w:val="0"/>
              <w:suppressLineNumbers w:val="0"/>
              <w:adjustRightInd w:val="0"/>
              <w:snapToGrid w:val="0"/>
              <w:spacing w:before="0" w:beforeAutospacing="0" w:after="0" w:afterAutospacing="0" w:line="360" w:lineRule="auto"/>
              <w:ind w:left="0" w:right="0" w:firstLine="1180" w:firstLineChars="500"/>
              <w:rPr>
                <w:rFonts w:hint="default" w:ascii="Times New Roman" w:hAnsi="Times New Roman" w:cs="Times New Roman"/>
                <w:snapToGrid w:val="0"/>
                <w:color w:val="auto"/>
                <w:spacing w:val="-2"/>
                <w:kern w:val="2"/>
                <w:szCs w:val="20"/>
              </w:rPr>
            </w:pPr>
            <w:r>
              <w:rPr>
                <w:rFonts w:hint="default" w:ascii="Times New Roman" w:hAnsi="Times New Roman" w:cs="Times New Roman"/>
                <w:i/>
                <w:snapToGrid w:val="0"/>
                <w:color w:val="auto"/>
                <w:spacing w:val="-2"/>
                <w:kern w:val="2"/>
                <w:szCs w:val="20"/>
              </w:rPr>
              <w:t>A</w:t>
            </w:r>
            <w:r>
              <w:rPr>
                <w:rFonts w:hint="default" w:ascii="Times New Roman" w:hAnsi="Times New Roman" w:cs="Times New Roman"/>
                <w:i/>
                <w:snapToGrid w:val="0"/>
                <w:color w:val="auto"/>
                <w:spacing w:val="-2"/>
                <w:kern w:val="2"/>
                <w:szCs w:val="20"/>
                <w:vertAlign w:val="subscript"/>
              </w:rPr>
              <w:t>div</w:t>
            </w:r>
            <w:r>
              <w:rPr>
                <w:rFonts w:hint="default" w:ascii="Times New Roman" w:hAnsi="Times New Roman" w:cs="Times New Roman"/>
                <w:snapToGrid w:val="0"/>
                <w:color w:val="auto"/>
                <w:spacing w:val="-2"/>
                <w:kern w:val="2"/>
                <w:szCs w:val="20"/>
              </w:rPr>
              <w:t>——声波几何发散引起的A声级衰减量，dB（A）；</w:t>
            </w:r>
          </w:p>
          <w:p w14:paraId="74F20CF0">
            <w:pPr>
              <w:keepNext w:val="0"/>
              <w:keepLines w:val="0"/>
              <w:widowControl w:val="0"/>
              <w:suppressLineNumbers w:val="0"/>
              <w:adjustRightInd w:val="0"/>
              <w:snapToGrid w:val="0"/>
              <w:spacing w:before="0" w:beforeAutospacing="0" w:after="0" w:afterAutospacing="0" w:line="360" w:lineRule="auto"/>
              <w:ind w:left="0" w:right="0" w:firstLine="1180" w:firstLineChars="500"/>
              <w:rPr>
                <w:rFonts w:hint="default" w:ascii="Times New Roman" w:hAnsi="Times New Roman" w:cs="Times New Roman"/>
                <w:snapToGrid w:val="0"/>
                <w:color w:val="auto"/>
                <w:spacing w:val="-2"/>
                <w:kern w:val="2"/>
                <w:szCs w:val="20"/>
              </w:rPr>
            </w:pPr>
            <w:r>
              <w:rPr>
                <w:rFonts w:hint="default" w:ascii="Times New Roman" w:hAnsi="Times New Roman" w:cs="Times New Roman"/>
                <w:i/>
                <w:snapToGrid w:val="0"/>
                <w:color w:val="auto"/>
                <w:spacing w:val="-2"/>
                <w:kern w:val="2"/>
                <w:szCs w:val="20"/>
              </w:rPr>
              <w:t>A</w:t>
            </w:r>
            <w:r>
              <w:rPr>
                <w:rFonts w:hint="default" w:ascii="Times New Roman" w:hAnsi="Times New Roman" w:cs="Times New Roman"/>
                <w:i/>
                <w:snapToGrid w:val="0"/>
                <w:color w:val="auto"/>
                <w:spacing w:val="-2"/>
                <w:kern w:val="2"/>
                <w:szCs w:val="20"/>
                <w:vertAlign w:val="subscript"/>
              </w:rPr>
              <w:t>bar</w:t>
            </w:r>
            <w:r>
              <w:rPr>
                <w:rFonts w:hint="default" w:ascii="Times New Roman" w:hAnsi="Times New Roman" w:cs="Times New Roman"/>
                <w:snapToGrid w:val="0"/>
                <w:color w:val="auto"/>
                <w:spacing w:val="-2"/>
                <w:kern w:val="2"/>
                <w:szCs w:val="20"/>
              </w:rPr>
              <w:t>——遮挡物引起的A声级衰减量，dB（A）；</w:t>
            </w:r>
          </w:p>
          <w:p w14:paraId="5A1079BC">
            <w:pPr>
              <w:keepNext w:val="0"/>
              <w:keepLines w:val="0"/>
              <w:widowControl w:val="0"/>
              <w:suppressLineNumbers w:val="0"/>
              <w:adjustRightInd w:val="0"/>
              <w:snapToGrid w:val="0"/>
              <w:spacing w:before="0" w:beforeAutospacing="0" w:after="0" w:afterAutospacing="0" w:line="360" w:lineRule="auto"/>
              <w:ind w:left="0" w:right="0" w:firstLine="1180" w:firstLineChars="500"/>
              <w:rPr>
                <w:rFonts w:hint="default" w:ascii="Times New Roman" w:hAnsi="Times New Roman" w:cs="Times New Roman"/>
                <w:snapToGrid w:val="0"/>
                <w:color w:val="auto"/>
                <w:spacing w:val="-2"/>
                <w:kern w:val="2"/>
                <w:szCs w:val="20"/>
              </w:rPr>
            </w:pPr>
            <w:r>
              <w:rPr>
                <w:rFonts w:hint="default" w:ascii="Times New Roman" w:hAnsi="Times New Roman" w:cs="Times New Roman"/>
                <w:i/>
                <w:snapToGrid w:val="0"/>
                <w:color w:val="auto"/>
                <w:spacing w:val="-2"/>
                <w:kern w:val="2"/>
                <w:szCs w:val="20"/>
              </w:rPr>
              <w:t>A</w:t>
            </w:r>
            <w:r>
              <w:rPr>
                <w:rFonts w:hint="default" w:ascii="Times New Roman" w:hAnsi="Times New Roman" w:cs="Times New Roman"/>
                <w:i/>
                <w:snapToGrid w:val="0"/>
                <w:color w:val="auto"/>
                <w:spacing w:val="-2"/>
                <w:kern w:val="2"/>
                <w:szCs w:val="20"/>
                <w:vertAlign w:val="subscript"/>
              </w:rPr>
              <w:t>atm</w:t>
            </w:r>
            <w:r>
              <w:rPr>
                <w:rFonts w:hint="default" w:ascii="Times New Roman" w:hAnsi="Times New Roman" w:cs="Times New Roman"/>
                <w:snapToGrid w:val="0"/>
                <w:color w:val="auto"/>
                <w:spacing w:val="-2"/>
                <w:kern w:val="2"/>
                <w:szCs w:val="20"/>
              </w:rPr>
              <w:t>——空气吸收引起的A声级衰减量，dB（A）；</w:t>
            </w:r>
          </w:p>
          <w:p w14:paraId="0A7BCCAB">
            <w:pPr>
              <w:keepNext w:val="0"/>
              <w:keepLines w:val="0"/>
              <w:widowControl w:val="0"/>
              <w:suppressLineNumbers w:val="0"/>
              <w:adjustRightInd w:val="0"/>
              <w:snapToGrid w:val="0"/>
              <w:spacing w:before="0" w:beforeAutospacing="0" w:after="0" w:afterAutospacing="0" w:line="360" w:lineRule="auto"/>
              <w:ind w:left="0" w:right="0" w:firstLine="1180" w:firstLineChars="500"/>
              <w:rPr>
                <w:rFonts w:hint="default" w:ascii="Times New Roman" w:hAnsi="Times New Roman" w:cs="Times New Roman"/>
                <w:snapToGrid w:val="0"/>
                <w:color w:val="auto"/>
                <w:spacing w:val="-2"/>
                <w:kern w:val="2"/>
                <w:szCs w:val="20"/>
              </w:rPr>
            </w:pPr>
            <w:r>
              <w:rPr>
                <w:rFonts w:hint="default" w:ascii="Times New Roman" w:hAnsi="Times New Roman" w:cs="Times New Roman"/>
                <w:i/>
                <w:snapToGrid w:val="0"/>
                <w:color w:val="auto"/>
                <w:spacing w:val="-2"/>
                <w:kern w:val="2"/>
                <w:szCs w:val="20"/>
              </w:rPr>
              <w:t>A</w:t>
            </w:r>
            <w:r>
              <w:rPr>
                <w:rFonts w:hint="default" w:ascii="Times New Roman" w:hAnsi="Times New Roman" w:cs="Times New Roman"/>
                <w:i/>
                <w:snapToGrid w:val="0"/>
                <w:color w:val="auto"/>
                <w:spacing w:val="-2"/>
                <w:kern w:val="2"/>
                <w:szCs w:val="20"/>
                <w:vertAlign w:val="subscript"/>
              </w:rPr>
              <w:t>gr</w:t>
            </w:r>
            <w:r>
              <w:rPr>
                <w:rFonts w:hint="default" w:ascii="Times New Roman" w:hAnsi="Times New Roman" w:cs="Times New Roman"/>
                <w:snapToGrid w:val="0"/>
                <w:color w:val="auto"/>
                <w:spacing w:val="-2"/>
                <w:kern w:val="2"/>
                <w:szCs w:val="20"/>
              </w:rPr>
              <w:t>——地面效应衰减量，dB（A）。</w:t>
            </w:r>
          </w:p>
          <w:p w14:paraId="06A95D4D">
            <w:pPr>
              <w:keepNext w:val="0"/>
              <w:keepLines w:val="0"/>
              <w:widowControl w:val="0"/>
              <w:suppressLineNumbers w:val="0"/>
              <w:adjustRightInd w:val="0"/>
              <w:snapToGrid w:val="0"/>
              <w:spacing w:before="0" w:beforeAutospacing="0" w:after="0" w:afterAutospacing="0" w:line="360" w:lineRule="auto"/>
              <w:ind w:left="0" w:right="0" w:firstLine="1180" w:firstLineChars="500"/>
              <w:rPr>
                <w:rFonts w:hint="default" w:ascii="Times New Roman" w:hAnsi="Times New Roman" w:cs="Times New Roman"/>
                <w:snapToGrid w:val="0"/>
                <w:color w:val="auto"/>
                <w:spacing w:val="-2"/>
                <w:kern w:val="2"/>
                <w:szCs w:val="20"/>
              </w:rPr>
            </w:pPr>
            <w:r>
              <w:rPr>
                <w:rFonts w:hint="default" w:ascii="Times New Roman" w:hAnsi="Times New Roman" w:cs="Times New Roman"/>
                <w:snapToGrid w:val="0"/>
                <w:color w:val="auto"/>
                <w:spacing w:val="-2"/>
                <w:kern w:val="2"/>
                <w:szCs w:val="20"/>
              </w:rPr>
              <w:t>A</w:t>
            </w:r>
            <w:r>
              <w:rPr>
                <w:rFonts w:hint="default" w:ascii="Times New Roman" w:hAnsi="Times New Roman" w:cs="Times New Roman"/>
                <w:snapToGrid w:val="0"/>
                <w:color w:val="auto"/>
                <w:spacing w:val="-2"/>
                <w:kern w:val="2"/>
                <w:szCs w:val="20"/>
                <w:vertAlign w:val="subscript"/>
              </w:rPr>
              <w:t>misc</w:t>
            </w:r>
            <w:r>
              <w:rPr>
                <w:rFonts w:hint="default" w:ascii="Times New Roman" w:hAnsi="Times New Roman" w:cs="Times New Roman"/>
                <w:snapToGrid w:val="0"/>
                <w:color w:val="auto"/>
                <w:spacing w:val="-2"/>
                <w:kern w:val="2"/>
                <w:szCs w:val="20"/>
              </w:rPr>
              <w:t>——</w:t>
            </w:r>
            <w:r>
              <w:rPr>
                <w:rFonts w:hint="eastAsia" w:ascii="Times New Roman" w:hAnsi="Times New Roman" w:cs="Times New Roman"/>
                <w:snapToGrid w:val="0"/>
                <w:color w:val="auto"/>
                <w:spacing w:val="-2"/>
                <w:kern w:val="2"/>
                <w:szCs w:val="20"/>
              </w:rPr>
              <w:t>其他</w:t>
            </w:r>
            <w:r>
              <w:rPr>
                <w:rFonts w:hint="default" w:ascii="Times New Roman" w:hAnsi="Times New Roman" w:cs="Times New Roman"/>
                <w:snapToGrid w:val="0"/>
                <w:color w:val="auto"/>
                <w:spacing w:val="-2"/>
                <w:kern w:val="2"/>
                <w:szCs w:val="20"/>
              </w:rPr>
              <w:t>方面引起的衰减量，dB（A）</w:t>
            </w:r>
          </w:p>
          <w:p w14:paraId="328A20E3">
            <w:pPr>
              <w:keepNext w:val="0"/>
              <w:keepLines w:val="0"/>
              <w:widowControl w:val="0"/>
              <w:suppressLineNumbers w:val="0"/>
              <w:adjustRightInd w:val="0"/>
              <w:snapToGrid w:val="0"/>
              <w:spacing w:before="0" w:beforeAutospacing="0" w:after="0" w:afterAutospacing="0" w:line="360" w:lineRule="auto"/>
              <w:ind w:left="0" w:right="0" w:firstLine="472" w:firstLineChars="200"/>
              <w:jc w:val="both"/>
              <w:rPr>
                <w:rFonts w:hint="default" w:ascii="Times New Roman" w:hAnsi="Times New Roman" w:cs="Times New Roman"/>
                <w:snapToGrid w:val="0"/>
                <w:color w:val="auto"/>
                <w:spacing w:val="-2"/>
                <w:kern w:val="2"/>
                <w:szCs w:val="20"/>
              </w:rPr>
            </w:pPr>
            <w:r>
              <w:rPr>
                <w:rFonts w:hint="default" w:ascii="Times New Roman" w:hAnsi="Times New Roman" w:cs="Times New Roman"/>
                <w:snapToGrid w:val="0"/>
                <w:color w:val="auto"/>
                <w:spacing w:val="-2"/>
                <w:kern w:val="2"/>
                <w:szCs w:val="20"/>
              </w:rPr>
              <w:t>根据上述公式，对主要生产设备噪声值进行叠加计算，预测项目实施后对厂界声环境的影响。</w:t>
            </w:r>
          </w:p>
          <w:p w14:paraId="3DB8CA62">
            <w:pPr>
              <w:keepNext w:val="0"/>
              <w:keepLines w:val="0"/>
              <w:widowControl w:val="0"/>
              <w:suppressLineNumbers w:val="0"/>
              <w:spacing w:before="0" w:beforeAutospacing="0" w:after="0" w:afterAutospacing="0" w:line="360" w:lineRule="auto"/>
              <w:ind w:left="0" w:right="0" w:firstLine="472" w:firstLineChars="200"/>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各预测点声压级按下列公式进行叠加：</w:t>
            </w:r>
          </w:p>
          <w:p w14:paraId="45A5C283">
            <w:pPr>
              <w:keepNext w:val="0"/>
              <w:keepLines w:val="0"/>
              <w:widowControl w:val="0"/>
              <w:suppressLineNumbers w:val="0"/>
              <w:spacing w:before="0" w:beforeAutospacing="0" w:after="0" w:afterAutospacing="0" w:line="360" w:lineRule="auto"/>
              <w:ind w:left="0" w:right="0" w:firstLine="392" w:firstLineChars="200"/>
              <w:jc w:val="center"/>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 w:val="20"/>
                <w:szCs w:val="20"/>
              </w:rPr>
              <mc:AlternateContent>
                <mc:Choice Requires="wps">
                  <w:drawing>
                    <wp:anchor distT="0" distB="0" distL="114300" distR="114300" simplePos="0" relativeHeight="251661312" behindDoc="0" locked="0" layoutInCell="1" allowOverlap="1">
                      <wp:simplePos x="0" y="0"/>
                      <wp:positionH relativeFrom="column">
                        <wp:posOffset>3513455</wp:posOffset>
                      </wp:positionH>
                      <wp:positionV relativeFrom="paragraph">
                        <wp:posOffset>67310</wp:posOffset>
                      </wp:positionV>
                      <wp:extent cx="897890" cy="322580"/>
                      <wp:effectExtent l="0" t="0" r="0" b="0"/>
                      <wp:wrapNone/>
                      <wp:docPr id="247" name="文本框 1435"/>
                      <wp:cNvGraphicFramePr/>
                      <a:graphic xmlns:a="http://schemas.openxmlformats.org/drawingml/2006/main">
                        <a:graphicData uri="http://schemas.microsoft.com/office/word/2010/wordprocessingShape">
                          <wps:wsp>
                            <wps:cNvSpPr txBox="1">
                              <a:spLocks noChangeArrowheads="1"/>
                            </wps:cNvSpPr>
                            <wps:spPr bwMode="auto">
                              <a:xfrm>
                                <a:off x="0" y="0"/>
                                <a:ext cx="897890" cy="322580"/>
                              </a:xfrm>
                              <a:prstGeom prst="rect">
                                <a:avLst/>
                              </a:prstGeom>
                              <a:noFill/>
                              <a:ln>
                                <a:noFill/>
                              </a:ln>
                              <a:effectLst/>
                            </wps:spPr>
                            <wps:txbx>
                              <w:txbxContent>
                                <w:p w14:paraId="09D61257">
                                  <w:r>
                                    <w:rPr>
                                      <w:rFonts w:hint="eastAsia"/>
                                    </w:rPr>
                                    <w:t>（式</w:t>
                                  </w:r>
                                  <w:r>
                                    <w:t>6</w:t>
                                  </w:r>
                                  <w:r>
                                    <w:rPr>
                                      <w:rFonts w:hint="eastAsia"/>
                                    </w:rPr>
                                    <w:t>）</w:t>
                                  </w:r>
                                </w:p>
                              </w:txbxContent>
                            </wps:txbx>
                            <wps:bodyPr rot="0" vert="horz" wrap="square" lIns="91440" tIns="45720" rIns="91440" bIns="45720" anchor="t" anchorCtr="0" upright="1">
                              <a:noAutofit/>
                            </wps:bodyPr>
                          </wps:wsp>
                        </a:graphicData>
                      </a:graphic>
                    </wp:anchor>
                  </w:drawing>
                </mc:Choice>
                <mc:Fallback>
                  <w:pict>
                    <v:shape id="文本框 1435" o:spid="_x0000_s1026" o:spt="202" type="#_x0000_t202" style="position:absolute;left:0pt;margin-left:276.65pt;margin-top:5.3pt;height:25.4pt;width:70.7pt;z-index:251661312;mso-width-relative:page;mso-height-relative:page;" filled="f" stroked="f" coordsize="21600,21600" o:gfxdata="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XaU/A9cA&#10;AAAJAQAADwAAAAAAAAABACAAAAAiAAAAZHJzL2Rvd25yZXYueG1sUEsBAhQAFAAAAAgAh07iQNLp&#10;S+YgAgAAJwQAAA4AAAAAAAAAAQAgAAAAJgEAAGRycy9lMm9Eb2MueG1sUEsFBgAAAAAGAAYAWQEA&#10;ALgFAAAAAA==&#10;">
                      <v:fill on="f" focussize="0,0"/>
                      <v:stroke on="f"/>
                      <v:imagedata o:title=""/>
                      <o:lock v:ext="edit" aspectratio="f"/>
                      <v:textbox>
                        <w:txbxContent>
                          <w:p w14:paraId="09D61257">
                            <w:r>
                              <w:rPr>
                                <w:rFonts w:hint="eastAsia"/>
                              </w:rPr>
                              <w:t>（式</w:t>
                            </w:r>
                            <w:r>
                              <w:t>6</w:t>
                            </w:r>
                            <w:r>
                              <w:rPr>
                                <w:rFonts w:hint="eastAsia"/>
                              </w:rPr>
                              <w:t>）</w:t>
                            </w:r>
                          </w:p>
                        </w:txbxContent>
                      </v:textbox>
                    </v:shape>
                  </w:pict>
                </mc:Fallback>
              </mc:AlternateContent>
            </w:r>
            <w:r>
              <w:rPr>
                <w:rFonts w:hint="default" w:ascii="Times New Roman" w:hAnsi="Times New Roman" w:cs="Times New Roman"/>
                <w:color w:val="auto"/>
                <w:spacing w:val="-2"/>
                <w:kern w:val="2"/>
                <w:sz w:val="20"/>
                <w:szCs w:val="20"/>
              </w:rPr>
              <w:drawing>
                <wp:anchor distT="0" distB="0" distL="114300" distR="114300" simplePos="0" relativeHeight="251660288" behindDoc="0" locked="0" layoutInCell="1" allowOverlap="1">
                  <wp:simplePos x="0" y="0"/>
                  <wp:positionH relativeFrom="column">
                    <wp:posOffset>926465</wp:posOffset>
                  </wp:positionH>
                  <wp:positionV relativeFrom="paragraph">
                    <wp:posOffset>635</wp:posOffset>
                  </wp:positionV>
                  <wp:extent cx="2083435" cy="468630"/>
                  <wp:effectExtent l="0" t="0" r="12065" b="7620"/>
                  <wp:wrapNone/>
                  <wp:docPr id="2" name="对象 1434" descr="C:/Users/Administrator/Desktop/公示.jpg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对象 1434" descr="C:/Users/Administrator/Desktop/公示.jpg公示"/>
                          <pic:cNvPicPr>
                            <a:picLocks noChangeAspect="1"/>
                          </pic:cNvPicPr>
                        </pic:nvPicPr>
                        <pic:blipFill>
                          <a:blip r:embed="rId17"/>
                          <a:srcRect l="339" r="339"/>
                          <a:stretch>
                            <a:fillRect/>
                          </a:stretch>
                        </pic:blipFill>
                        <pic:spPr>
                          <a:xfrm>
                            <a:off x="0" y="0"/>
                            <a:ext cx="2083435" cy="468630"/>
                          </a:xfrm>
                          <a:prstGeom prst="rect">
                            <a:avLst/>
                          </a:prstGeom>
                          <a:solidFill>
                            <a:srgbClr val="6D6D6D"/>
                          </a:solidFill>
                          <a:ln>
                            <a:noFill/>
                          </a:ln>
                        </pic:spPr>
                      </pic:pic>
                    </a:graphicData>
                  </a:graphic>
                </wp:anchor>
              </w:drawing>
            </w:r>
          </w:p>
          <w:p w14:paraId="0E4FB07F">
            <w:pPr>
              <w:keepNext w:val="0"/>
              <w:keepLines w:val="0"/>
              <w:widowControl w:val="0"/>
              <w:suppressLineNumbers w:val="0"/>
              <w:spacing w:before="0" w:beforeAutospacing="0" w:after="0" w:afterAutospacing="0" w:line="360" w:lineRule="auto"/>
              <w:ind w:left="0" w:right="0" w:firstLine="472" w:firstLineChars="200"/>
              <w:rPr>
                <w:rFonts w:hint="default" w:ascii="Times New Roman" w:hAnsi="Times New Roman" w:cs="Times New Roman"/>
                <w:color w:val="auto"/>
                <w:spacing w:val="-2"/>
                <w:kern w:val="2"/>
                <w:szCs w:val="20"/>
              </w:rPr>
            </w:pPr>
          </w:p>
          <w:p w14:paraId="4A6ABA2D">
            <w:pPr>
              <w:keepNext w:val="0"/>
              <w:keepLines w:val="0"/>
              <w:widowControl w:val="0"/>
              <w:suppressLineNumbers w:val="0"/>
              <w:spacing w:before="0" w:beforeAutospacing="0" w:after="0" w:afterAutospacing="0" w:line="360" w:lineRule="auto"/>
              <w:ind w:left="0" w:right="0" w:firstLine="472" w:firstLineChars="200"/>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式中：L</w:t>
            </w:r>
            <w:r>
              <w:rPr>
                <w:rFonts w:hint="default" w:ascii="Times New Roman" w:hAnsi="Times New Roman" w:cs="Times New Roman"/>
                <w:color w:val="auto"/>
                <w:spacing w:val="-2"/>
                <w:kern w:val="2"/>
                <w:szCs w:val="20"/>
                <w:vertAlign w:val="subscript"/>
              </w:rPr>
              <w:t>总</w:t>
            </w:r>
            <w:r>
              <w:rPr>
                <w:rFonts w:hint="default" w:ascii="Times New Roman" w:hAnsi="Times New Roman" w:cs="Times New Roman"/>
                <w:color w:val="auto"/>
                <w:spacing w:val="-2"/>
                <w:kern w:val="2"/>
                <w:szCs w:val="20"/>
              </w:rPr>
              <w:t>－－预测点总的A声级，dB（A）；</w:t>
            </w:r>
          </w:p>
          <w:p w14:paraId="73EED419">
            <w:pPr>
              <w:keepNext w:val="0"/>
              <w:keepLines w:val="0"/>
              <w:widowControl w:val="0"/>
              <w:suppressLineNumbers w:val="0"/>
              <w:spacing w:before="0" w:beforeAutospacing="0" w:after="0" w:afterAutospacing="0" w:line="360" w:lineRule="auto"/>
              <w:ind w:left="0" w:right="0" w:firstLine="1180" w:firstLineChars="500"/>
              <w:rPr>
                <w:rFonts w:hint="default" w:ascii="Times New Roman" w:hAnsi="Times New Roman" w:cs="Times New Roman"/>
                <w:color w:val="auto"/>
                <w:spacing w:val="-2"/>
                <w:kern w:val="2"/>
                <w:szCs w:val="20"/>
              </w:rPr>
            </w:pPr>
            <w:r>
              <w:rPr>
                <w:rFonts w:hint="default" w:ascii="Times New Roman" w:hAnsi="Times New Roman" w:cs="Times New Roman"/>
                <w:i/>
                <w:color w:val="auto"/>
                <w:spacing w:val="-2"/>
                <w:kern w:val="2"/>
                <w:szCs w:val="20"/>
              </w:rPr>
              <w:t>L</w:t>
            </w:r>
            <w:r>
              <w:rPr>
                <w:rFonts w:hint="default" w:ascii="Times New Roman" w:hAnsi="Times New Roman" w:cs="Times New Roman"/>
                <w:i/>
                <w:color w:val="auto"/>
                <w:spacing w:val="-2"/>
                <w:kern w:val="2"/>
                <w:szCs w:val="20"/>
                <w:vertAlign w:val="subscript"/>
              </w:rPr>
              <w:t>i</w:t>
            </w:r>
            <w:r>
              <w:rPr>
                <w:rFonts w:hint="default" w:ascii="Times New Roman" w:hAnsi="Times New Roman" w:cs="Times New Roman"/>
                <w:color w:val="auto"/>
                <w:spacing w:val="-2"/>
                <w:kern w:val="2"/>
                <w:szCs w:val="20"/>
              </w:rPr>
              <w:t>－－第i个声源到预测点处的声压级，dB（A）；</w:t>
            </w:r>
          </w:p>
          <w:p w14:paraId="751D7142">
            <w:pPr>
              <w:keepNext w:val="0"/>
              <w:keepLines w:val="0"/>
              <w:widowControl w:val="0"/>
              <w:suppressLineNumbers w:val="0"/>
              <w:spacing w:before="0" w:beforeAutospacing="0" w:after="0" w:afterAutospacing="0" w:line="360" w:lineRule="auto"/>
              <w:ind w:left="0" w:right="0" w:firstLine="1180" w:firstLineChars="500"/>
              <w:rPr>
                <w:rFonts w:hint="default" w:ascii="Times New Roman" w:hAnsi="Times New Roman" w:cs="Times New Roman"/>
                <w:color w:val="auto"/>
                <w:spacing w:val="-2"/>
                <w:kern w:val="2"/>
                <w:szCs w:val="20"/>
              </w:rPr>
            </w:pPr>
            <w:r>
              <w:rPr>
                <w:rFonts w:hint="default" w:ascii="Times New Roman" w:hAnsi="Times New Roman" w:cs="Times New Roman"/>
                <w:i/>
                <w:color w:val="auto"/>
                <w:spacing w:val="-2"/>
                <w:kern w:val="2"/>
                <w:szCs w:val="20"/>
              </w:rPr>
              <w:t>L</w:t>
            </w:r>
            <w:r>
              <w:rPr>
                <w:rFonts w:hint="default" w:ascii="Times New Roman" w:hAnsi="Times New Roman" w:cs="Times New Roman"/>
                <w:i/>
                <w:color w:val="auto"/>
                <w:spacing w:val="-2"/>
                <w:kern w:val="2"/>
                <w:szCs w:val="20"/>
                <w:vertAlign w:val="subscript"/>
              </w:rPr>
              <w:t>b</w:t>
            </w:r>
            <w:r>
              <w:rPr>
                <w:rFonts w:hint="default" w:ascii="Times New Roman" w:hAnsi="Times New Roman" w:cs="Times New Roman"/>
                <w:color w:val="auto"/>
                <w:spacing w:val="-2"/>
                <w:kern w:val="2"/>
                <w:szCs w:val="20"/>
              </w:rPr>
              <w:t>－－背景噪声值，dB（A）；</w:t>
            </w:r>
          </w:p>
          <w:p w14:paraId="29B0255B">
            <w:pPr>
              <w:keepNext w:val="0"/>
              <w:keepLines w:val="0"/>
              <w:widowControl w:val="0"/>
              <w:suppressLineNumbers w:val="0"/>
              <w:spacing w:before="0" w:beforeAutospacing="0" w:after="0" w:afterAutospacing="0" w:line="360" w:lineRule="auto"/>
              <w:ind w:left="0" w:right="0" w:firstLine="1180" w:firstLineChars="500"/>
              <w:rPr>
                <w:rFonts w:hint="default" w:ascii="Times New Roman" w:hAnsi="Times New Roman" w:cs="Times New Roman"/>
                <w:color w:val="auto"/>
                <w:spacing w:val="-2"/>
                <w:kern w:val="2"/>
                <w:szCs w:val="20"/>
              </w:rPr>
            </w:pPr>
            <w:r>
              <w:rPr>
                <w:rFonts w:hint="default" w:ascii="Times New Roman" w:hAnsi="Times New Roman" w:cs="Times New Roman"/>
                <w:i/>
                <w:color w:val="auto"/>
                <w:spacing w:val="-2"/>
                <w:kern w:val="2"/>
                <w:szCs w:val="20"/>
              </w:rPr>
              <w:t>n</w:t>
            </w:r>
            <w:r>
              <w:rPr>
                <w:rFonts w:hint="default" w:ascii="Times New Roman" w:hAnsi="Times New Roman" w:cs="Times New Roman"/>
                <w:color w:val="auto"/>
                <w:spacing w:val="-2"/>
                <w:kern w:val="2"/>
                <w:szCs w:val="20"/>
              </w:rPr>
              <w:t>－－声源个数。</w:t>
            </w:r>
          </w:p>
          <w:p w14:paraId="6EC47CC8">
            <w:pPr>
              <w:keepNext w:val="0"/>
              <w:keepLines w:val="0"/>
              <w:widowControl w:val="0"/>
              <w:suppressLineNumbers w:val="0"/>
              <w:adjustRightInd w:val="0"/>
              <w:snapToGrid w:val="0"/>
              <w:spacing w:before="0" w:beforeAutospacing="0" w:after="0" w:afterAutospacing="0" w:line="360" w:lineRule="auto"/>
              <w:ind w:left="0" w:right="0" w:firstLine="472" w:firstLineChars="200"/>
              <w:jc w:val="both"/>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预测参数确定：</w:t>
            </w:r>
          </w:p>
          <w:p w14:paraId="0056FE41">
            <w:pPr>
              <w:keepNext w:val="0"/>
              <w:keepLines w:val="0"/>
              <w:widowControl w:val="0"/>
              <w:suppressLineNumbers w:val="0"/>
              <w:adjustRightInd w:val="0"/>
              <w:snapToGrid w:val="0"/>
              <w:spacing w:before="0" w:beforeAutospacing="0" w:after="0" w:afterAutospacing="0" w:line="360" w:lineRule="auto"/>
              <w:ind w:left="0" w:right="0" w:firstLine="472" w:firstLineChars="200"/>
              <w:jc w:val="both"/>
              <w:rPr>
                <w:rFonts w:hint="default" w:ascii="Times New Roman" w:hAnsi="Times New Roman" w:cs="Times New Roman"/>
                <w:snapToGrid w:val="0"/>
                <w:color w:val="auto"/>
                <w:spacing w:val="-2"/>
                <w:kern w:val="2"/>
                <w:szCs w:val="20"/>
                <w:vertAlign w:val="subscript"/>
              </w:rPr>
            </w:pPr>
            <w:r>
              <w:rPr>
                <w:rFonts w:hint="eastAsia"/>
                <w:snapToGrid w:val="0"/>
                <w:color w:val="auto"/>
                <w:spacing w:val="-2"/>
                <w:kern w:val="2"/>
                <w:szCs w:val="20"/>
              </w:rPr>
              <w:t>①</w:t>
            </w:r>
            <w:r>
              <w:rPr>
                <w:rFonts w:hint="default" w:ascii="Times New Roman" w:hAnsi="Times New Roman" w:cs="Times New Roman"/>
                <w:snapToGrid w:val="0"/>
                <w:color w:val="auto"/>
                <w:spacing w:val="-2"/>
                <w:kern w:val="2"/>
                <w:szCs w:val="20"/>
              </w:rPr>
              <w:t>几何发散衰减量A</w:t>
            </w:r>
            <w:r>
              <w:rPr>
                <w:rFonts w:hint="default" w:ascii="Times New Roman" w:hAnsi="Times New Roman" w:cs="Times New Roman"/>
                <w:snapToGrid w:val="0"/>
                <w:color w:val="auto"/>
                <w:spacing w:val="-2"/>
                <w:kern w:val="2"/>
                <w:szCs w:val="20"/>
                <w:vertAlign w:val="subscript"/>
              </w:rPr>
              <w:t>div</w:t>
            </w:r>
          </w:p>
          <w:p w14:paraId="364489BD">
            <w:pPr>
              <w:keepNext w:val="0"/>
              <w:keepLines w:val="0"/>
              <w:widowControl w:val="0"/>
              <w:suppressLineNumbers w:val="0"/>
              <w:spacing w:before="0" w:beforeAutospacing="0" w:after="0" w:afterAutospacing="0" w:line="360" w:lineRule="auto"/>
              <w:ind w:left="0" w:right="0" w:firstLine="472" w:firstLineChars="200"/>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选用半自由声场无指向性点声源几何发散衰减基本模式计算：</w:t>
            </w:r>
          </w:p>
          <w:p w14:paraId="79A72680">
            <w:pPr>
              <w:keepNext w:val="0"/>
              <w:keepLines w:val="0"/>
              <w:widowControl w:val="0"/>
              <w:suppressLineNumbers w:val="0"/>
              <w:spacing w:before="0" w:beforeAutospacing="0" w:after="0" w:afterAutospacing="0" w:line="360" w:lineRule="auto"/>
              <w:ind w:left="0" w:right="0" w:firstLine="472" w:firstLineChars="200"/>
              <w:jc w:val="center"/>
              <w:rPr>
                <w:rFonts w:hint="default" w:ascii="Times New Roman" w:hAnsi="Times New Roman" w:cs="Times New Roman"/>
                <w:i/>
                <w:color w:val="auto"/>
                <w:spacing w:val="-2"/>
                <w:kern w:val="2"/>
                <w:szCs w:val="20"/>
                <w:lang w:val="pt-BR"/>
              </w:rPr>
            </w:pPr>
            <w:r>
              <w:rPr>
                <w:rFonts w:hint="default" w:ascii="Times New Roman" w:hAnsi="Times New Roman" w:cs="Times New Roman"/>
                <w:i/>
                <w:snapToGrid w:val="0"/>
                <w:color w:val="auto"/>
                <w:spacing w:val="-2"/>
                <w:kern w:val="2"/>
                <w:szCs w:val="20"/>
                <w:lang w:val="pt-BR"/>
              </w:rPr>
              <w:t>A</w:t>
            </w:r>
            <w:r>
              <w:rPr>
                <w:rFonts w:hint="default" w:ascii="Times New Roman" w:hAnsi="Times New Roman" w:cs="Times New Roman"/>
                <w:i/>
                <w:snapToGrid w:val="0"/>
                <w:color w:val="auto"/>
                <w:spacing w:val="-2"/>
                <w:kern w:val="2"/>
                <w:szCs w:val="20"/>
                <w:vertAlign w:val="subscript"/>
                <w:lang w:val="pt-BR"/>
              </w:rPr>
              <w:t>div</w:t>
            </w:r>
            <w:r>
              <w:rPr>
                <w:rFonts w:hint="default" w:ascii="Times New Roman" w:hAnsi="Times New Roman" w:cs="Times New Roman"/>
                <w:i/>
                <w:snapToGrid w:val="0"/>
                <w:color w:val="auto"/>
                <w:spacing w:val="-2"/>
                <w:kern w:val="2"/>
                <w:szCs w:val="20"/>
                <w:lang w:val="pt-BR"/>
              </w:rPr>
              <w:t>＝20lg（r/r</w:t>
            </w:r>
            <w:r>
              <w:rPr>
                <w:rFonts w:hint="default" w:ascii="Times New Roman" w:hAnsi="Times New Roman" w:cs="Times New Roman"/>
                <w:i/>
                <w:snapToGrid w:val="0"/>
                <w:color w:val="auto"/>
                <w:spacing w:val="-2"/>
                <w:kern w:val="2"/>
                <w:szCs w:val="20"/>
                <w:vertAlign w:val="subscript"/>
                <w:lang w:val="pt-BR"/>
              </w:rPr>
              <w:t>0</w:t>
            </w:r>
            <w:r>
              <w:rPr>
                <w:rFonts w:hint="default" w:ascii="Times New Roman" w:hAnsi="Times New Roman" w:cs="Times New Roman"/>
                <w:i/>
                <w:snapToGrid w:val="0"/>
                <w:color w:val="auto"/>
                <w:spacing w:val="-2"/>
                <w:kern w:val="2"/>
                <w:szCs w:val="20"/>
                <w:lang w:val="pt-BR"/>
              </w:rPr>
              <w:t>）+8</w:t>
            </w:r>
            <w:r>
              <w:rPr>
                <w:rFonts w:hint="default" w:ascii="Times New Roman" w:hAnsi="Times New Roman" w:cs="Times New Roman"/>
                <w:color w:val="auto"/>
                <w:spacing w:val="-2"/>
                <w:kern w:val="2"/>
                <w:szCs w:val="20"/>
              </w:rPr>
              <w:t>（式7）</w:t>
            </w:r>
          </w:p>
          <w:p w14:paraId="5E506C6E">
            <w:pPr>
              <w:keepNext w:val="0"/>
              <w:keepLines w:val="0"/>
              <w:widowControl w:val="0"/>
              <w:suppressLineNumbers w:val="0"/>
              <w:adjustRightInd w:val="0"/>
              <w:snapToGrid w:val="0"/>
              <w:spacing w:before="0" w:beforeAutospacing="0" w:after="0" w:afterAutospacing="0" w:line="360" w:lineRule="auto"/>
              <w:ind w:left="0" w:right="0" w:firstLine="472" w:firstLineChars="200"/>
              <w:jc w:val="both"/>
              <w:rPr>
                <w:rFonts w:hint="default" w:ascii="Times New Roman" w:hAnsi="Times New Roman" w:cs="Times New Roman"/>
                <w:snapToGrid w:val="0"/>
                <w:color w:val="auto"/>
                <w:spacing w:val="-2"/>
                <w:kern w:val="2"/>
                <w:szCs w:val="20"/>
              </w:rPr>
            </w:pPr>
            <w:r>
              <w:rPr>
                <w:rFonts w:hint="eastAsia"/>
                <w:snapToGrid w:val="0"/>
                <w:color w:val="auto"/>
                <w:spacing w:val="-2"/>
                <w:kern w:val="2"/>
                <w:szCs w:val="20"/>
              </w:rPr>
              <w:t>②</w:t>
            </w:r>
            <w:r>
              <w:rPr>
                <w:rFonts w:hint="default" w:ascii="Times New Roman" w:hAnsi="Times New Roman" w:cs="Times New Roman"/>
                <w:snapToGrid w:val="0"/>
                <w:color w:val="auto"/>
                <w:spacing w:val="-2"/>
                <w:kern w:val="2"/>
                <w:szCs w:val="20"/>
              </w:rPr>
              <w:t>遮挡物衰减量A</w:t>
            </w:r>
            <w:r>
              <w:rPr>
                <w:rFonts w:hint="default" w:ascii="Times New Roman" w:hAnsi="Times New Roman" w:cs="Times New Roman"/>
                <w:snapToGrid w:val="0"/>
                <w:color w:val="auto"/>
                <w:spacing w:val="-2"/>
                <w:kern w:val="2"/>
                <w:szCs w:val="20"/>
                <w:vertAlign w:val="subscript"/>
              </w:rPr>
              <w:t>ba</w:t>
            </w:r>
          </w:p>
          <w:p w14:paraId="019089A1">
            <w:pPr>
              <w:keepNext w:val="0"/>
              <w:keepLines w:val="0"/>
              <w:widowControl w:val="0"/>
              <w:suppressLineNumbers w:val="0"/>
              <w:adjustRightInd w:val="0"/>
              <w:snapToGrid w:val="0"/>
              <w:spacing w:before="0" w:beforeAutospacing="0" w:after="0" w:afterAutospacing="0" w:line="360" w:lineRule="auto"/>
              <w:ind w:left="0" w:right="0" w:firstLine="472" w:firstLineChars="200"/>
              <w:jc w:val="both"/>
              <w:rPr>
                <w:rFonts w:hint="default" w:ascii="Times New Roman" w:hAnsi="Times New Roman" w:cs="Times New Roman"/>
                <w:snapToGrid w:val="0"/>
                <w:color w:val="auto"/>
                <w:spacing w:val="-2"/>
                <w:kern w:val="2"/>
                <w:szCs w:val="20"/>
              </w:rPr>
            </w:pPr>
            <w:r>
              <w:rPr>
                <w:rFonts w:hint="default" w:ascii="Times New Roman" w:hAnsi="Times New Roman" w:cs="Times New Roman"/>
                <w:snapToGrid w:val="0"/>
                <w:color w:val="auto"/>
                <w:spacing w:val="-2"/>
                <w:kern w:val="2"/>
                <w:szCs w:val="20"/>
              </w:rPr>
              <w:t>噪声源辐射的噪声由室内传播至室外遇到围墙或建筑物等障碍物时引起的能量衰减。对于安装在厂房内的设备，预测时主要考虑厂房墙壁等围栏结构产生的衰减量。</w:t>
            </w:r>
          </w:p>
          <w:p w14:paraId="0F7733D0">
            <w:pPr>
              <w:keepNext w:val="0"/>
              <w:keepLines w:val="0"/>
              <w:widowControl w:val="0"/>
              <w:suppressLineNumbers w:val="0"/>
              <w:adjustRightInd w:val="0"/>
              <w:snapToGrid w:val="0"/>
              <w:spacing w:before="0" w:beforeAutospacing="0" w:after="0" w:afterAutospacing="0" w:line="360" w:lineRule="auto"/>
              <w:ind w:left="0" w:right="0" w:firstLine="472" w:firstLineChars="200"/>
              <w:jc w:val="both"/>
              <w:rPr>
                <w:rFonts w:hint="default" w:ascii="Times New Roman" w:hAnsi="Times New Roman" w:cs="Times New Roman"/>
                <w:snapToGrid w:val="0"/>
                <w:color w:val="auto"/>
                <w:spacing w:val="-2"/>
                <w:kern w:val="2"/>
                <w:szCs w:val="20"/>
              </w:rPr>
            </w:pPr>
            <w:r>
              <w:rPr>
                <w:rFonts w:hint="eastAsia"/>
                <w:snapToGrid w:val="0"/>
                <w:color w:val="auto"/>
                <w:spacing w:val="-2"/>
                <w:kern w:val="2"/>
                <w:szCs w:val="20"/>
              </w:rPr>
              <w:t>③</w:t>
            </w:r>
            <w:r>
              <w:rPr>
                <w:rFonts w:hint="default" w:ascii="Times New Roman" w:hAnsi="Times New Roman" w:cs="Times New Roman"/>
                <w:snapToGrid w:val="0"/>
                <w:color w:val="auto"/>
                <w:spacing w:val="-2"/>
                <w:kern w:val="2"/>
                <w:szCs w:val="20"/>
              </w:rPr>
              <w:t>空气吸收衰减量A</w:t>
            </w:r>
            <w:r>
              <w:rPr>
                <w:rFonts w:hint="default" w:ascii="Times New Roman" w:hAnsi="Times New Roman" w:cs="Times New Roman"/>
                <w:snapToGrid w:val="0"/>
                <w:color w:val="auto"/>
                <w:spacing w:val="-2"/>
                <w:kern w:val="2"/>
                <w:szCs w:val="20"/>
                <w:vertAlign w:val="subscript"/>
              </w:rPr>
              <w:t>atm</w:t>
            </w:r>
          </w:p>
          <w:p w14:paraId="1DD84E27">
            <w:pPr>
              <w:keepNext w:val="0"/>
              <w:keepLines w:val="0"/>
              <w:widowControl w:val="0"/>
              <w:suppressLineNumbers w:val="0"/>
              <w:spacing w:before="0" w:beforeAutospacing="0" w:after="0" w:afterAutospacing="0" w:line="360" w:lineRule="auto"/>
              <w:ind w:left="0" w:right="0" w:firstLine="392" w:firstLineChars="200"/>
              <w:jc w:val="center"/>
              <w:rPr>
                <w:rFonts w:hint="default" w:ascii="Times New Roman" w:hAnsi="Times New Roman" w:cs="Times New Roman"/>
                <w:snapToGrid w:val="0"/>
                <w:color w:val="auto"/>
                <w:spacing w:val="-2"/>
                <w:kern w:val="2"/>
                <w:szCs w:val="20"/>
              </w:rPr>
            </w:pPr>
            <w:r>
              <w:rPr>
                <w:rFonts w:hint="default" w:ascii="Times New Roman" w:hAnsi="Times New Roman" w:cs="Times New Roman"/>
                <w:color w:val="auto"/>
                <w:spacing w:val="-2"/>
                <w:kern w:val="2"/>
                <w:sz w:val="20"/>
                <w:szCs w:val="20"/>
              </w:rPr>
              <mc:AlternateContent>
                <mc:Choice Requires="wps">
                  <w:drawing>
                    <wp:anchor distT="0" distB="0" distL="114300" distR="114300" simplePos="0" relativeHeight="251662336" behindDoc="0" locked="0" layoutInCell="1" allowOverlap="1">
                      <wp:simplePos x="0" y="0"/>
                      <wp:positionH relativeFrom="column">
                        <wp:posOffset>3815080</wp:posOffset>
                      </wp:positionH>
                      <wp:positionV relativeFrom="paragraph">
                        <wp:posOffset>219710</wp:posOffset>
                      </wp:positionV>
                      <wp:extent cx="897890" cy="322580"/>
                      <wp:effectExtent l="0" t="0" r="0" b="0"/>
                      <wp:wrapNone/>
                      <wp:docPr id="248" name="文本框 1436"/>
                      <wp:cNvGraphicFramePr/>
                      <a:graphic xmlns:a="http://schemas.openxmlformats.org/drawingml/2006/main">
                        <a:graphicData uri="http://schemas.microsoft.com/office/word/2010/wordprocessingShape">
                          <wps:wsp>
                            <wps:cNvSpPr txBox="1">
                              <a:spLocks noChangeArrowheads="1"/>
                            </wps:cNvSpPr>
                            <wps:spPr bwMode="auto">
                              <a:xfrm>
                                <a:off x="0" y="0"/>
                                <a:ext cx="897890" cy="322580"/>
                              </a:xfrm>
                              <a:prstGeom prst="rect">
                                <a:avLst/>
                              </a:prstGeom>
                              <a:noFill/>
                              <a:ln>
                                <a:noFill/>
                              </a:ln>
                              <a:effectLst/>
                            </wps:spPr>
                            <wps:txbx>
                              <w:txbxContent>
                                <w:p w14:paraId="17DB210F">
                                  <w:r>
                                    <w:rPr>
                                      <w:rFonts w:hint="eastAsia"/>
                                    </w:rPr>
                                    <w:t>（式</w:t>
                                  </w:r>
                                  <w:r>
                                    <w:t>8</w:t>
                                  </w:r>
                                  <w:r>
                                    <w:rPr>
                                      <w:rFonts w:hint="eastAsia"/>
                                    </w:rPr>
                                    <w:t>）</w:t>
                                  </w:r>
                                </w:p>
                              </w:txbxContent>
                            </wps:txbx>
                            <wps:bodyPr rot="0" vert="horz" wrap="square" lIns="91440" tIns="45720" rIns="91440" bIns="45720" anchor="t" anchorCtr="0" upright="1">
                              <a:noAutofit/>
                            </wps:bodyPr>
                          </wps:wsp>
                        </a:graphicData>
                      </a:graphic>
                    </wp:anchor>
                  </w:drawing>
                </mc:Choice>
                <mc:Fallback>
                  <w:pict>
                    <v:shape id="文本框 1436" o:spid="_x0000_s1026" o:spt="202" type="#_x0000_t202" style="position:absolute;left:0pt;margin-left:300.4pt;margin-top:17.3pt;height:25.4pt;width:70.7pt;z-index:251662336;mso-width-relative:page;mso-height-relative:page;" filled="f" stroked="f" coordsize="21600,21600" o:gfxdata="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Bcct9cA&#10;AAAJAQAADwAAAAAAAAABACAAAAAiAAAAZHJzL2Rvd25yZXYueG1sUEsBAhQAFAAAAAgAh07iQMpB&#10;gKggAgAAJwQAAA4AAAAAAAAAAQAgAAAAJgEAAGRycy9lMm9Eb2MueG1sUEsFBgAAAAAGAAYAWQEA&#10;ALgFAAAAAA==&#10;">
                      <v:fill on="f" focussize="0,0"/>
                      <v:stroke on="f"/>
                      <v:imagedata o:title=""/>
                      <o:lock v:ext="edit" aspectratio="f"/>
                      <v:textbox>
                        <w:txbxContent>
                          <w:p w14:paraId="17DB210F">
                            <w:r>
                              <w:rPr>
                                <w:rFonts w:hint="eastAsia"/>
                              </w:rPr>
                              <w:t>（式</w:t>
                            </w:r>
                            <w:r>
                              <w:t>8</w:t>
                            </w:r>
                            <w:r>
                              <w:rPr>
                                <w:rFonts w:hint="eastAsia"/>
                              </w:rPr>
                              <w:t>）</w:t>
                            </w:r>
                          </w:p>
                        </w:txbxContent>
                      </v:textbox>
                    </v:shape>
                  </w:pict>
                </mc:Fallback>
              </mc:AlternateContent>
            </w:r>
            <w:r>
              <w:rPr>
                <w:rFonts w:hint="default" w:ascii="Times New Roman" w:hAnsi="Times New Roman" w:cs="Times New Roman"/>
                <w:color w:val="auto"/>
                <w:spacing w:val="-2"/>
                <w:kern w:val="2"/>
                <w:szCs w:val="20"/>
              </w:rPr>
              <w:drawing>
                <wp:inline distT="0" distB="0" distL="0" distR="0">
                  <wp:extent cx="1295400" cy="352425"/>
                  <wp:effectExtent l="19050" t="0" r="0" b="0"/>
                  <wp:docPr id="1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2"/>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a:xfrm>
                            <a:off x="0" y="0"/>
                            <a:ext cx="1295400" cy="352425"/>
                          </a:xfrm>
                          <a:prstGeom prst="rect">
                            <a:avLst/>
                          </a:prstGeom>
                          <a:noFill/>
                          <a:ln w="9525" cmpd="sng">
                            <a:noFill/>
                            <a:miter lim="800000"/>
                            <a:headEnd/>
                            <a:tailEnd/>
                          </a:ln>
                        </pic:spPr>
                      </pic:pic>
                    </a:graphicData>
                  </a:graphic>
                </wp:inline>
              </w:drawing>
            </w:r>
          </w:p>
          <w:p w14:paraId="403DA2E8">
            <w:pPr>
              <w:keepNext w:val="0"/>
              <w:keepLines w:val="0"/>
              <w:widowControl w:val="0"/>
              <w:suppressLineNumbers w:val="0"/>
              <w:spacing w:before="0" w:beforeAutospacing="0" w:after="0" w:afterAutospacing="0" w:line="360" w:lineRule="auto"/>
              <w:ind w:left="0" w:right="0" w:firstLine="472" w:firstLineChars="200"/>
              <w:rPr>
                <w:rFonts w:hint="default" w:ascii="Times New Roman" w:hAnsi="Times New Roman" w:cs="Times New Roman"/>
                <w:color w:val="auto"/>
                <w:spacing w:val="-2"/>
                <w:kern w:val="2"/>
                <w:szCs w:val="20"/>
              </w:rPr>
            </w:pPr>
            <w:r>
              <w:rPr>
                <w:rFonts w:hint="default" w:ascii="Times New Roman" w:hAnsi="Times New Roman" w:cs="Times New Roman"/>
                <w:color w:val="auto"/>
                <w:spacing w:val="-2"/>
                <w:kern w:val="2"/>
                <w:szCs w:val="20"/>
              </w:rPr>
              <w:t>式中：</w:t>
            </w:r>
            <w:r>
              <w:rPr>
                <w:rFonts w:hint="default" w:ascii="Times New Roman" w:hAnsi="Times New Roman" w:cs="Times New Roman"/>
                <w:i/>
                <w:iCs/>
                <w:color w:val="auto"/>
                <w:spacing w:val="-2"/>
                <w:kern w:val="2"/>
                <w:szCs w:val="20"/>
              </w:rPr>
              <w:t>a</w:t>
            </w:r>
            <w:r>
              <w:rPr>
                <w:rFonts w:hint="default" w:ascii="Times New Roman" w:hAnsi="Times New Roman" w:cs="Times New Roman"/>
                <w:color w:val="auto"/>
                <w:spacing w:val="-2"/>
                <w:kern w:val="2"/>
                <w:szCs w:val="20"/>
              </w:rPr>
              <w:t>为温度、湿度和声波频率的函数。</w:t>
            </w:r>
          </w:p>
          <w:p w14:paraId="55EC458D">
            <w:pPr>
              <w:keepNext w:val="0"/>
              <w:keepLines w:val="0"/>
              <w:widowControl w:val="0"/>
              <w:suppressLineNumbers w:val="0"/>
              <w:spacing w:before="0" w:beforeAutospacing="0" w:after="0" w:afterAutospacing="0" w:line="360" w:lineRule="auto"/>
              <w:ind w:left="0" w:right="0" w:firstLine="472" w:firstLineChars="200"/>
              <w:rPr>
                <w:rFonts w:hint="default" w:ascii="Times New Roman" w:hAnsi="Times New Roman" w:cs="Times New Roman"/>
                <w:snapToGrid w:val="0"/>
                <w:color w:val="auto"/>
                <w:spacing w:val="-2"/>
                <w:kern w:val="2"/>
                <w:szCs w:val="20"/>
              </w:rPr>
            </w:pPr>
            <w:r>
              <w:rPr>
                <w:rFonts w:hint="default" w:ascii="Times New Roman" w:hAnsi="Times New Roman" w:cs="Times New Roman"/>
                <w:snapToGrid w:val="0"/>
                <w:color w:val="auto"/>
                <w:spacing w:val="-2"/>
                <w:kern w:val="2"/>
                <w:szCs w:val="20"/>
              </w:rPr>
              <w:t>空气吸收衰减量与几何发散衰减量相比很小，本次预测计算中忽略空气吸收衰减量。</w:t>
            </w:r>
          </w:p>
          <w:p w14:paraId="4DB8A552">
            <w:pPr>
              <w:keepNext w:val="0"/>
              <w:keepLines w:val="0"/>
              <w:widowControl w:val="0"/>
              <w:suppressLineNumbers w:val="0"/>
              <w:adjustRightInd w:val="0"/>
              <w:snapToGrid w:val="0"/>
              <w:spacing w:before="0" w:beforeAutospacing="0" w:after="0" w:afterAutospacing="0" w:line="360" w:lineRule="auto"/>
              <w:ind w:left="0" w:right="0" w:firstLine="472" w:firstLineChars="200"/>
              <w:jc w:val="both"/>
              <w:rPr>
                <w:rFonts w:hint="default" w:ascii="Times New Roman" w:hAnsi="Times New Roman" w:cs="Times New Roman"/>
                <w:snapToGrid w:val="0"/>
                <w:color w:val="auto"/>
                <w:spacing w:val="-2"/>
                <w:kern w:val="2"/>
                <w:szCs w:val="20"/>
              </w:rPr>
            </w:pPr>
            <w:r>
              <w:rPr>
                <w:rFonts w:hint="eastAsia"/>
                <w:snapToGrid w:val="0"/>
                <w:color w:val="auto"/>
                <w:spacing w:val="-2"/>
                <w:kern w:val="2"/>
                <w:szCs w:val="20"/>
              </w:rPr>
              <w:t>④</w:t>
            </w:r>
            <w:r>
              <w:rPr>
                <w:rFonts w:hint="default" w:ascii="Times New Roman" w:hAnsi="Times New Roman" w:cs="Times New Roman"/>
                <w:snapToGrid w:val="0"/>
                <w:color w:val="auto"/>
                <w:spacing w:val="-2"/>
                <w:kern w:val="2"/>
                <w:szCs w:val="20"/>
              </w:rPr>
              <w:t>地面衰减量</w:t>
            </w:r>
            <w:r>
              <w:rPr>
                <w:rFonts w:hint="default" w:ascii="Times New Roman" w:hAnsi="Times New Roman" w:cs="Times New Roman"/>
                <w:i/>
                <w:snapToGrid w:val="0"/>
                <w:color w:val="auto"/>
                <w:spacing w:val="-2"/>
                <w:kern w:val="2"/>
                <w:szCs w:val="20"/>
              </w:rPr>
              <w:t>A</w:t>
            </w:r>
            <w:r>
              <w:rPr>
                <w:rFonts w:hint="default" w:ascii="Times New Roman" w:hAnsi="Times New Roman" w:cs="Times New Roman"/>
                <w:i/>
                <w:snapToGrid w:val="0"/>
                <w:color w:val="auto"/>
                <w:spacing w:val="-2"/>
                <w:kern w:val="2"/>
                <w:szCs w:val="20"/>
                <w:vertAlign w:val="subscript"/>
              </w:rPr>
              <w:t>gr</w:t>
            </w:r>
          </w:p>
          <w:p w14:paraId="20DC3F54">
            <w:pPr>
              <w:keepNext w:val="0"/>
              <w:keepLines w:val="0"/>
              <w:widowControl w:val="0"/>
              <w:suppressLineNumbers w:val="0"/>
              <w:adjustRightInd w:val="0"/>
              <w:snapToGrid w:val="0"/>
              <w:spacing w:before="0" w:beforeAutospacing="0" w:after="0" w:afterAutospacing="0" w:line="360" w:lineRule="auto"/>
              <w:ind w:left="0" w:right="0" w:firstLine="472" w:firstLineChars="200"/>
              <w:jc w:val="both"/>
              <w:rPr>
                <w:rFonts w:hint="default" w:ascii="Times New Roman" w:hAnsi="Times New Roman" w:cs="Times New Roman"/>
                <w:snapToGrid w:val="0"/>
                <w:color w:val="auto"/>
                <w:spacing w:val="-2"/>
                <w:kern w:val="2"/>
                <w:szCs w:val="20"/>
              </w:rPr>
            </w:pPr>
            <w:r>
              <w:rPr>
                <w:rFonts w:hint="default" w:ascii="Times New Roman" w:hAnsi="Times New Roman" w:cs="Times New Roman"/>
                <w:snapToGrid w:val="0"/>
                <w:color w:val="auto"/>
                <w:spacing w:val="-2"/>
                <w:kern w:val="2"/>
                <w:szCs w:val="20"/>
              </w:rPr>
              <w:t>本次评价忽略。</w:t>
            </w:r>
          </w:p>
          <w:p w14:paraId="47DB6482">
            <w:pPr>
              <w:keepNext w:val="0"/>
              <w:keepLines w:val="0"/>
              <w:widowControl w:val="0"/>
              <w:suppressLineNumbers w:val="0"/>
              <w:adjustRightInd w:val="0"/>
              <w:snapToGrid w:val="0"/>
              <w:spacing w:before="0" w:beforeAutospacing="0" w:after="0" w:afterAutospacing="0" w:line="360" w:lineRule="auto"/>
              <w:ind w:left="0" w:right="0" w:firstLine="472" w:firstLineChars="200"/>
              <w:jc w:val="both"/>
              <w:rPr>
                <w:rFonts w:hint="default" w:ascii="Times New Roman" w:hAnsi="Times New Roman" w:cs="Times New Roman"/>
                <w:snapToGrid w:val="0"/>
                <w:color w:val="auto"/>
                <w:spacing w:val="-2"/>
                <w:kern w:val="2"/>
                <w:szCs w:val="20"/>
              </w:rPr>
            </w:pPr>
            <w:r>
              <w:rPr>
                <w:rFonts w:hint="eastAsia"/>
                <w:snapToGrid w:val="0"/>
                <w:color w:val="auto"/>
                <w:spacing w:val="-2"/>
                <w:kern w:val="2"/>
                <w:szCs w:val="20"/>
              </w:rPr>
              <w:t>⑤其他</w:t>
            </w:r>
            <w:r>
              <w:rPr>
                <w:rFonts w:hint="default" w:ascii="Times New Roman" w:hAnsi="Times New Roman" w:cs="Times New Roman"/>
                <w:snapToGrid w:val="0"/>
                <w:color w:val="auto"/>
                <w:spacing w:val="-2"/>
                <w:kern w:val="2"/>
                <w:szCs w:val="20"/>
              </w:rPr>
              <w:t>方面衰减量</w:t>
            </w:r>
            <w:r>
              <w:rPr>
                <w:rFonts w:hint="default" w:ascii="Times New Roman" w:hAnsi="Times New Roman" w:cs="Times New Roman"/>
                <w:i/>
                <w:snapToGrid w:val="0"/>
                <w:color w:val="auto"/>
                <w:spacing w:val="-2"/>
                <w:kern w:val="2"/>
                <w:szCs w:val="20"/>
              </w:rPr>
              <w:t>A</w:t>
            </w:r>
            <w:r>
              <w:rPr>
                <w:rFonts w:hint="default" w:ascii="Times New Roman" w:hAnsi="Times New Roman" w:cs="Times New Roman"/>
                <w:i/>
                <w:snapToGrid w:val="0"/>
                <w:color w:val="auto"/>
                <w:spacing w:val="-2"/>
                <w:kern w:val="2"/>
                <w:szCs w:val="20"/>
                <w:vertAlign w:val="subscript"/>
              </w:rPr>
              <w:t>misc</w:t>
            </w:r>
            <w:r>
              <w:rPr>
                <w:rFonts w:hint="default" w:ascii="Times New Roman" w:hAnsi="Times New Roman" w:cs="Times New Roman"/>
                <w:i/>
                <w:snapToGrid w:val="0"/>
                <w:color w:val="auto"/>
                <w:spacing w:val="-2"/>
                <w:kern w:val="2"/>
                <w:szCs w:val="20"/>
              </w:rPr>
              <w:t>，</w:t>
            </w:r>
            <w:r>
              <w:rPr>
                <w:rFonts w:hint="default" w:ascii="Times New Roman" w:hAnsi="Times New Roman" w:cs="Times New Roman"/>
                <w:snapToGrid w:val="0"/>
                <w:color w:val="auto"/>
                <w:spacing w:val="-2"/>
                <w:kern w:val="2"/>
                <w:szCs w:val="20"/>
              </w:rPr>
              <w:t>本次评价忽略。</w:t>
            </w:r>
          </w:p>
          <w:p w14:paraId="1DE944FD">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rPr>
            </w:pPr>
            <w:r>
              <w:rPr>
                <w:rFonts w:hint="default" w:ascii="Times New Roman" w:hAnsi="Times New Roman" w:cs="Times New Roman"/>
                <w:color w:val="auto"/>
                <w:kern w:val="2"/>
              </w:rPr>
              <w:t>经预测，厂界噪声值见下表。</w:t>
            </w:r>
          </w:p>
          <w:p w14:paraId="0CAD3AC0">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cs="Times New Roman"/>
                <w:color w:val="auto"/>
                <w:kern w:val="24"/>
              </w:rPr>
            </w:pPr>
            <w:r>
              <w:rPr>
                <w:rFonts w:hint="default" w:ascii="Times New Roman" w:hAnsi="Times New Roman" w:eastAsia="黑体" w:cs="Times New Roman"/>
                <w:color w:val="auto"/>
                <w:kern w:val="24"/>
              </w:rPr>
              <w:t>表4-</w:t>
            </w:r>
            <w:r>
              <w:rPr>
                <w:rFonts w:hint="eastAsia" w:ascii="Times New Roman" w:hAnsi="Times New Roman" w:eastAsia="黑体" w:cs="Times New Roman"/>
                <w:color w:val="auto"/>
                <w:kern w:val="24"/>
                <w:lang w:val="en-US" w:eastAsia="zh-CN"/>
              </w:rPr>
              <w:t>8</w:t>
            </w:r>
            <w:r>
              <w:rPr>
                <w:rFonts w:hint="eastAsia" w:ascii="Times New Roman" w:hAnsi="Times New Roman" w:eastAsia="黑体" w:cs="Times New Roman"/>
                <w:color w:val="auto"/>
                <w:kern w:val="24"/>
              </w:rPr>
              <w:t xml:space="preserve">  </w:t>
            </w:r>
            <w:r>
              <w:rPr>
                <w:rFonts w:hint="default" w:ascii="Times New Roman" w:hAnsi="Times New Roman" w:eastAsia="黑体" w:cs="Times New Roman"/>
                <w:color w:val="auto"/>
                <w:kern w:val="24"/>
              </w:rPr>
              <w:t>项目噪声预测结果单位：dB（A）</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26"/>
              <w:gridCol w:w="1519"/>
              <w:gridCol w:w="2070"/>
              <w:gridCol w:w="1957"/>
              <w:gridCol w:w="3"/>
            </w:tblGrid>
            <w:tr w14:paraId="5B97E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337" w:type="pct"/>
                  <w:vMerge w:val="restart"/>
                  <w:vAlign w:val="center"/>
                </w:tcPr>
                <w:p w14:paraId="23190DAA">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预测点</w:t>
                  </w:r>
                </w:p>
              </w:tc>
              <w:tc>
                <w:tcPr>
                  <w:tcW w:w="1002" w:type="pct"/>
                  <w:vAlign w:val="center"/>
                </w:tcPr>
                <w:p w14:paraId="66F9514B">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贡献值</w:t>
                  </w:r>
                </w:p>
              </w:tc>
              <w:tc>
                <w:tcPr>
                  <w:tcW w:w="1366" w:type="pct"/>
                  <w:vAlign w:val="center"/>
                </w:tcPr>
                <w:p w14:paraId="4D75FD4B">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标准值</w:t>
                  </w:r>
                </w:p>
              </w:tc>
              <w:tc>
                <w:tcPr>
                  <w:tcW w:w="1293" w:type="pct"/>
                  <w:gridSpan w:val="2"/>
                  <w:vMerge w:val="restart"/>
                  <w:vAlign w:val="center"/>
                </w:tcPr>
                <w:p w14:paraId="0321E448">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达标情况</w:t>
                  </w:r>
                </w:p>
              </w:tc>
            </w:tr>
            <w:tr w14:paraId="62F82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jc w:val="center"/>
              </w:trPr>
              <w:tc>
                <w:tcPr>
                  <w:tcW w:w="1337" w:type="pct"/>
                  <w:vMerge w:val="continue"/>
                  <w:vAlign w:val="center"/>
                </w:tcPr>
                <w:p w14:paraId="1AEDCC8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bCs/>
                      <w:color w:val="auto"/>
                      <w:kern w:val="2"/>
                      <w:sz w:val="21"/>
                      <w:szCs w:val="21"/>
                    </w:rPr>
                  </w:pPr>
                </w:p>
              </w:tc>
              <w:tc>
                <w:tcPr>
                  <w:tcW w:w="1002" w:type="pct"/>
                  <w:vAlign w:val="center"/>
                </w:tcPr>
                <w:p w14:paraId="23D4377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昼间</w:t>
                  </w:r>
                </w:p>
              </w:tc>
              <w:tc>
                <w:tcPr>
                  <w:tcW w:w="1366" w:type="pct"/>
                  <w:vAlign w:val="center"/>
                </w:tcPr>
                <w:p w14:paraId="43F55E0B">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bCs/>
                      <w:color w:val="auto"/>
                      <w:kern w:val="2"/>
                      <w:sz w:val="21"/>
                      <w:szCs w:val="21"/>
                    </w:rPr>
                  </w:pPr>
                  <w:r>
                    <w:rPr>
                      <w:rFonts w:hint="default" w:ascii="Times New Roman" w:hAnsi="Times New Roman" w:cs="Times New Roman"/>
                      <w:b/>
                      <w:bCs/>
                      <w:color w:val="auto"/>
                      <w:kern w:val="2"/>
                      <w:sz w:val="21"/>
                      <w:szCs w:val="21"/>
                    </w:rPr>
                    <w:t>昼间</w:t>
                  </w:r>
                </w:p>
              </w:tc>
              <w:tc>
                <w:tcPr>
                  <w:tcW w:w="1291" w:type="pct"/>
                  <w:vMerge w:val="continue"/>
                  <w:vAlign w:val="center"/>
                </w:tcPr>
                <w:p w14:paraId="717E57B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bCs/>
                      <w:color w:val="auto"/>
                      <w:kern w:val="2"/>
                      <w:sz w:val="21"/>
                      <w:szCs w:val="21"/>
                    </w:rPr>
                  </w:pPr>
                </w:p>
              </w:tc>
            </w:tr>
            <w:tr w14:paraId="797426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jc w:val="center"/>
              </w:trPr>
              <w:tc>
                <w:tcPr>
                  <w:tcW w:w="1337" w:type="pct"/>
                  <w:vAlign w:val="center"/>
                </w:tcPr>
                <w:p w14:paraId="647C40CA">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bookmarkStart w:id="26" w:name="_Hlk205795115"/>
                  <w:r>
                    <w:rPr>
                      <w:rFonts w:hint="default" w:ascii="Times New Roman" w:hAnsi="Times New Roman" w:cs="Times New Roman"/>
                      <w:color w:val="auto"/>
                      <w:kern w:val="2"/>
                      <w:sz w:val="21"/>
                      <w:szCs w:val="21"/>
                    </w:rPr>
                    <w:t>东厂界</w:t>
                  </w:r>
                </w:p>
              </w:tc>
              <w:tc>
                <w:tcPr>
                  <w:tcW w:w="1002" w:type="pct"/>
                  <w:vAlign w:val="center"/>
                </w:tcPr>
                <w:p w14:paraId="205AF5E5">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52</w:t>
                  </w:r>
                </w:p>
              </w:tc>
              <w:tc>
                <w:tcPr>
                  <w:tcW w:w="1366" w:type="pct"/>
                  <w:tcBorders>
                    <w:bottom w:val="single" w:color="auto" w:sz="4" w:space="0"/>
                  </w:tcBorders>
                  <w:vAlign w:val="center"/>
                </w:tcPr>
                <w:p w14:paraId="126955D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65</w:t>
                  </w:r>
                </w:p>
              </w:tc>
              <w:tc>
                <w:tcPr>
                  <w:tcW w:w="1291" w:type="pct"/>
                  <w:tcBorders>
                    <w:bottom w:val="single" w:color="auto" w:sz="4" w:space="0"/>
                  </w:tcBorders>
                  <w:vAlign w:val="center"/>
                </w:tcPr>
                <w:p w14:paraId="2277D55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达标</w:t>
                  </w:r>
                </w:p>
              </w:tc>
            </w:tr>
            <w:tr w14:paraId="13F76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jc w:val="center"/>
              </w:trPr>
              <w:tc>
                <w:tcPr>
                  <w:tcW w:w="1337" w:type="pct"/>
                  <w:vAlign w:val="center"/>
                </w:tcPr>
                <w:p w14:paraId="05531F00">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南厂界</w:t>
                  </w:r>
                </w:p>
              </w:tc>
              <w:tc>
                <w:tcPr>
                  <w:tcW w:w="1002" w:type="pct"/>
                  <w:shd w:val="clear" w:color="auto" w:fill="auto"/>
                  <w:vAlign w:val="center"/>
                </w:tcPr>
                <w:p w14:paraId="5CC8526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44</w:t>
                  </w:r>
                </w:p>
              </w:tc>
              <w:tc>
                <w:tcPr>
                  <w:tcW w:w="1366" w:type="pct"/>
                  <w:tcBorders>
                    <w:top w:val="single" w:color="auto" w:sz="4" w:space="0"/>
                  </w:tcBorders>
                  <w:vAlign w:val="center"/>
                </w:tcPr>
                <w:p w14:paraId="6E03A6C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65</w:t>
                  </w:r>
                </w:p>
              </w:tc>
              <w:tc>
                <w:tcPr>
                  <w:tcW w:w="1291" w:type="pct"/>
                  <w:tcBorders>
                    <w:top w:val="single" w:color="auto" w:sz="4" w:space="0"/>
                  </w:tcBorders>
                  <w:vAlign w:val="center"/>
                </w:tcPr>
                <w:p w14:paraId="0FB62000">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达标</w:t>
                  </w:r>
                </w:p>
              </w:tc>
            </w:tr>
            <w:tr w14:paraId="663195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jc w:val="center"/>
              </w:trPr>
              <w:tc>
                <w:tcPr>
                  <w:tcW w:w="1337" w:type="pct"/>
                  <w:vAlign w:val="center"/>
                </w:tcPr>
                <w:p w14:paraId="38AC8BF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西厂界</w:t>
                  </w:r>
                </w:p>
              </w:tc>
              <w:tc>
                <w:tcPr>
                  <w:tcW w:w="1002" w:type="pct"/>
                  <w:vAlign w:val="center"/>
                </w:tcPr>
                <w:p w14:paraId="4353C13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49</w:t>
                  </w:r>
                </w:p>
              </w:tc>
              <w:tc>
                <w:tcPr>
                  <w:tcW w:w="1366" w:type="pct"/>
                  <w:vAlign w:val="center"/>
                </w:tcPr>
                <w:p w14:paraId="41091C7E">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65</w:t>
                  </w:r>
                </w:p>
              </w:tc>
              <w:tc>
                <w:tcPr>
                  <w:tcW w:w="1291" w:type="pct"/>
                  <w:vAlign w:val="center"/>
                </w:tcPr>
                <w:p w14:paraId="5CB8DA0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达标</w:t>
                  </w:r>
                </w:p>
              </w:tc>
            </w:tr>
            <w:tr w14:paraId="198FD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 w:type="pct"/>
                <w:jc w:val="center"/>
              </w:trPr>
              <w:tc>
                <w:tcPr>
                  <w:tcW w:w="1337" w:type="pct"/>
                  <w:vAlign w:val="center"/>
                </w:tcPr>
                <w:p w14:paraId="76F3B6D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北厂界</w:t>
                  </w:r>
                </w:p>
              </w:tc>
              <w:tc>
                <w:tcPr>
                  <w:tcW w:w="1002" w:type="pct"/>
                  <w:vAlign w:val="center"/>
                </w:tcPr>
                <w:p w14:paraId="01C98662">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51</w:t>
                  </w:r>
                </w:p>
              </w:tc>
              <w:tc>
                <w:tcPr>
                  <w:tcW w:w="1366" w:type="pct"/>
                  <w:vAlign w:val="center"/>
                </w:tcPr>
                <w:p w14:paraId="2F5CE47D">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rPr>
                    <w:t>65</w:t>
                  </w:r>
                </w:p>
              </w:tc>
              <w:tc>
                <w:tcPr>
                  <w:tcW w:w="1291" w:type="pct"/>
                  <w:vAlign w:val="center"/>
                </w:tcPr>
                <w:p w14:paraId="5F4897E8">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bookmarkStart w:id="27" w:name="OLE_LINK56"/>
                  <w:r>
                    <w:rPr>
                      <w:rFonts w:hint="eastAsia" w:ascii="Times New Roman" w:hAnsi="Times New Roman" w:cs="Times New Roman"/>
                      <w:color w:val="auto"/>
                      <w:kern w:val="2"/>
                      <w:sz w:val="21"/>
                      <w:szCs w:val="21"/>
                    </w:rPr>
                    <w:t>达标</w:t>
                  </w:r>
                  <w:bookmarkEnd w:id="27"/>
                </w:p>
              </w:tc>
            </w:tr>
            <w:bookmarkEnd w:id="26"/>
          </w:tbl>
          <w:p w14:paraId="592434F5">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kern w:val="24"/>
              </w:rPr>
            </w:pPr>
            <w:r>
              <w:rPr>
                <w:rFonts w:hint="default" w:ascii="Times New Roman" w:hAnsi="Times New Roman" w:cs="Times New Roman"/>
                <w:color w:val="auto"/>
                <w:kern w:val="24"/>
              </w:rPr>
              <w:t>根据预测结果可知，项目东、南、西、北侧的厂界噪声均能够满足《工业企业厂界环境噪声排放标准》（GB12348-2008）中</w:t>
            </w:r>
            <w:r>
              <w:rPr>
                <w:rFonts w:hint="eastAsia" w:ascii="Times New Roman" w:hAnsi="Times New Roman" w:cs="Times New Roman"/>
                <w:color w:val="auto"/>
                <w:kern w:val="24"/>
              </w:rPr>
              <w:t>3</w:t>
            </w:r>
            <w:r>
              <w:rPr>
                <w:rFonts w:hint="default" w:ascii="Times New Roman" w:hAnsi="Times New Roman" w:cs="Times New Roman"/>
                <w:color w:val="auto"/>
                <w:kern w:val="24"/>
              </w:rPr>
              <w:t>类标准</w:t>
            </w:r>
            <w:r>
              <w:rPr>
                <w:rFonts w:hint="eastAsia" w:ascii="Times New Roman" w:hAnsi="Times New Roman" w:cs="Times New Roman"/>
                <w:bCs/>
                <w:color w:val="auto"/>
                <w:kern w:val="24"/>
              </w:rPr>
              <w:t>。</w:t>
            </w:r>
            <w:r>
              <w:rPr>
                <w:rFonts w:hint="default" w:ascii="Times New Roman" w:hAnsi="Times New Roman" w:cs="Times New Roman"/>
                <w:bCs/>
                <w:color w:val="auto"/>
                <w:kern w:val="24"/>
              </w:rPr>
              <w:t>综上所述，本项目建设运营</w:t>
            </w:r>
            <w:r>
              <w:rPr>
                <w:rFonts w:hint="eastAsia" w:ascii="Times New Roman" w:hAnsi="Times New Roman" w:cs="Times New Roman"/>
                <w:bCs/>
                <w:color w:val="auto"/>
                <w:kern w:val="24"/>
              </w:rPr>
              <w:t>后</w:t>
            </w:r>
            <w:r>
              <w:rPr>
                <w:rFonts w:hint="default" w:ascii="Times New Roman" w:hAnsi="Times New Roman" w:cs="Times New Roman"/>
                <w:bCs/>
                <w:color w:val="auto"/>
                <w:kern w:val="24"/>
              </w:rPr>
              <w:t>对厂界声环境影响较小。</w:t>
            </w:r>
          </w:p>
          <w:p w14:paraId="3AF0D2E4">
            <w:pPr>
              <w:pStyle w:val="54"/>
              <w:keepNext w:val="0"/>
              <w:keepLines w:val="0"/>
              <w:widowControl/>
              <w:suppressLineNumbers w:val="0"/>
              <w:adjustRightInd/>
              <w:spacing w:before="0" w:beforeAutospacing="0" w:after="0" w:afterAutospacing="0" w:line="360" w:lineRule="auto"/>
              <w:ind w:left="0" w:right="0" w:firstLineChars="200"/>
              <w:rPr>
                <w:rFonts w:hint="default" w:ascii="Times New Roman" w:hAnsi="Times New Roman" w:cs="Times New Roman"/>
                <w:b/>
                <w:color w:val="auto"/>
                <w:szCs w:val="24"/>
              </w:rPr>
            </w:pPr>
            <w:r>
              <w:rPr>
                <w:rFonts w:hint="eastAsia" w:ascii="Times New Roman" w:hAnsi="Times New Roman" w:cs="Times New Roman"/>
                <w:b/>
                <w:color w:val="auto"/>
                <w:szCs w:val="24"/>
              </w:rPr>
              <w:t>（3）</w:t>
            </w:r>
            <w:r>
              <w:rPr>
                <w:rFonts w:hint="default" w:ascii="Times New Roman" w:hAnsi="Times New Roman" w:cs="Times New Roman"/>
                <w:b/>
                <w:color w:val="auto"/>
                <w:szCs w:val="24"/>
              </w:rPr>
              <w:t>运营期声环境保护措施</w:t>
            </w:r>
          </w:p>
          <w:p w14:paraId="4654EB3B">
            <w:pPr>
              <w:pStyle w:val="54"/>
              <w:keepNext w:val="0"/>
              <w:keepLines w:val="0"/>
              <w:widowControl/>
              <w:suppressLineNumbers w:val="0"/>
              <w:adjustRightInd/>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default" w:ascii="Times New Roman" w:hAnsi="Times New Roman" w:cs="Times New Roman"/>
                <w:color w:val="auto"/>
                <w:szCs w:val="24"/>
              </w:rPr>
              <w:t>根据建设单位提供资料，各类</w:t>
            </w:r>
            <w:r>
              <w:rPr>
                <w:rFonts w:hint="eastAsia" w:ascii="Times New Roman" w:hAnsi="Times New Roman" w:cs="Times New Roman"/>
                <w:color w:val="auto"/>
                <w:szCs w:val="24"/>
              </w:rPr>
              <w:t>生产</w:t>
            </w:r>
            <w:r>
              <w:rPr>
                <w:rFonts w:hint="default" w:ascii="Times New Roman" w:hAnsi="Times New Roman" w:cs="Times New Roman"/>
                <w:color w:val="auto"/>
                <w:szCs w:val="24"/>
              </w:rPr>
              <w:t>设备均置于室内，主要噪声源距离厂界较远，废气治理设施位于室外，但底部已设置</w:t>
            </w:r>
            <w:r>
              <w:rPr>
                <w:rFonts w:hint="eastAsia" w:ascii="Times New Roman" w:hAnsi="Times New Roman" w:cs="Times New Roman"/>
                <w:color w:val="auto"/>
                <w:szCs w:val="24"/>
              </w:rPr>
              <w:t>减振</w:t>
            </w:r>
            <w:r>
              <w:rPr>
                <w:rFonts w:hint="default" w:ascii="Times New Roman" w:hAnsi="Times New Roman" w:cs="Times New Roman"/>
                <w:color w:val="auto"/>
                <w:szCs w:val="24"/>
              </w:rPr>
              <w:t>措施，为了进一步降低噪声对周围环境的影响，建议企业应采取以下措施：</w:t>
            </w:r>
          </w:p>
          <w:p w14:paraId="75F80795">
            <w:pPr>
              <w:pStyle w:val="54"/>
              <w:keepNext w:val="0"/>
              <w:keepLines w:val="0"/>
              <w:widowControl/>
              <w:suppressLineNumbers w:val="0"/>
              <w:adjustRightInd/>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eastAsia" w:ascii="Times New Roman" w:hAnsi="Times New Roman" w:cs="Times New Roman"/>
                <w:color w:val="auto"/>
                <w:szCs w:val="24"/>
              </w:rPr>
              <w:t>①</w:t>
            </w:r>
            <w:r>
              <w:rPr>
                <w:rFonts w:hint="default" w:ascii="Times New Roman" w:hAnsi="Times New Roman" w:cs="Times New Roman"/>
                <w:color w:val="auto"/>
                <w:szCs w:val="24"/>
              </w:rPr>
              <w:t>在高噪声设备机器底面安装垫木或者橡胶减振垫，用地脚螺栓固定，减小了设备运行时的振动和振动引起的噪声；</w:t>
            </w:r>
          </w:p>
          <w:p w14:paraId="66E757C7">
            <w:pPr>
              <w:pStyle w:val="54"/>
              <w:keepNext w:val="0"/>
              <w:keepLines w:val="0"/>
              <w:widowControl/>
              <w:suppressLineNumbers w:val="0"/>
              <w:adjustRightInd/>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eastAsia" w:ascii="Times New Roman" w:hAnsi="Times New Roman" w:cs="Times New Roman"/>
                <w:color w:val="auto"/>
                <w:szCs w:val="24"/>
                <w:lang w:val="en-US" w:eastAsia="zh-CN"/>
              </w:rPr>
              <w:t>②</w:t>
            </w:r>
            <w:r>
              <w:rPr>
                <w:rFonts w:hint="eastAsia" w:ascii="Times New Roman" w:hAnsi="Times New Roman" w:cs="Times New Roman"/>
                <w:color w:val="auto"/>
                <w:szCs w:val="24"/>
              </w:rPr>
              <w:t>现有高噪声设备置于室内，底部设置减震垫，定期检查，遇到破损及时更换。</w:t>
            </w:r>
          </w:p>
          <w:p w14:paraId="2A18758E">
            <w:pPr>
              <w:pStyle w:val="54"/>
              <w:keepNext w:val="0"/>
              <w:keepLines w:val="0"/>
              <w:widowControl/>
              <w:suppressLineNumbers w:val="0"/>
              <w:adjustRightInd/>
              <w:spacing w:before="0" w:beforeAutospacing="0" w:after="0" w:afterAutospacing="0" w:line="360" w:lineRule="auto"/>
              <w:ind w:left="0" w:right="0" w:firstLine="480" w:firstLineChars="200"/>
              <w:rPr>
                <w:rFonts w:hint="default" w:ascii="Times New Roman" w:hAnsi="Times New Roman" w:cs="Times New Roman"/>
                <w:color w:val="auto"/>
                <w:szCs w:val="24"/>
              </w:rPr>
            </w:pPr>
            <w:r>
              <w:rPr>
                <w:rFonts w:hint="eastAsia" w:ascii="Times New Roman" w:hAnsi="Times New Roman" w:cs="Times New Roman"/>
                <w:color w:val="auto"/>
                <w:szCs w:val="24"/>
                <w:lang w:val="en-US" w:eastAsia="zh-CN"/>
              </w:rPr>
              <w:t>③</w:t>
            </w:r>
            <w:r>
              <w:rPr>
                <w:rFonts w:hint="default" w:ascii="Times New Roman" w:hAnsi="Times New Roman" w:cs="Times New Roman"/>
                <w:color w:val="auto"/>
                <w:szCs w:val="24"/>
              </w:rPr>
              <w:t>合理布局，新增的生产设备集中布置在厂房中部；</w:t>
            </w:r>
          </w:p>
          <w:p w14:paraId="0FEA2D2E">
            <w:pPr>
              <w:pStyle w:val="54"/>
              <w:keepNext w:val="0"/>
              <w:keepLines w:val="0"/>
              <w:widowControl/>
              <w:suppressLineNumbers w:val="0"/>
              <w:adjustRightInd/>
              <w:spacing w:before="0" w:beforeAutospacing="0" w:after="0" w:afterAutospacing="0" w:line="360" w:lineRule="auto"/>
              <w:ind w:left="0" w:right="0" w:firstLine="480" w:firstLineChars="200"/>
              <w:rPr>
                <w:rFonts w:hint="default" w:ascii="Times New Roman" w:hAnsi="Times New Roman" w:cs="Times New Roman"/>
                <w:color w:val="auto"/>
                <w:kern w:val="24"/>
              </w:rPr>
            </w:pPr>
            <w:r>
              <w:rPr>
                <w:rFonts w:hint="eastAsia" w:ascii="Times New Roman" w:hAnsi="Times New Roman" w:cs="Times New Roman"/>
                <w:color w:val="auto"/>
                <w:szCs w:val="24"/>
                <w:lang w:val="en-US" w:eastAsia="zh-CN"/>
              </w:rPr>
              <w:t>④</w:t>
            </w:r>
            <w:r>
              <w:rPr>
                <w:rFonts w:hint="default" w:ascii="Times New Roman" w:hAnsi="Times New Roman" w:cs="Times New Roman"/>
                <w:color w:val="auto"/>
                <w:szCs w:val="24"/>
              </w:rPr>
              <w:t>加强噪声设备的维修管理，避免因不正常运行所导致的噪声增大；</w:t>
            </w:r>
          </w:p>
          <w:p w14:paraId="5D686370">
            <w:pPr>
              <w:pStyle w:val="54"/>
              <w:keepNext w:val="0"/>
              <w:keepLines w:val="0"/>
              <w:widowControl/>
              <w:suppressLineNumbers w:val="0"/>
              <w:adjustRightInd/>
              <w:spacing w:before="0" w:beforeAutospacing="0" w:after="0" w:afterAutospacing="0" w:line="360" w:lineRule="auto"/>
              <w:ind w:left="0" w:right="0" w:firstLineChars="200"/>
              <w:rPr>
                <w:rFonts w:hint="default" w:ascii="Times New Roman" w:hAnsi="Times New Roman" w:cs="Times New Roman"/>
                <w:b/>
                <w:color w:val="auto"/>
                <w:szCs w:val="24"/>
              </w:rPr>
            </w:pPr>
            <w:r>
              <w:rPr>
                <w:rFonts w:hint="eastAsia" w:ascii="Times New Roman" w:hAnsi="Times New Roman" w:cs="Times New Roman"/>
                <w:b/>
                <w:color w:val="auto"/>
                <w:szCs w:val="24"/>
              </w:rPr>
              <w:t>（4）监测计划</w:t>
            </w:r>
          </w:p>
          <w:p w14:paraId="39995619">
            <w:pPr>
              <w:pStyle w:val="54"/>
              <w:keepNext w:val="0"/>
              <w:keepLines w:val="0"/>
              <w:widowControl/>
              <w:suppressLineNumbers w:val="0"/>
              <w:adjustRightInd/>
              <w:spacing w:before="0" w:beforeAutospacing="0" w:after="0" w:afterAutospacing="0" w:line="360" w:lineRule="auto"/>
              <w:ind w:left="0" w:right="0" w:firstLine="480" w:firstLineChars="200"/>
              <w:rPr>
                <w:rFonts w:hint="default" w:ascii="Times New Roman" w:hAnsi="Times New Roman" w:cs="Times New Roman"/>
                <w:color w:val="auto"/>
              </w:rPr>
            </w:pPr>
            <w:r>
              <w:rPr>
                <w:rFonts w:hint="default" w:ascii="Times New Roman"/>
                <w:color w:val="auto"/>
              </w:rPr>
              <w:t>本项目国民经济行业类别为</w:t>
            </w:r>
            <w:r>
              <w:rPr>
                <w:rFonts w:hint="default" w:ascii="Times New Roman"/>
                <w:bCs/>
                <w:color w:val="auto"/>
              </w:rPr>
              <w:t>C3</w:t>
            </w:r>
            <w:r>
              <w:rPr>
                <w:rFonts w:hint="eastAsia" w:ascii="Times New Roman"/>
                <w:bCs/>
                <w:color w:val="auto"/>
                <w:lang w:val="en-US" w:eastAsia="zh-CN"/>
              </w:rPr>
              <w:t>670汽车零部件及配件</w:t>
            </w:r>
            <w:r>
              <w:rPr>
                <w:rFonts w:hint="default" w:ascii="Times New Roman"/>
                <w:bCs/>
                <w:color w:val="auto"/>
              </w:rPr>
              <w:t>制造</w:t>
            </w:r>
            <w:r>
              <w:rPr>
                <w:rFonts w:hint="eastAsia" w:ascii="Times New Roman"/>
                <w:color w:val="auto"/>
              </w:rPr>
              <w:t>，根据《固定污染源排污许可分类管理名录》（2019年版）规定，企业无需申领排污许可证，故亦无需开展自行监测；鉴于企业运营期有</w:t>
            </w:r>
            <w:r>
              <w:rPr>
                <w:rFonts w:hint="eastAsia" w:ascii="Times New Roman"/>
                <w:color w:val="auto"/>
                <w:lang w:val="en-US" w:eastAsia="zh-CN"/>
              </w:rPr>
              <w:t>噪声</w:t>
            </w:r>
            <w:r>
              <w:rPr>
                <w:rFonts w:hint="eastAsia" w:ascii="Times New Roman"/>
                <w:color w:val="auto"/>
              </w:rPr>
              <w:t>排放，建议企业运营期开展</w:t>
            </w:r>
            <w:r>
              <w:rPr>
                <w:rFonts w:hint="eastAsia" w:ascii="Times New Roman"/>
                <w:color w:val="auto"/>
                <w:lang w:val="en-US" w:eastAsia="zh-CN"/>
              </w:rPr>
              <w:t>噪声</w:t>
            </w:r>
            <w:r>
              <w:rPr>
                <w:rFonts w:hint="eastAsia" w:ascii="Times New Roman"/>
                <w:color w:val="auto"/>
              </w:rPr>
              <w:t>监测。</w:t>
            </w:r>
            <w:r>
              <w:rPr>
                <w:rFonts w:hint="eastAsia" w:ascii="Times New Roman" w:hAnsi="Times New Roman" w:cs="Times New Roman"/>
                <w:color w:val="auto"/>
              </w:rPr>
              <w:t>根据</w:t>
            </w:r>
            <w:r>
              <w:rPr>
                <w:rFonts w:hint="eastAsia" w:ascii="Times New Roman"/>
                <w:color w:val="auto"/>
              </w:rPr>
              <w:t>《排污许可证申请与核发技术规范 总则》（HJ942-2018）、《排污许可证申请与核发技术规范 工业噪声》（HJ 1301-2023）</w:t>
            </w:r>
            <w:r>
              <w:rPr>
                <w:rFonts w:hint="default"/>
                <w:color w:val="auto"/>
              </w:rPr>
              <w:t>，</w:t>
            </w:r>
            <w:r>
              <w:rPr>
                <w:rFonts w:hint="eastAsia"/>
                <w:color w:val="auto"/>
              </w:rPr>
              <w:t>本项目</w:t>
            </w:r>
            <w:r>
              <w:rPr>
                <w:rFonts w:hint="default"/>
                <w:color w:val="auto"/>
              </w:rPr>
              <w:t>监测内容如下表所示</w:t>
            </w:r>
            <w:r>
              <w:rPr>
                <w:rFonts w:hint="eastAsia" w:ascii="Times New Roman" w:hAnsi="Times New Roman" w:cs="Times New Roman"/>
                <w:color w:val="auto"/>
              </w:rPr>
              <w:t>。</w:t>
            </w:r>
          </w:p>
          <w:p w14:paraId="1A8A32D5">
            <w:pPr>
              <w:pStyle w:val="54"/>
              <w:keepNext w:val="0"/>
              <w:keepLines w:val="0"/>
              <w:widowControl/>
              <w:suppressLineNumbers w:val="0"/>
              <w:snapToGrid w:val="0"/>
              <w:spacing w:before="0" w:beforeAutospacing="0" w:after="0" w:afterAutospacing="0" w:line="480" w:lineRule="exact"/>
              <w:ind w:left="0" w:right="0" w:firstLine="0"/>
              <w:jc w:val="center"/>
              <w:rPr>
                <w:rFonts w:hint="default" w:ascii="Times New Roman" w:hAnsi="Times New Roman" w:eastAsia="黑体" w:cs="Times New Roman"/>
                <w:color w:val="auto"/>
              </w:rPr>
            </w:pPr>
            <w:r>
              <w:rPr>
                <w:rFonts w:hint="default" w:ascii="Times New Roman" w:hAnsi="Times New Roman" w:eastAsia="黑体" w:cs="Times New Roman"/>
                <w:color w:val="auto"/>
              </w:rPr>
              <w:t>表</w:t>
            </w:r>
            <w:r>
              <w:rPr>
                <w:rFonts w:hint="eastAsia" w:ascii="Times New Roman" w:hAnsi="Times New Roman" w:eastAsia="黑体" w:cs="Times New Roman"/>
                <w:color w:val="auto"/>
              </w:rPr>
              <w:t>4-</w:t>
            </w:r>
            <w:r>
              <w:rPr>
                <w:rFonts w:hint="eastAsia" w:ascii="Times New Roman" w:hAnsi="Times New Roman" w:eastAsia="黑体" w:cs="Times New Roman"/>
                <w:color w:val="auto"/>
                <w:lang w:val="en-US" w:eastAsia="zh-CN"/>
              </w:rPr>
              <w:t>9</w:t>
            </w:r>
            <w:r>
              <w:rPr>
                <w:rFonts w:hint="eastAsia" w:ascii="Times New Roman" w:hAnsi="Times New Roman" w:eastAsia="黑体" w:cs="Times New Roman"/>
                <w:color w:val="auto"/>
              </w:rPr>
              <w:t xml:space="preserve">  </w:t>
            </w:r>
            <w:r>
              <w:rPr>
                <w:rFonts w:hint="default" w:ascii="Times New Roman" w:hAnsi="Times New Roman" w:eastAsia="黑体" w:cs="Times New Roman"/>
                <w:color w:val="auto"/>
              </w:rPr>
              <w:t>项目噪声环境监测计划一览表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081"/>
              <w:gridCol w:w="1767"/>
              <w:gridCol w:w="1083"/>
              <w:gridCol w:w="2998"/>
            </w:tblGrid>
            <w:tr w14:paraId="594557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14:paraId="10AC3D06">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类别</w:t>
                  </w:r>
                </w:p>
              </w:tc>
              <w:tc>
                <w:tcPr>
                  <w:tcW w:w="1081" w:type="dxa"/>
                  <w:vAlign w:val="center"/>
                </w:tcPr>
                <w:p w14:paraId="776DB22C">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监测点位</w:t>
                  </w:r>
                </w:p>
              </w:tc>
              <w:tc>
                <w:tcPr>
                  <w:tcW w:w="1767" w:type="dxa"/>
                  <w:vAlign w:val="center"/>
                </w:tcPr>
                <w:p w14:paraId="45A7CF84">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监测指标</w:t>
                  </w:r>
                </w:p>
              </w:tc>
              <w:tc>
                <w:tcPr>
                  <w:tcW w:w="1083" w:type="dxa"/>
                  <w:vAlign w:val="center"/>
                </w:tcPr>
                <w:p w14:paraId="2A856CD7">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监测频次</w:t>
                  </w:r>
                </w:p>
              </w:tc>
              <w:tc>
                <w:tcPr>
                  <w:tcW w:w="2998" w:type="dxa"/>
                  <w:vAlign w:val="center"/>
                </w:tcPr>
                <w:p w14:paraId="2EB611D6">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执行标准</w:t>
                  </w:r>
                </w:p>
              </w:tc>
            </w:tr>
            <w:tr w14:paraId="685C84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9" w:type="dxa"/>
                  <w:vAlign w:val="center"/>
                </w:tcPr>
                <w:p w14:paraId="499E52A6">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噪声</w:t>
                  </w:r>
                </w:p>
              </w:tc>
              <w:tc>
                <w:tcPr>
                  <w:tcW w:w="1081" w:type="dxa"/>
                  <w:vAlign w:val="center"/>
                </w:tcPr>
                <w:p w14:paraId="67EA09A6">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厂界</w:t>
                  </w:r>
                </w:p>
              </w:tc>
              <w:tc>
                <w:tcPr>
                  <w:tcW w:w="1767" w:type="dxa"/>
                  <w:vAlign w:val="center"/>
                </w:tcPr>
                <w:p w14:paraId="7859B460">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等效连续A声级</w:t>
                  </w:r>
                </w:p>
              </w:tc>
              <w:tc>
                <w:tcPr>
                  <w:tcW w:w="1083" w:type="dxa"/>
                  <w:vAlign w:val="center"/>
                </w:tcPr>
                <w:p w14:paraId="1C49FBAC">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1次/季度</w:t>
                  </w:r>
                </w:p>
              </w:tc>
              <w:tc>
                <w:tcPr>
                  <w:tcW w:w="2998" w:type="dxa"/>
                  <w:vAlign w:val="center"/>
                </w:tcPr>
                <w:p w14:paraId="0EE62D2C">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（GB12348-2008）</w:t>
                  </w:r>
                  <w:r>
                    <w:rPr>
                      <w:rFonts w:hint="eastAsia" w:ascii="Times New Roman" w:hAnsi="Times New Roman" w:cs="Times New Roman"/>
                      <w:color w:val="auto"/>
                      <w:kern w:val="2"/>
                      <w:sz w:val="21"/>
                      <w:szCs w:val="21"/>
                    </w:rPr>
                    <w:t>3</w:t>
                  </w:r>
                  <w:r>
                    <w:rPr>
                      <w:rFonts w:hint="default" w:ascii="Times New Roman" w:hAnsi="Times New Roman" w:cs="Times New Roman"/>
                      <w:color w:val="auto"/>
                      <w:kern w:val="2"/>
                      <w:sz w:val="21"/>
                      <w:szCs w:val="21"/>
                    </w:rPr>
                    <w:t>类区标准</w:t>
                  </w:r>
                </w:p>
              </w:tc>
            </w:tr>
          </w:tbl>
          <w:p w14:paraId="5E6296F7">
            <w:pPr>
              <w:keepNext w:val="0"/>
              <w:keepLines w:val="0"/>
              <w:widowControl/>
              <w:suppressLineNumbers w:val="0"/>
              <w:spacing w:before="0" w:beforeAutospacing="0" w:after="0" w:afterAutospacing="0" w:line="440" w:lineRule="exact"/>
              <w:ind w:left="0" w:right="0" w:firstLine="472" w:firstLineChars="196"/>
              <w:rPr>
                <w:rFonts w:hint="default" w:ascii="Times New Roman" w:hAnsi="Times New Roman" w:cs="Times New Roman"/>
                <w:b/>
                <w:color w:val="auto"/>
                <w:kern w:val="2"/>
              </w:rPr>
            </w:pPr>
            <w:r>
              <w:rPr>
                <w:rFonts w:hint="eastAsia" w:ascii="Times New Roman" w:hAnsi="Times New Roman" w:cs="Times New Roman"/>
                <w:b/>
                <w:color w:val="auto"/>
                <w:kern w:val="2"/>
              </w:rPr>
              <w:t>4、固体废物处置措施及管理要求</w:t>
            </w:r>
          </w:p>
          <w:p w14:paraId="337B0D2D">
            <w:pPr>
              <w:keepNext w:val="0"/>
              <w:keepLines w:val="0"/>
              <w:widowControl/>
              <w:suppressLineNumbers w:val="0"/>
              <w:autoSpaceDE w:val="0"/>
              <w:autoSpaceDN w:val="0"/>
              <w:spacing w:before="0" w:beforeAutospacing="0" w:after="0" w:afterAutospacing="0" w:line="360" w:lineRule="auto"/>
              <w:ind w:left="0" w:right="0" w:firstLine="480" w:firstLineChars="200"/>
              <w:rPr>
                <w:rFonts w:hint="default" w:ascii="Times New Roman" w:cs="Times New Roman"/>
                <w:color w:val="auto"/>
                <w:kern w:val="2"/>
              </w:rPr>
            </w:pPr>
            <w:r>
              <w:rPr>
                <w:rFonts w:hint="eastAsia" w:ascii="Times New Roman" w:cs="Times New Roman"/>
                <w:color w:val="auto"/>
                <w:kern w:val="2"/>
              </w:rPr>
              <w:t>项目生产过程中产生的固体废物主要为一般工业固体废物、危险废物和生活垃圾。一般固体废物主要包括不合格零件、废包装材料；危险废物包括废活性炭、废润滑油、废包装桶、废胶管和含油抹布。</w:t>
            </w:r>
          </w:p>
          <w:p w14:paraId="023C0781">
            <w:pPr>
              <w:keepNext w:val="0"/>
              <w:keepLines w:val="0"/>
              <w:widowControl/>
              <w:suppressLineNumbers w:val="0"/>
              <w:spacing w:before="0" w:beforeAutospacing="0" w:after="0" w:afterAutospacing="0" w:line="358" w:lineRule="auto"/>
              <w:ind w:left="0" w:right="0" w:firstLine="480" w:firstLineChars="200"/>
              <w:rPr>
                <w:rFonts w:hint="default" w:ascii="Times New Roman" w:cs="Times New Roman"/>
                <w:color w:val="auto"/>
                <w:kern w:val="2"/>
              </w:rPr>
            </w:pPr>
            <w:r>
              <w:rPr>
                <w:rFonts w:hint="eastAsia" w:ascii="Times New Roman" w:cs="Times New Roman"/>
                <w:color w:val="auto"/>
                <w:kern w:val="2"/>
              </w:rPr>
              <w:t>（1）一般工业固体废物</w:t>
            </w:r>
          </w:p>
          <w:p w14:paraId="2E97F44E">
            <w:pPr>
              <w:keepNext w:val="0"/>
              <w:keepLines w:val="0"/>
              <w:widowControl/>
              <w:suppressLineNumbers w:val="0"/>
              <w:autoSpaceDE w:val="0"/>
              <w:autoSpaceDN w:val="0"/>
              <w:spacing w:before="0" w:beforeAutospacing="0" w:after="0" w:afterAutospacing="0" w:line="360" w:lineRule="auto"/>
              <w:ind w:left="0" w:right="0" w:firstLine="480" w:firstLineChars="200"/>
              <w:rPr>
                <w:rFonts w:hint="default" w:ascii="Times New Roman" w:cs="Times New Roman"/>
                <w:color w:val="auto"/>
                <w:kern w:val="2"/>
              </w:rPr>
            </w:pPr>
            <w:r>
              <w:rPr>
                <w:rFonts w:hint="eastAsia" w:ascii="Times New Roman" w:cs="Times New Roman"/>
                <w:color w:val="auto"/>
                <w:kern w:val="2"/>
              </w:rPr>
              <w:t>①不合格零件</w:t>
            </w:r>
          </w:p>
          <w:p w14:paraId="1652CD6E">
            <w:pPr>
              <w:keepNext w:val="0"/>
              <w:keepLines w:val="0"/>
              <w:widowControl/>
              <w:suppressLineNumbers w:val="0"/>
              <w:spacing w:before="0" w:beforeAutospacing="0" w:after="0" w:afterAutospacing="0" w:line="358" w:lineRule="auto"/>
              <w:ind w:left="0" w:right="0" w:firstLine="480" w:firstLineChars="200"/>
              <w:rPr>
                <w:rFonts w:hint="default" w:ascii="Times New Roman" w:cs="Times New Roman"/>
                <w:color w:val="auto"/>
                <w:kern w:val="2"/>
              </w:rPr>
            </w:pPr>
            <w:r>
              <w:rPr>
                <w:rFonts w:hint="default" w:ascii="Times New Roman" w:hAnsi="Times New Roman" w:cs="Times New Roman"/>
                <w:color w:val="auto"/>
                <w:kern w:val="2"/>
              </w:rPr>
              <w:t>根据建设单位提供的相关资料，本项目清洗工序、检测工序会检出不合格零件，产生量约</w:t>
            </w:r>
            <w:r>
              <w:rPr>
                <w:rFonts w:hint="eastAsia" w:ascii="Times New Roman" w:hAnsi="Times New Roman" w:cs="Times New Roman"/>
                <w:color w:val="auto"/>
                <w:kern w:val="2"/>
              </w:rPr>
              <w:t>1.4</w:t>
            </w:r>
            <w:r>
              <w:rPr>
                <w:rFonts w:hint="default" w:ascii="Times New Roman" w:hAnsi="Times New Roman" w:cs="Times New Roman"/>
                <w:color w:val="auto"/>
                <w:kern w:val="2"/>
              </w:rPr>
              <w:t>t/a，不合格零件</w:t>
            </w:r>
            <w:r>
              <w:rPr>
                <w:rFonts w:hint="default" w:ascii="Times New Roman" w:hAnsi="Times New Roman"/>
                <w:color w:val="auto"/>
                <w:kern w:val="2"/>
              </w:rPr>
              <w:t>废物种类为SW59其他工业固体废物，废物代码为900-099-S59，收集后暂存于一般固废暂存间</w:t>
            </w:r>
            <w:r>
              <w:rPr>
                <w:rFonts w:hint="eastAsia" w:ascii="Times New Roman" w:hAnsi="Times New Roman"/>
                <w:color w:val="auto"/>
                <w:kern w:val="2"/>
              </w:rPr>
              <w:t>，</w:t>
            </w:r>
            <w:r>
              <w:rPr>
                <w:rFonts w:hint="default" w:ascii="Times New Roman" w:hAnsi="Times New Roman" w:cs="Times New Roman"/>
                <w:color w:val="auto"/>
                <w:kern w:val="2"/>
              </w:rPr>
              <w:t>统一收集后返原厂家处理</w:t>
            </w:r>
            <w:r>
              <w:rPr>
                <w:rFonts w:hint="eastAsia" w:ascii="Times New Roman" w:cs="Times New Roman"/>
                <w:color w:val="auto"/>
                <w:kern w:val="2"/>
              </w:rPr>
              <w:t>。</w:t>
            </w:r>
          </w:p>
          <w:p w14:paraId="267D748B">
            <w:pPr>
              <w:keepNext w:val="0"/>
              <w:keepLines w:val="0"/>
              <w:widowControl w:val="0"/>
              <w:suppressLineNumbers w:val="0"/>
              <w:autoSpaceDE w:val="0"/>
              <w:autoSpaceDN w:val="0"/>
              <w:spacing w:before="0" w:beforeAutospacing="0" w:after="0" w:afterAutospacing="0" w:line="360" w:lineRule="auto"/>
              <w:ind w:left="0" w:right="0" w:firstLine="480" w:firstLineChars="200"/>
              <w:rPr>
                <w:rFonts w:hint="default" w:ascii="Times New Roman" w:cs="Times New Roman"/>
                <w:color w:val="auto"/>
                <w:kern w:val="2"/>
                <w:szCs w:val="22"/>
              </w:rPr>
            </w:pPr>
            <w:r>
              <w:rPr>
                <w:rFonts w:hint="eastAsia" w:ascii="Times New Roman" w:cs="Times New Roman"/>
                <w:color w:val="auto"/>
                <w:kern w:val="2"/>
              </w:rPr>
              <w:t>②废包装材料</w:t>
            </w:r>
          </w:p>
          <w:p w14:paraId="3A3F2889">
            <w:pPr>
              <w:keepNext w:val="0"/>
              <w:keepLines w:val="0"/>
              <w:widowControl w:val="0"/>
              <w:suppressLineNumbers w:val="0"/>
              <w:autoSpaceDE w:val="0"/>
              <w:autoSpaceDN w:val="0"/>
              <w:spacing w:before="0" w:beforeAutospacing="0" w:after="0" w:afterAutospacing="0" w:line="360" w:lineRule="auto"/>
              <w:ind w:left="0" w:right="0" w:firstLine="480" w:firstLineChars="200"/>
              <w:rPr>
                <w:rFonts w:hint="default" w:ascii="Times New Roman" w:cs="Times New Roman"/>
                <w:color w:val="auto"/>
                <w:kern w:val="2"/>
              </w:rPr>
            </w:pPr>
            <w:r>
              <w:rPr>
                <w:rFonts w:hint="default" w:ascii="Times New Roman" w:hAnsi="Times New Roman" w:cs="Times New Roman"/>
                <w:color w:val="auto"/>
                <w:kern w:val="2"/>
              </w:rPr>
              <w:t>本项目原辅材料使用和成品打包过程中会产生一定的废包装材料，根据建设单位提供的资料，本项目废包装材料产生量为</w:t>
            </w:r>
            <w:r>
              <w:rPr>
                <w:rFonts w:hint="eastAsia" w:ascii="Times New Roman" w:hAnsi="Times New Roman" w:cs="Times New Roman"/>
                <w:color w:val="auto"/>
                <w:kern w:val="2"/>
              </w:rPr>
              <w:t>0.6</w:t>
            </w:r>
            <w:r>
              <w:rPr>
                <w:rFonts w:hint="default" w:ascii="Times New Roman" w:hAnsi="Times New Roman" w:cs="Times New Roman"/>
                <w:color w:val="auto"/>
                <w:kern w:val="2"/>
              </w:rPr>
              <w:t>t/a，废包装材料</w:t>
            </w:r>
            <w:r>
              <w:rPr>
                <w:rFonts w:hint="default" w:ascii="Times New Roman" w:hAnsi="Times New Roman"/>
                <w:color w:val="auto"/>
                <w:kern w:val="2"/>
              </w:rPr>
              <w:t>废物种类为SW59其他工业固体废物，废物代码为900-099-S59，收集后暂存于一般固废暂存间，</w:t>
            </w:r>
            <w:r>
              <w:rPr>
                <w:rFonts w:hint="eastAsia" w:ascii="Times New Roman" w:hAnsi="Times New Roman"/>
                <w:color w:val="auto"/>
                <w:kern w:val="2"/>
              </w:rPr>
              <w:t>外售综合</w:t>
            </w:r>
            <w:r>
              <w:rPr>
                <w:rFonts w:hint="default" w:ascii="Times New Roman" w:hAnsi="Times New Roman"/>
                <w:color w:val="auto"/>
                <w:kern w:val="2"/>
              </w:rPr>
              <w:t>利用</w:t>
            </w:r>
            <w:r>
              <w:rPr>
                <w:rFonts w:hint="default" w:ascii="Times New Roman" w:hAnsi="Times New Roman" w:cs="Times New Roman"/>
                <w:color w:val="auto"/>
                <w:kern w:val="2"/>
              </w:rPr>
              <w:t>。</w:t>
            </w:r>
          </w:p>
          <w:p w14:paraId="5BFE44A3">
            <w:pPr>
              <w:keepNext w:val="0"/>
              <w:keepLines w:val="0"/>
              <w:widowControl/>
              <w:suppressLineNumbers w:val="0"/>
              <w:spacing w:before="0" w:beforeAutospacing="0" w:after="0" w:afterAutospacing="0" w:line="360" w:lineRule="auto"/>
              <w:ind w:left="0" w:right="0" w:firstLine="482"/>
              <w:rPr>
                <w:rFonts w:hint="default" w:ascii="Times New Roman" w:cs="Times New Roman"/>
                <w:bCs/>
                <w:color w:val="auto"/>
                <w:kern w:val="2"/>
              </w:rPr>
            </w:pPr>
            <w:r>
              <w:rPr>
                <w:rFonts w:hint="default" w:ascii="Times New Roman" w:cs="Times New Roman"/>
                <w:bCs/>
                <w:color w:val="auto"/>
                <w:kern w:val="2"/>
              </w:rPr>
              <w:t>（</w:t>
            </w:r>
            <w:r>
              <w:rPr>
                <w:rFonts w:hint="eastAsia" w:ascii="Times New Roman" w:cs="Times New Roman"/>
                <w:bCs/>
                <w:color w:val="auto"/>
                <w:kern w:val="2"/>
              </w:rPr>
              <w:t>2</w:t>
            </w:r>
            <w:r>
              <w:rPr>
                <w:rFonts w:hint="default" w:ascii="Times New Roman" w:cs="Times New Roman"/>
                <w:bCs/>
                <w:color w:val="auto"/>
                <w:kern w:val="2"/>
              </w:rPr>
              <w:t>）危险废物</w:t>
            </w:r>
          </w:p>
          <w:p w14:paraId="2B4925C0">
            <w:pPr>
              <w:keepNext w:val="0"/>
              <w:keepLines w:val="0"/>
              <w:widowControl/>
              <w:suppressLineNumbers w:val="0"/>
              <w:spacing w:before="0" w:beforeAutospacing="0" w:after="0" w:afterAutospacing="0" w:line="360" w:lineRule="auto"/>
              <w:ind w:left="0" w:right="0" w:firstLine="482" w:firstLineChars="200"/>
              <w:jc w:val="both"/>
              <w:rPr>
                <w:rFonts w:hint="default" w:ascii="Times New Roman" w:cs="Times New Roman"/>
                <w:color w:val="auto"/>
                <w:kern w:val="2"/>
              </w:rPr>
            </w:pPr>
            <w:r>
              <w:rPr>
                <w:rFonts w:hint="eastAsia" w:ascii="Times New Roman" w:hAnsi="Times New Roman" w:cs="Times New Roman"/>
                <w:b/>
                <w:bCs/>
                <w:color w:val="auto"/>
                <w:kern w:val="2"/>
              </w:rPr>
              <w:t>废润滑油：</w:t>
            </w:r>
            <w:r>
              <w:rPr>
                <w:rFonts w:hint="default" w:ascii="Times New Roman" w:hAnsi="Times New Roman"/>
                <w:color w:val="auto"/>
                <w:kern w:val="2"/>
              </w:rPr>
              <w:t>项目在设备</w:t>
            </w:r>
            <w:r>
              <w:rPr>
                <w:rFonts w:hint="eastAsia" w:ascii="Times New Roman" w:hAnsi="Times New Roman"/>
                <w:color w:val="auto"/>
                <w:kern w:val="2"/>
              </w:rPr>
              <w:t>生产</w:t>
            </w:r>
            <w:r>
              <w:rPr>
                <w:rFonts w:hint="default" w:ascii="Times New Roman" w:hAnsi="Times New Roman"/>
                <w:color w:val="auto"/>
                <w:kern w:val="2"/>
              </w:rPr>
              <w:t>检修维护过程中使用</w:t>
            </w:r>
            <w:r>
              <w:rPr>
                <w:rFonts w:hint="eastAsia" w:ascii="Times New Roman" w:hAnsi="Times New Roman"/>
                <w:color w:val="auto"/>
                <w:kern w:val="2"/>
              </w:rPr>
              <w:t>润滑</w:t>
            </w:r>
            <w:r>
              <w:rPr>
                <w:rFonts w:hint="default" w:ascii="Times New Roman" w:hAnsi="Times New Roman"/>
                <w:color w:val="auto"/>
                <w:kern w:val="2"/>
              </w:rPr>
              <w:t>油后会产生少量废</w:t>
            </w:r>
            <w:r>
              <w:rPr>
                <w:rFonts w:hint="eastAsia" w:ascii="Times New Roman" w:hAnsi="Times New Roman"/>
                <w:color w:val="auto"/>
                <w:kern w:val="2"/>
              </w:rPr>
              <w:t>润滑</w:t>
            </w:r>
            <w:r>
              <w:rPr>
                <w:rFonts w:hint="default" w:ascii="Times New Roman" w:hAnsi="Times New Roman"/>
                <w:color w:val="auto"/>
                <w:kern w:val="2"/>
              </w:rPr>
              <w:t>油。根据企业提供资料，本项目产生0.0</w:t>
            </w:r>
            <w:r>
              <w:rPr>
                <w:rFonts w:hint="eastAsia" w:ascii="Times New Roman" w:hAnsi="Times New Roman"/>
                <w:color w:val="auto"/>
                <w:kern w:val="2"/>
              </w:rPr>
              <w:t>1</w:t>
            </w:r>
            <w:r>
              <w:rPr>
                <w:rFonts w:hint="default" w:ascii="Times New Roman" w:hAnsi="Times New Roman"/>
                <w:color w:val="auto"/>
                <w:kern w:val="2"/>
              </w:rPr>
              <w:t>t/a废</w:t>
            </w:r>
            <w:r>
              <w:rPr>
                <w:rFonts w:hint="eastAsia" w:ascii="Times New Roman" w:hAnsi="Times New Roman"/>
                <w:color w:val="auto"/>
                <w:kern w:val="2"/>
              </w:rPr>
              <w:t>润滑</w:t>
            </w:r>
            <w:r>
              <w:rPr>
                <w:rFonts w:hint="default" w:ascii="Times New Roman" w:hAnsi="Times New Roman"/>
                <w:color w:val="auto"/>
                <w:kern w:val="2"/>
              </w:rPr>
              <w:t>油。根据《国家危险废物名录》（2025年版），废</w:t>
            </w:r>
            <w:r>
              <w:rPr>
                <w:rFonts w:hint="eastAsia" w:ascii="Times New Roman" w:hAnsi="Times New Roman"/>
                <w:color w:val="auto"/>
                <w:kern w:val="2"/>
              </w:rPr>
              <w:t>润滑</w:t>
            </w:r>
            <w:r>
              <w:rPr>
                <w:rFonts w:hint="default" w:ascii="Times New Roman" w:hAnsi="Times New Roman"/>
                <w:color w:val="auto"/>
                <w:kern w:val="2"/>
              </w:rPr>
              <w:t>油属于HW08（废矿物油与含矿物油废物），危废代码：900-200-08，收集后暂存于危险废物暂存间，委托有资质单位定期处置</w:t>
            </w:r>
            <w:r>
              <w:rPr>
                <w:rFonts w:hint="default" w:ascii="Times New Roman" w:cs="Times New Roman"/>
                <w:color w:val="auto"/>
                <w:kern w:val="2"/>
              </w:rPr>
              <w:t>。</w:t>
            </w:r>
          </w:p>
          <w:p w14:paraId="2F5CF7A7">
            <w:pPr>
              <w:keepNext w:val="0"/>
              <w:keepLines w:val="0"/>
              <w:widowControl/>
              <w:suppressLineNumbers w:val="0"/>
              <w:spacing w:before="0" w:beforeAutospacing="0" w:after="0" w:afterAutospacing="0" w:line="360" w:lineRule="auto"/>
              <w:ind w:left="0" w:right="0" w:firstLine="482"/>
              <w:rPr>
                <w:rFonts w:hint="default" w:ascii="Times New Roman" w:cs="Times New Roman"/>
                <w:bCs/>
                <w:color w:val="auto"/>
                <w:kern w:val="2"/>
              </w:rPr>
            </w:pPr>
            <w:r>
              <w:rPr>
                <w:rFonts w:hint="default" w:ascii="Times New Roman" w:cs="Times New Roman"/>
                <w:b/>
                <w:bCs/>
                <w:color w:val="auto"/>
                <w:kern w:val="2"/>
              </w:rPr>
              <w:t>废</w:t>
            </w:r>
            <w:r>
              <w:rPr>
                <w:rFonts w:hint="eastAsia" w:ascii="Times New Roman" w:cs="Times New Roman"/>
                <w:b/>
                <w:bCs/>
                <w:color w:val="auto"/>
                <w:kern w:val="2"/>
              </w:rPr>
              <w:t>包装</w:t>
            </w:r>
            <w:r>
              <w:rPr>
                <w:rFonts w:hint="default" w:ascii="Times New Roman" w:cs="Times New Roman"/>
                <w:b/>
                <w:bCs/>
                <w:color w:val="auto"/>
                <w:kern w:val="2"/>
              </w:rPr>
              <w:t>桶：</w:t>
            </w:r>
            <w:r>
              <w:rPr>
                <w:rFonts w:hint="default" w:ascii="Times New Roman" w:hAnsi="Times New Roman" w:cs="Times New Roman"/>
                <w:color w:val="auto"/>
                <w:kern w:val="2"/>
              </w:rPr>
              <w:t>项目在使用各类化学品、清洗剂等产生的废桶，</w:t>
            </w:r>
            <w:r>
              <w:rPr>
                <w:rFonts w:hint="eastAsia" w:ascii="Times New Roman" w:hAnsi="Times New Roman" w:cs="Times New Roman"/>
                <w:color w:val="auto"/>
                <w:kern w:val="2"/>
              </w:rPr>
              <w:t>根据企业提供资料，</w:t>
            </w:r>
            <w:r>
              <w:rPr>
                <w:rFonts w:hint="default" w:ascii="Times New Roman" w:hAnsi="Times New Roman" w:cs="Times New Roman"/>
                <w:color w:val="auto"/>
                <w:kern w:val="2"/>
              </w:rPr>
              <w:t>其产生量约为</w:t>
            </w:r>
            <w:r>
              <w:rPr>
                <w:rFonts w:hint="eastAsia" w:ascii="Times New Roman" w:hAnsi="Times New Roman" w:cs="Times New Roman"/>
                <w:color w:val="auto"/>
                <w:kern w:val="2"/>
              </w:rPr>
              <w:t>0.3</w:t>
            </w:r>
            <w:r>
              <w:rPr>
                <w:rFonts w:hint="default" w:ascii="Times New Roman" w:hAnsi="Times New Roman" w:cs="Times New Roman"/>
                <w:color w:val="auto"/>
                <w:kern w:val="2"/>
              </w:rPr>
              <w:t>t/a</w:t>
            </w:r>
            <w:r>
              <w:rPr>
                <w:rFonts w:hint="eastAsia" w:ascii="Times New Roman" w:cs="Times New Roman"/>
                <w:bCs/>
                <w:color w:val="auto"/>
                <w:kern w:val="2"/>
              </w:rPr>
              <w:t>，</w:t>
            </w:r>
            <w:r>
              <w:rPr>
                <w:rFonts w:hint="default" w:ascii="Times New Roman" w:hAnsi="Times New Roman"/>
                <w:color w:val="auto"/>
                <w:kern w:val="2"/>
              </w:rPr>
              <w:t>根据《国家危险废物名录》（2025年版），废</w:t>
            </w:r>
            <w:r>
              <w:rPr>
                <w:rFonts w:hint="eastAsia" w:ascii="Times New Roman" w:hAnsi="Times New Roman"/>
                <w:color w:val="auto"/>
                <w:kern w:val="2"/>
              </w:rPr>
              <w:t>包装桶</w:t>
            </w:r>
            <w:r>
              <w:rPr>
                <w:rFonts w:hint="default" w:ascii="Times New Roman" w:hAnsi="Times New Roman"/>
                <w:color w:val="auto"/>
                <w:kern w:val="2"/>
              </w:rPr>
              <w:t>属于HW49（其他废物），危废代码：900-041-49，收集后暂存于危险废物暂存间，委托有资质单位定期处置</w:t>
            </w:r>
            <w:r>
              <w:rPr>
                <w:rFonts w:hint="eastAsia" w:ascii="Times New Roman" w:cs="Times New Roman"/>
                <w:bCs/>
                <w:color w:val="auto"/>
                <w:kern w:val="2"/>
              </w:rPr>
              <w:t>。</w:t>
            </w:r>
          </w:p>
          <w:p w14:paraId="1DC461B1">
            <w:pPr>
              <w:keepNext w:val="0"/>
              <w:keepLines w:val="0"/>
              <w:widowControl/>
              <w:suppressLineNumbers w:val="0"/>
              <w:spacing w:before="0" w:beforeAutospacing="0" w:after="0" w:afterAutospacing="0" w:line="360" w:lineRule="auto"/>
              <w:ind w:left="0" w:right="0" w:firstLine="482" w:firstLineChars="200"/>
              <w:jc w:val="both"/>
              <w:rPr>
                <w:rFonts w:hint="default" w:ascii="Times New Roman" w:hAnsi="Times New Roman" w:cs="Times New Roman"/>
                <w:color w:val="auto"/>
                <w:kern w:val="2"/>
              </w:rPr>
            </w:pPr>
            <w:r>
              <w:rPr>
                <w:rFonts w:hint="eastAsia" w:ascii="Times New Roman" w:hAnsi="Times New Roman" w:cs="Times New Roman"/>
                <w:b/>
                <w:bCs/>
                <w:color w:val="auto"/>
                <w:kern w:val="2"/>
              </w:rPr>
              <w:t>废胶管：</w:t>
            </w:r>
            <w:r>
              <w:rPr>
                <w:rFonts w:hint="default" w:ascii="Times New Roman" w:hAnsi="Times New Roman" w:cs="Times New Roman"/>
                <w:color w:val="auto"/>
                <w:kern w:val="2"/>
              </w:rPr>
              <w:t>本项目使用的密封胶产生废胶管，</w:t>
            </w:r>
            <w:r>
              <w:rPr>
                <w:rFonts w:hint="eastAsia" w:ascii="Times New Roman" w:hAnsi="Times New Roman" w:cs="Times New Roman"/>
                <w:color w:val="auto"/>
                <w:kern w:val="2"/>
              </w:rPr>
              <w:t>根据企业提供资料，</w:t>
            </w:r>
            <w:r>
              <w:rPr>
                <w:rFonts w:hint="default" w:ascii="Times New Roman" w:hAnsi="Times New Roman" w:cs="Times New Roman"/>
                <w:color w:val="auto"/>
                <w:kern w:val="2"/>
              </w:rPr>
              <w:t>其产生量约为0.06t/a。</w:t>
            </w:r>
            <w:r>
              <w:rPr>
                <w:rFonts w:hint="default" w:ascii="Times New Roman" w:hAnsi="Times New Roman"/>
                <w:color w:val="auto"/>
                <w:kern w:val="2"/>
              </w:rPr>
              <w:t>根据《国家危险废物名录》（2025年版），废</w:t>
            </w:r>
            <w:r>
              <w:rPr>
                <w:rFonts w:hint="eastAsia" w:ascii="Times New Roman" w:hAnsi="Times New Roman"/>
                <w:color w:val="auto"/>
                <w:kern w:val="2"/>
              </w:rPr>
              <w:t>胶管</w:t>
            </w:r>
            <w:r>
              <w:rPr>
                <w:rFonts w:hint="default" w:ascii="Times New Roman" w:hAnsi="Times New Roman"/>
                <w:color w:val="auto"/>
                <w:kern w:val="2"/>
              </w:rPr>
              <w:t>属于HW49（其他废物），危废代码：900-041-49，收集后暂存于危险废物暂存间，委托有资质单位定期处置</w:t>
            </w:r>
            <w:r>
              <w:rPr>
                <w:rFonts w:hint="eastAsia" w:ascii="Times New Roman" w:hAnsi="Times New Roman" w:cs="Times New Roman"/>
                <w:color w:val="auto"/>
                <w:kern w:val="2"/>
              </w:rPr>
              <w:t>。</w:t>
            </w:r>
          </w:p>
          <w:p w14:paraId="75115B0F">
            <w:pPr>
              <w:keepNext w:val="0"/>
              <w:keepLines w:val="0"/>
              <w:widowControl/>
              <w:suppressLineNumbers w:val="0"/>
              <w:spacing w:before="0" w:beforeAutospacing="0" w:after="0" w:afterAutospacing="0" w:line="360" w:lineRule="auto"/>
              <w:ind w:left="0" w:right="0" w:firstLine="482" w:firstLineChars="200"/>
              <w:jc w:val="both"/>
              <w:rPr>
                <w:rFonts w:hint="default"/>
                <w:color w:val="auto"/>
                <w:kern w:val="2"/>
              </w:rPr>
            </w:pPr>
            <w:r>
              <w:rPr>
                <w:rFonts w:hint="eastAsia" w:ascii="Times New Roman" w:hAnsi="Times New Roman" w:cs="Times New Roman"/>
                <w:b/>
                <w:bCs/>
                <w:color w:val="auto"/>
                <w:kern w:val="2"/>
              </w:rPr>
              <w:t>含油抹布：</w:t>
            </w:r>
            <w:r>
              <w:rPr>
                <w:rFonts w:hint="default" w:ascii="Times New Roman" w:hAnsi="Times New Roman"/>
                <w:color w:val="auto"/>
                <w:kern w:val="2"/>
              </w:rPr>
              <w:t>项目在设备检修维护过程中使用抹布擦拭后会产生含油废抹布。根据企业提供资料，含油废抹布产生量约为0.</w:t>
            </w:r>
            <w:r>
              <w:rPr>
                <w:rFonts w:hint="eastAsia" w:ascii="Times New Roman" w:hAnsi="Times New Roman"/>
                <w:color w:val="auto"/>
                <w:kern w:val="2"/>
              </w:rPr>
              <w:t>2</w:t>
            </w:r>
            <w:r>
              <w:rPr>
                <w:rFonts w:hint="default" w:ascii="Times New Roman" w:hAnsi="Times New Roman"/>
                <w:color w:val="auto"/>
                <w:kern w:val="2"/>
              </w:rPr>
              <w:t>t/a。根据《国家危险废物名录》（2025年版），含油废抹布属于HW49（其他废物），危废代码：900-041-49，收集后暂存于危废暂存间，委托有资质单位定期处置</w:t>
            </w:r>
            <w:r>
              <w:rPr>
                <w:rFonts w:hint="eastAsia" w:ascii="Times New Roman" w:hAnsi="Times New Roman" w:cs="Times New Roman"/>
                <w:color w:val="auto"/>
                <w:kern w:val="2"/>
              </w:rPr>
              <w:t>。</w:t>
            </w:r>
          </w:p>
          <w:p w14:paraId="4A3FC2D3">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color w:val="auto"/>
                <w:kern w:val="2"/>
              </w:rPr>
            </w:pPr>
            <w:r>
              <w:rPr>
                <w:rFonts w:hint="eastAsia" w:ascii="Times New Roman" w:hAnsi="Times New Roman" w:cs="Times New Roman"/>
                <w:b/>
                <w:bCs/>
                <w:color w:val="auto"/>
                <w:kern w:val="2"/>
              </w:rPr>
              <w:t>废活性炭：</w:t>
            </w:r>
            <w:r>
              <w:rPr>
                <w:rFonts w:hint="default"/>
                <w:color w:val="auto"/>
                <w:kern w:val="2"/>
              </w:rPr>
              <w:t>项目活性炭处理设施将定期更换废活性炭，本项目活性炭吸收的废气量约为</w:t>
            </w:r>
            <w:r>
              <w:rPr>
                <w:rFonts w:hint="eastAsia" w:ascii="Times New Roman" w:hAnsi="Times New Roman"/>
                <w:color w:val="auto"/>
                <w:kern w:val="2"/>
                <w:lang w:val="en-US" w:eastAsia="zh-CN"/>
              </w:rPr>
              <w:t>0.123</w:t>
            </w:r>
            <w:r>
              <w:rPr>
                <w:rFonts w:hint="default" w:ascii="Times New Roman" w:hAnsi="Times New Roman"/>
                <w:color w:val="auto"/>
                <w:kern w:val="2"/>
              </w:rPr>
              <w:t>t/a</w:t>
            </w:r>
            <w:r>
              <w:rPr>
                <w:rFonts w:hint="default"/>
                <w:color w:val="auto"/>
                <w:kern w:val="2"/>
              </w:rPr>
              <w:t>，活性炭吸附效率按</w:t>
            </w:r>
            <w:r>
              <w:rPr>
                <w:rFonts w:hint="default" w:ascii="Times New Roman" w:hAnsi="Times New Roman"/>
                <w:color w:val="auto"/>
                <w:kern w:val="2"/>
              </w:rPr>
              <w:t>1</w:t>
            </w:r>
            <w:r>
              <w:rPr>
                <w:rFonts w:hint="default"/>
                <w:color w:val="auto"/>
                <w:kern w:val="2"/>
              </w:rPr>
              <w:t>︰</w:t>
            </w:r>
            <w:r>
              <w:rPr>
                <w:rFonts w:hint="default" w:ascii="Times New Roman" w:hAnsi="Times New Roman"/>
                <w:color w:val="auto"/>
                <w:kern w:val="2"/>
              </w:rPr>
              <w:t>0.3</w:t>
            </w:r>
            <w:r>
              <w:rPr>
                <w:rFonts w:hint="default"/>
                <w:color w:val="auto"/>
                <w:kern w:val="2"/>
              </w:rPr>
              <w:t>（活性炭：非甲烷总烃）计</w:t>
            </w:r>
            <w:r>
              <w:rPr>
                <w:rFonts w:hint="default"/>
                <w:color w:val="auto"/>
                <w:kern w:val="2"/>
                <w:highlight w:val="none"/>
              </w:rPr>
              <w:t>，活性炭吸附箱内填装量约为</w:t>
            </w:r>
            <w:r>
              <w:rPr>
                <w:rFonts w:hint="eastAsia" w:ascii="Times New Roman" w:hAnsi="Times New Roman"/>
                <w:color w:val="auto"/>
                <w:kern w:val="2"/>
                <w:highlight w:val="none"/>
                <w:lang w:val="en-US" w:eastAsia="zh-CN"/>
              </w:rPr>
              <w:t>0.10</w:t>
            </w:r>
            <w:r>
              <w:rPr>
                <w:rFonts w:hint="default" w:ascii="Times New Roman" w:hAnsi="Times New Roman"/>
                <w:color w:val="auto"/>
                <w:kern w:val="2"/>
                <w:highlight w:val="none"/>
              </w:rPr>
              <w:t>t</w:t>
            </w:r>
            <w:r>
              <w:rPr>
                <w:rFonts w:hint="default"/>
                <w:color w:val="auto"/>
                <w:kern w:val="2"/>
                <w:highlight w:val="none"/>
              </w:rPr>
              <w:t>，活性炭的更换周期为</w:t>
            </w:r>
            <w:r>
              <w:rPr>
                <w:rFonts w:hint="eastAsia"/>
                <w:color w:val="auto"/>
                <w:kern w:val="2"/>
                <w:highlight w:val="none"/>
                <w:lang w:val="en-US" w:eastAsia="zh-CN"/>
              </w:rPr>
              <w:t>一季度</w:t>
            </w:r>
            <w:r>
              <w:rPr>
                <w:rFonts w:hint="default"/>
                <w:color w:val="auto"/>
                <w:kern w:val="2"/>
                <w:highlight w:val="none"/>
              </w:rPr>
              <w:t>更换一次，则废活性炭产生量为</w:t>
            </w:r>
            <w:r>
              <w:rPr>
                <w:rFonts w:hint="eastAsia" w:ascii="Times New Roman" w:hAnsi="Times New Roman"/>
                <w:color w:val="auto"/>
                <w:kern w:val="2"/>
                <w:highlight w:val="none"/>
                <w:lang w:val="en-US" w:eastAsia="zh-CN"/>
              </w:rPr>
              <w:t>0.40</w:t>
            </w:r>
            <w:r>
              <w:rPr>
                <w:rFonts w:hint="default" w:ascii="Times New Roman" w:hAnsi="Times New Roman"/>
                <w:color w:val="auto"/>
                <w:kern w:val="2"/>
                <w:highlight w:val="none"/>
              </w:rPr>
              <w:t>t/a</w:t>
            </w:r>
            <w:r>
              <w:rPr>
                <w:rFonts w:hint="default"/>
                <w:color w:val="auto"/>
                <w:kern w:val="2"/>
                <w:highlight w:val="none"/>
              </w:rPr>
              <w:t>。根</w:t>
            </w:r>
            <w:r>
              <w:rPr>
                <w:rFonts w:hint="default"/>
                <w:color w:val="auto"/>
                <w:kern w:val="2"/>
              </w:rPr>
              <w:t>据《国家危险废物名录》（</w:t>
            </w:r>
            <w:r>
              <w:rPr>
                <w:rFonts w:hint="default" w:ascii="Times New Roman" w:hAnsi="Times New Roman"/>
                <w:color w:val="auto"/>
                <w:kern w:val="2"/>
              </w:rPr>
              <w:t>2025</w:t>
            </w:r>
            <w:r>
              <w:rPr>
                <w:rFonts w:hint="default"/>
                <w:color w:val="auto"/>
                <w:kern w:val="2"/>
              </w:rPr>
              <w:t>年版），活性炭吸附装置吸附后产生的废活性炭属于</w:t>
            </w:r>
            <w:r>
              <w:rPr>
                <w:rFonts w:hint="default" w:ascii="Times New Roman" w:hAnsi="Times New Roman"/>
                <w:color w:val="auto"/>
                <w:kern w:val="2"/>
              </w:rPr>
              <w:t>HW49</w:t>
            </w:r>
            <w:r>
              <w:rPr>
                <w:rFonts w:hint="default"/>
                <w:color w:val="auto"/>
                <w:kern w:val="2"/>
              </w:rPr>
              <w:t>（其他废物），危废代码：</w:t>
            </w:r>
            <w:r>
              <w:rPr>
                <w:rFonts w:hint="default" w:ascii="Times New Roman" w:hAnsi="Times New Roman"/>
                <w:color w:val="auto"/>
                <w:kern w:val="2"/>
              </w:rPr>
              <w:t>900-039-49</w:t>
            </w:r>
            <w:r>
              <w:rPr>
                <w:rFonts w:hint="default"/>
                <w:color w:val="auto"/>
                <w:kern w:val="2"/>
              </w:rPr>
              <w:t>，更换的废活性炭放置在危废暂存间的密闭容器内暂存，防止吸附物挥发，之后委托有资质单位定期处置</w:t>
            </w:r>
            <w:r>
              <w:rPr>
                <w:rFonts w:hint="default" w:ascii="Times New Roman" w:hAnsi="Times New Roman"/>
                <w:color w:val="auto"/>
                <w:kern w:val="2"/>
              </w:rPr>
              <w:t>。</w:t>
            </w:r>
          </w:p>
          <w:p w14:paraId="76875523">
            <w:pPr>
              <w:keepNext w:val="0"/>
              <w:keepLines w:val="0"/>
              <w:widowControl/>
              <w:suppressLineNumbers w:val="0"/>
              <w:spacing w:before="0" w:beforeAutospacing="0" w:after="0" w:afterAutospacing="0" w:line="360" w:lineRule="auto"/>
              <w:ind w:left="0" w:right="0" w:firstLine="482" w:firstLineChars="200"/>
              <w:jc w:val="both"/>
              <w:rPr>
                <w:rFonts w:hint="default" w:ascii="Times New Roman" w:hAnsi="Times New Roman" w:cs="Times New Roman"/>
                <w:color w:val="auto"/>
                <w:kern w:val="2"/>
                <w:highlight w:val="red"/>
              </w:rPr>
            </w:pPr>
            <w:r>
              <w:rPr>
                <w:rFonts w:hint="default" w:ascii="Times New Roman" w:hAnsi="Times New Roman" w:cs="Times New Roman"/>
                <w:b/>
                <w:bCs/>
                <w:color w:val="auto"/>
                <w:kern w:val="2"/>
              </w:rPr>
              <w:t>废槽液：</w:t>
            </w:r>
            <w:r>
              <w:rPr>
                <w:rFonts w:hint="eastAsia" w:ascii="Times New Roman" w:hAnsi="Times New Roman" w:cs="Times New Roman"/>
                <w:color w:val="auto"/>
                <w:kern w:val="2"/>
                <w:lang w:val="en-US" w:eastAsia="zh-CN"/>
              </w:rPr>
              <w:t>根据物料平衡分析，本项目新增</w:t>
            </w:r>
            <w:r>
              <w:rPr>
                <w:rFonts w:hint="default" w:ascii="Times New Roman" w:hAnsi="Times New Roman" w:cs="Times New Roman"/>
                <w:color w:val="auto"/>
                <w:kern w:val="2"/>
              </w:rPr>
              <w:t>废槽液产生量约为</w:t>
            </w:r>
            <w:r>
              <w:rPr>
                <w:rFonts w:hint="eastAsia" w:ascii="Times New Roman" w:hAnsi="Times New Roman" w:cs="Times New Roman"/>
                <w:color w:val="auto"/>
                <w:kern w:val="2"/>
                <w:lang w:val="en-US" w:eastAsia="zh-CN"/>
              </w:rPr>
              <w:t>1.054</w:t>
            </w:r>
            <w:r>
              <w:rPr>
                <w:rFonts w:hint="default" w:ascii="Times New Roman" w:hAnsi="Times New Roman" w:cs="Times New Roman"/>
                <w:color w:val="auto"/>
                <w:kern w:val="2"/>
              </w:rPr>
              <w:t>t/a。废物类别为HW06属于废有机溶剂与含有机溶剂废物，危废代码</w:t>
            </w:r>
            <w:r>
              <w:rPr>
                <w:rFonts w:hint="eastAsia" w:ascii="Times New Roman" w:hAnsi="Times New Roman" w:cs="Times New Roman"/>
                <w:color w:val="auto"/>
                <w:kern w:val="2"/>
                <w:lang w:eastAsia="zh-CN"/>
              </w:rPr>
              <w:t>：</w:t>
            </w:r>
            <w:r>
              <w:rPr>
                <w:rFonts w:hint="default" w:ascii="Times New Roman" w:hAnsi="Times New Roman" w:cs="Times New Roman"/>
                <w:color w:val="auto"/>
                <w:kern w:val="2"/>
              </w:rPr>
              <w:t>900-404-06</w:t>
            </w:r>
            <w:r>
              <w:rPr>
                <w:rFonts w:hint="default"/>
                <w:color w:val="auto"/>
                <w:kern w:val="2"/>
              </w:rPr>
              <w:t>，</w:t>
            </w:r>
            <w:r>
              <w:rPr>
                <w:rFonts w:hint="eastAsia"/>
                <w:color w:val="auto"/>
                <w:kern w:val="2"/>
                <w:lang w:val="en-US" w:eastAsia="zh-CN"/>
              </w:rPr>
              <w:t>收集</w:t>
            </w:r>
            <w:r>
              <w:rPr>
                <w:rFonts w:hint="default"/>
                <w:color w:val="auto"/>
                <w:kern w:val="2"/>
              </w:rPr>
              <w:t>在危废暂存间的密闭容器内暂存</w:t>
            </w:r>
            <w:r>
              <w:rPr>
                <w:rFonts w:hint="default"/>
                <w:color w:val="auto"/>
                <w:kern w:val="2"/>
                <w:highlight w:val="none"/>
              </w:rPr>
              <w:t>，之后委托</w:t>
            </w:r>
            <w:r>
              <w:rPr>
                <w:rFonts w:hint="eastAsia"/>
                <w:color w:val="auto"/>
                <w:kern w:val="2"/>
                <w:highlight w:val="none"/>
                <w:lang w:val="en-US" w:eastAsia="zh-CN"/>
              </w:rPr>
              <w:t>有资质单位</w:t>
            </w:r>
            <w:r>
              <w:rPr>
                <w:rFonts w:hint="default"/>
                <w:color w:val="auto"/>
                <w:kern w:val="2"/>
                <w:highlight w:val="none"/>
              </w:rPr>
              <w:t>定期处置</w:t>
            </w:r>
            <w:r>
              <w:rPr>
                <w:rFonts w:hint="default" w:ascii="Times New Roman" w:hAnsi="Times New Roman" w:cs="Times New Roman"/>
                <w:color w:val="auto"/>
                <w:kern w:val="2"/>
                <w:highlight w:val="none"/>
              </w:rPr>
              <w:t>。</w:t>
            </w:r>
          </w:p>
          <w:p w14:paraId="0CBA6D37">
            <w:pPr>
              <w:keepNext w:val="0"/>
              <w:keepLines w:val="0"/>
              <w:widowControl/>
              <w:suppressLineNumbers w:val="0"/>
              <w:spacing w:before="0" w:beforeAutospacing="0" w:after="0" w:afterAutospacing="0" w:line="360" w:lineRule="auto"/>
              <w:ind w:left="0" w:right="0" w:firstLine="482" w:firstLineChars="200"/>
              <w:jc w:val="both"/>
              <w:rPr>
                <w:rFonts w:hint="default"/>
                <w:color w:val="auto"/>
                <w:kern w:val="2"/>
              </w:rPr>
            </w:pPr>
            <w:r>
              <w:rPr>
                <w:rFonts w:hint="default" w:ascii="Times New Roman" w:hAnsi="Times New Roman" w:cs="Times New Roman"/>
                <w:b/>
                <w:bCs/>
                <w:color w:val="auto"/>
                <w:kern w:val="2"/>
              </w:rPr>
              <w:t>废滤芯：</w:t>
            </w:r>
            <w:r>
              <w:rPr>
                <w:rFonts w:hint="default" w:ascii="Times New Roman" w:hAnsi="Times New Roman" w:cs="Times New Roman"/>
                <w:color w:val="auto"/>
                <w:kern w:val="2"/>
              </w:rPr>
              <w:t>本项目碳氢清洗机清洗工件时会有少许金属碎屑残留，设备配套设置过滤系统，过滤系统中的滤芯需定期更换，参考同类型企业，</w:t>
            </w:r>
            <w:r>
              <w:rPr>
                <w:rFonts w:hint="eastAsia" w:ascii="Times New Roman" w:hAnsi="Times New Roman" w:cs="Times New Roman"/>
                <w:color w:val="auto"/>
                <w:kern w:val="2"/>
                <w:lang w:val="en-US" w:eastAsia="zh-CN"/>
              </w:rPr>
              <w:t>本项目新增</w:t>
            </w:r>
            <w:r>
              <w:rPr>
                <w:rFonts w:hint="default" w:ascii="Times New Roman" w:hAnsi="Times New Roman" w:cs="Times New Roman"/>
                <w:color w:val="auto"/>
                <w:kern w:val="2"/>
              </w:rPr>
              <w:t>废滤芯（含滤渣）产生量约为0.</w:t>
            </w:r>
            <w:r>
              <w:rPr>
                <w:rFonts w:hint="eastAsia" w:ascii="Times New Roman" w:hAnsi="Times New Roman" w:cs="Times New Roman"/>
                <w:color w:val="auto"/>
                <w:kern w:val="2"/>
                <w:lang w:val="en-US" w:eastAsia="zh-CN"/>
              </w:rPr>
              <w:t>15</w:t>
            </w:r>
            <w:r>
              <w:rPr>
                <w:rFonts w:hint="default" w:ascii="Times New Roman" w:hAnsi="Times New Roman" w:cs="Times New Roman"/>
                <w:color w:val="auto"/>
                <w:kern w:val="2"/>
              </w:rPr>
              <w:t>t/a。废物类别为HW06属于废有机溶剂与含有机溶剂废物，危废代码</w:t>
            </w:r>
            <w:r>
              <w:rPr>
                <w:rFonts w:hint="eastAsia" w:ascii="Times New Roman" w:hAnsi="Times New Roman" w:cs="Times New Roman"/>
                <w:color w:val="auto"/>
                <w:kern w:val="2"/>
                <w:lang w:eastAsia="zh-CN"/>
              </w:rPr>
              <w:t>：</w:t>
            </w:r>
            <w:r>
              <w:rPr>
                <w:rFonts w:hint="default" w:ascii="Times New Roman" w:hAnsi="Times New Roman" w:cs="Times New Roman"/>
                <w:color w:val="auto"/>
                <w:kern w:val="2"/>
              </w:rPr>
              <w:t>900-405-06</w:t>
            </w:r>
            <w:r>
              <w:rPr>
                <w:rFonts w:hint="default"/>
                <w:color w:val="auto"/>
                <w:kern w:val="2"/>
              </w:rPr>
              <w:t>，</w:t>
            </w:r>
            <w:r>
              <w:rPr>
                <w:rFonts w:hint="eastAsia"/>
                <w:color w:val="auto"/>
                <w:kern w:val="2"/>
                <w:lang w:val="en-US" w:eastAsia="zh-CN"/>
              </w:rPr>
              <w:t>收集</w:t>
            </w:r>
            <w:r>
              <w:rPr>
                <w:rFonts w:hint="default"/>
                <w:color w:val="auto"/>
                <w:kern w:val="2"/>
              </w:rPr>
              <w:t>在危废暂存间的密闭容器内暂存，之后委托委托有资质单位定期处置</w:t>
            </w:r>
            <w:r>
              <w:rPr>
                <w:rFonts w:hint="default" w:ascii="Times New Roman" w:hAnsi="Times New Roman" w:cs="Times New Roman"/>
                <w:color w:val="auto"/>
                <w:kern w:val="2"/>
              </w:rPr>
              <w:t>。</w:t>
            </w:r>
          </w:p>
          <w:p w14:paraId="5C6D7FDB">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color w:val="auto"/>
                <w:kern w:val="2"/>
              </w:rPr>
            </w:pPr>
            <w:r>
              <w:rPr>
                <w:rFonts w:hint="default" w:ascii="Times New Roman" w:hAnsi="Times New Roman" w:eastAsia="黑体"/>
                <w:color w:val="auto"/>
                <w:kern w:val="2"/>
              </w:rPr>
              <w:t>表4-1</w:t>
            </w:r>
            <w:r>
              <w:rPr>
                <w:rFonts w:hint="eastAsia" w:ascii="Times New Roman" w:hAnsi="Times New Roman" w:eastAsia="黑体"/>
                <w:color w:val="auto"/>
                <w:kern w:val="2"/>
                <w:lang w:val="en-US" w:eastAsia="zh-CN"/>
              </w:rPr>
              <w:t>0</w:t>
            </w:r>
            <w:r>
              <w:rPr>
                <w:rFonts w:hint="default" w:ascii="Times New Roman" w:hAnsi="Times New Roman" w:eastAsia="黑体"/>
                <w:color w:val="auto"/>
                <w:kern w:val="2"/>
              </w:rPr>
              <w:t xml:space="preserve">  固体废物汇总表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9"/>
              <w:gridCol w:w="684"/>
              <w:gridCol w:w="856"/>
              <w:gridCol w:w="1347"/>
              <w:gridCol w:w="832"/>
              <w:gridCol w:w="800"/>
              <w:gridCol w:w="650"/>
              <w:gridCol w:w="734"/>
              <w:gridCol w:w="500"/>
              <w:gridCol w:w="746"/>
            </w:tblGrid>
            <w:tr w14:paraId="56E2B4E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9" w:type="dxa"/>
                  <w:tcBorders>
                    <w:top w:val="single" w:color="auto" w:sz="12" w:space="0"/>
                    <w:left w:val="nil"/>
                    <w:bottom w:val="single" w:color="auto" w:sz="6" w:space="0"/>
                    <w:right w:val="single" w:color="auto" w:sz="6" w:space="0"/>
                  </w:tcBorders>
                  <w:vAlign w:val="center"/>
                </w:tcPr>
                <w:p w14:paraId="555C4EC8">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序号</w:t>
                  </w:r>
                </w:p>
              </w:tc>
              <w:tc>
                <w:tcPr>
                  <w:tcW w:w="684" w:type="dxa"/>
                  <w:tcBorders>
                    <w:top w:val="single" w:color="auto" w:sz="12" w:space="0"/>
                    <w:left w:val="nil"/>
                    <w:bottom w:val="single" w:color="auto" w:sz="6" w:space="0"/>
                    <w:right w:val="single" w:color="auto" w:sz="6" w:space="0"/>
                  </w:tcBorders>
                  <w:vAlign w:val="center"/>
                </w:tcPr>
                <w:p w14:paraId="31E705BA">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名称</w:t>
                  </w:r>
                </w:p>
              </w:tc>
              <w:tc>
                <w:tcPr>
                  <w:tcW w:w="856" w:type="dxa"/>
                  <w:tcBorders>
                    <w:top w:val="single" w:color="auto" w:sz="12" w:space="0"/>
                    <w:left w:val="nil"/>
                    <w:bottom w:val="single" w:color="auto" w:sz="6" w:space="0"/>
                    <w:right w:val="single" w:color="auto" w:sz="6" w:space="0"/>
                  </w:tcBorders>
                  <w:vAlign w:val="center"/>
                </w:tcPr>
                <w:p w14:paraId="4DF44CF2">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废物类别</w:t>
                  </w:r>
                </w:p>
              </w:tc>
              <w:tc>
                <w:tcPr>
                  <w:tcW w:w="1347" w:type="dxa"/>
                  <w:tcBorders>
                    <w:top w:val="single" w:color="auto" w:sz="12" w:space="0"/>
                    <w:left w:val="nil"/>
                    <w:bottom w:val="single" w:color="auto" w:sz="6" w:space="0"/>
                    <w:right w:val="single" w:color="auto" w:sz="6" w:space="0"/>
                  </w:tcBorders>
                  <w:vAlign w:val="center"/>
                </w:tcPr>
                <w:p w14:paraId="4B533EA7">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废物代码</w:t>
                  </w:r>
                </w:p>
              </w:tc>
              <w:tc>
                <w:tcPr>
                  <w:tcW w:w="832" w:type="dxa"/>
                  <w:tcBorders>
                    <w:top w:val="single" w:color="auto" w:sz="12" w:space="0"/>
                    <w:left w:val="nil"/>
                    <w:bottom w:val="single" w:color="auto" w:sz="6" w:space="0"/>
                    <w:right w:val="single" w:color="auto" w:sz="6" w:space="0"/>
                  </w:tcBorders>
                  <w:vAlign w:val="center"/>
                </w:tcPr>
                <w:p w14:paraId="21691A60">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产生量（t/a）</w:t>
                  </w:r>
                </w:p>
              </w:tc>
              <w:tc>
                <w:tcPr>
                  <w:tcW w:w="800" w:type="dxa"/>
                  <w:tcBorders>
                    <w:top w:val="single" w:color="auto" w:sz="12" w:space="0"/>
                    <w:left w:val="nil"/>
                    <w:bottom w:val="single" w:color="auto" w:sz="6" w:space="0"/>
                    <w:right w:val="single" w:color="auto" w:sz="6" w:space="0"/>
                  </w:tcBorders>
                  <w:vAlign w:val="center"/>
                </w:tcPr>
                <w:p w14:paraId="65376AC9">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产生工序</w:t>
                  </w:r>
                </w:p>
              </w:tc>
              <w:tc>
                <w:tcPr>
                  <w:tcW w:w="650" w:type="dxa"/>
                  <w:tcBorders>
                    <w:top w:val="single" w:color="auto" w:sz="12" w:space="0"/>
                    <w:left w:val="nil"/>
                    <w:bottom w:val="single" w:color="auto" w:sz="6" w:space="0"/>
                    <w:right w:val="single" w:color="auto" w:sz="6" w:space="0"/>
                  </w:tcBorders>
                  <w:vAlign w:val="center"/>
                </w:tcPr>
                <w:p w14:paraId="09779D77">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形态</w:t>
                  </w:r>
                </w:p>
              </w:tc>
              <w:tc>
                <w:tcPr>
                  <w:tcW w:w="734" w:type="dxa"/>
                  <w:tcBorders>
                    <w:top w:val="single" w:color="auto" w:sz="12" w:space="0"/>
                    <w:left w:val="nil"/>
                    <w:bottom w:val="single" w:color="auto" w:sz="6" w:space="0"/>
                    <w:right w:val="single" w:color="auto" w:sz="6" w:space="0"/>
                  </w:tcBorders>
                  <w:vAlign w:val="center"/>
                </w:tcPr>
                <w:p w14:paraId="2D8B7647">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主要成分</w:t>
                  </w:r>
                </w:p>
              </w:tc>
              <w:tc>
                <w:tcPr>
                  <w:tcW w:w="500" w:type="dxa"/>
                  <w:tcBorders>
                    <w:top w:val="single" w:color="auto" w:sz="12" w:space="0"/>
                    <w:left w:val="nil"/>
                    <w:bottom w:val="single" w:color="auto" w:sz="6" w:space="0"/>
                    <w:right w:val="single" w:color="auto" w:sz="6" w:space="0"/>
                  </w:tcBorders>
                  <w:vAlign w:val="center"/>
                </w:tcPr>
                <w:p w14:paraId="70F9FD97">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性质</w:t>
                  </w:r>
                </w:p>
              </w:tc>
              <w:tc>
                <w:tcPr>
                  <w:tcW w:w="746" w:type="dxa"/>
                  <w:tcBorders>
                    <w:top w:val="single" w:color="auto" w:sz="12" w:space="0"/>
                    <w:left w:val="nil"/>
                    <w:bottom w:val="single" w:color="auto" w:sz="6" w:space="0"/>
                    <w:right w:val="nil"/>
                  </w:tcBorders>
                  <w:vAlign w:val="center"/>
                </w:tcPr>
                <w:p w14:paraId="6E6069E7">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b/>
                      <w:color w:val="auto"/>
                      <w:kern w:val="2"/>
                      <w:sz w:val="21"/>
                      <w:szCs w:val="21"/>
                    </w:rPr>
                  </w:pPr>
                  <w:r>
                    <w:rPr>
                      <w:rFonts w:hint="default" w:ascii="Times New Roman" w:hAnsi="Times New Roman" w:cs="Times New Roman"/>
                      <w:b/>
                      <w:color w:val="auto"/>
                      <w:kern w:val="2"/>
                      <w:sz w:val="21"/>
                      <w:szCs w:val="21"/>
                    </w:rPr>
                    <w:t>处理方式</w:t>
                  </w:r>
                </w:p>
              </w:tc>
            </w:tr>
            <w:tr w14:paraId="59B086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9" w:type="dxa"/>
                  <w:tcBorders>
                    <w:top w:val="single" w:color="auto" w:sz="6" w:space="0"/>
                    <w:left w:val="nil"/>
                    <w:bottom w:val="single" w:color="auto" w:sz="6" w:space="0"/>
                    <w:right w:val="single" w:color="auto" w:sz="6" w:space="0"/>
                  </w:tcBorders>
                  <w:vAlign w:val="center"/>
                </w:tcPr>
                <w:p w14:paraId="3339B683">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w:t>
                  </w:r>
                </w:p>
              </w:tc>
              <w:tc>
                <w:tcPr>
                  <w:tcW w:w="684" w:type="dxa"/>
                  <w:tcBorders>
                    <w:top w:val="single" w:color="auto" w:sz="6" w:space="0"/>
                    <w:left w:val="nil"/>
                    <w:bottom w:val="single" w:color="auto" w:sz="6" w:space="0"/>
                    <w:right w:val="single" w:color="auto" w:sz="6" w:space="0"/>
                  </w:tcBorders>
                  <w:vAlign w:val="center"/>
                </w:tcPr>
                <w:p w14:paraId="4C023EA5">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废包装桶</w:t>
                  </w:r>
                </w:p>
              </w:tc>
              <w:tc>
                <w:tcPr>
                  <w:tcW w:w="856" w:type="dxa"/>
                  <w:tcBorders>
                    <w:top w:val="single" w:color="auto" w:sz="6" w:space="0"/>
                    <w:left w:val="nil"/>
                    <w:bottom w:val="single" w:color="auto" w:sz="6" w:space="0"/>
                    <w:right w:val="single" w:color="auto" w:sz="6" w:space="0"/>
                  </w:tcBorders>
                  <w:vAlign w:val="center"/>
                </w:tcPr>
                <w:p w14:paraId="7DD12F1D">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HW49</w:t>
                  </w:r>
                </w:p>
              </w:tc>
              <w:tc>
                <w:tcPr>
                  <w:tcW w:w="1347" w:type="dxa"/>
                  <w:tcBorders>
                    <w:top w:val="single" w:color="auto" w:sz="6" w:space="0"/>
                    <w:left w:val="nil"/>
                    <w:bottom w:val="single" w:color="auto" w:sz="6" w:space="0"/>
                    <w:right w:val="single" w:color="auto" w:sz="6" w:space="0"/>
                  </w:tcBorders>
                  <w:vAlign w:val="center"/>
                </w:tcPr>
                <w:p w14:paraId="03DA2F11">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900-041-49</w:t>
                  </w:r>
                </w:p>
              </w:tc>
              <w:tc>
                <w:tcPr>
                  <w:tcW w:w="832" w:type="dxa"/>
                  <w:tcBorders>
                    <w:top w:val="single" w:color="auto" w:sz="6" w:space="0"/>
                    <w:left w:val="nil"/>
                    <w:bottom w:val="single" w:color="auto" w:sz="6" w:space="0"/>
                    <w:right w:val="single" w:color="auto" w:sz="6" w:space="0"/>
                  </w:tcBorders>
                  <w:vAlign w:val="center"/>
                </w:tcPr>
                <w:p w14:paraId="542ADBD5">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0.3</w:t>
                  </w:r>
                </w:p>
              </w:tc>
              <w:tc>
                <w:tcPr>
                  <w:tcW w:w="800" w:type="dxa"/>
                  <w:tcBorders>
                    <w:top w:val="single" w:color="auto" w:sz="6" w:space="0"/>
                    <w:left w:val="nil"/>
                    <w:bottom w:val="single" w:color="auto" w:sz="6" w:space="0"/>
                    <w:right w:val="single" w:color="auto" w:sz="6" w:space="0"/>
                  </w:tcBorders>
                  <w:vAlign w:val="center"/>
                </w:tcPr>
                <w:p w14:paraId="1577BDB9">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设备检修维护、清洗</w:t>
                  </w:r>
                </w:p>
              </w:tc>
              <w:tc>
                <w:tcPr>
                  <w:tcW w:w="650" w:type="dxa"/>
                  <w:tcBorders>
                    <w:top w:val="single" w:color="auto" w:sz="6" w:space="0"/>
                    <w:left w:val="nil"/>
                    <w:bottom w:val="single" w:color="auto" w:sz="6" w:space="0"/>
                    <w:right w:val="single" w:color="auto" w:sz="6" w:space="0"/>
                  </w:tcBorders>
                  <w:vAlign w:val="center"/>
                </w:tcPr>
                <w:p w14:paraId="61192065">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固态</w:t>
                  </w:r>
                </w:p>
              </w:tc>
              <w:tc>
                <w:tcPr>
                  <w:tcW w:w="734" w:type="dxa"/>
                  <w:tcBorders>
                    <w:top w:val="single" w:color="auto" w:sz="6" w:space="0"/>
                    <w:left w:val="nil"/>
                    <w:bottom w:val="single" w:color="auto" w:sz="6" w:space="0"/>
                    <w:right w:val="single" w:color="auto" w:sz="6" w:space="0"/>
                  </w:tcBorders>
                  <w:vAlign w:val="center"/>
                </w:tcPr>
                <w:p w14:paraId="0AB0D80F">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500" w:type="dxa"/>
                  <w:vMerge w:val="restart"/>
                  <w:tcBorders>
                    <w:top w:val="single" w:color="auto" w:sz="4" w:space="0"/>
                    <w:left w:val="nil"/>
                    <w:right w:val="single" w:color="auto" w:sz="6" w:space="0"/>
                  </w:tcBorders>
                  <w:vAlign w:val="center"/>
                </w:tcPr>
                <w:p w14:paraId="043B4AD0">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危险废物</w:t>
                  </w:r>
                </w:p>
              </w:tc>
              <w:tc>
                <w:tcPr>
                  <w:tcW w:w="746" w:type="dxa"/>
                  <w:vMerge w:val="restart"/>
                  <w:tcBorders>
                    <w:top w:val="single" w:color="auto" w:sz="4" w:space="0"/>
                    <w:left w:val="nil"/>
                    <w:right w:val="nil"/>
                  </w:tcBorders>
                  <w:vAlign w:val="center"/>
                </w:tcPr>
                <w:p w14:paraId="0B4E43A7">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暂存于危险废物暂存间，定期委托有资质单位定期处置</w:t>
                  </w:r>
                </w:p>
              </w:tc>
            </w:tr>
            <w:tr w14:paraId="088E12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9" w:type="dxa"/>
                  <w:tcBorders>
                    <w:top w:val="single" w:color="auto" w:sz="6" w:space="0"/>
                    <w:left w:val="nil"/>
                    <w:bottom w:val="single" w:color="auto" w:sz="6" w:space="0"/>
                    <w:right w:val="single" w:color="auto" w:sz="6" w:space="0"/>
                  </w:tcBorders>
                  <w:vAlign w:val="center"/>
                </w:tcPr>
                <w:p w14:paraId="12C1833F">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2</w:t>
                  </w:r>
                </w:p>
              </w:tc>
              <w:tc>
                <w:tcPr>
                  <w:tcW w:w="684" w:type="dxa"/>
                  <w:tcBorders>
                    <w:top w:val="single" w:color="auto" w:sz="6" w:space="0"/>
                    <w:left w:val="nil"/>
                    <w:bottom w:val="single" w:color="auto" w:sz="6" w:space="0"/>
                    <w:right w:val="single" w:color="auto" w:sz="6" w:space="0"/>
                  </w:tcBorders>
                  <w:vAlign w:val="center"/>
                </w:tcPr>
                <w:p w14:paraId="4C778578">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废润滑油</w:t>
                  </w:r>
                </w:p>
              </w:tc>
              <w:tc>
                <w:tcPr>
                  <w:tcW w:w="856" w:type="dxa"/>
                  <w:tcBorders>
                    <w:top w:val="single" w:color="auto" w:sz="6" w:space="0"/>
                    <w:left w:val="nil"/>
                    <w:bottom w:val="single" w:color="auto" w:sz="6" w:space="0"/>
                    <w:right w:val="single" w:color="auto" w:sz="6" w:space="0"/>
                  </w:tcBorders>
                  <w:vAlign w:val="center"/>
                </w:tcPr>
                <w:p w14:paraId="5E3A264E">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HW08</w:t>
                  </w:r>
                </w:p>
              </w:tc>
              <w:tc>
                <w:tcPr>
                  <w:tcW w:w="1347" w:type="dxa"/>
                  <w:tcBorders>
                    <w:top w:val="single" w:color="auto" w:sz="6" w:space="0"/>
                    <w:left w:val="nil"/>
                    <w:bottom w:val="single" w:color="auto" w:sz="6" w:space="0"/>
                    <w:right w:val="single" w:color="auto" w:sz="6" w:space="0"/>
                  </w:tcBorders>
                  <w:vAlign w:val="center"/>
                </w:tcPr>
                <w:p w14:paraId="03E15CE8">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900-200-08</w:t>
                  </w:r>
                </w:p>
              </w:tc>
              <w:tc>
                <w:tcPr>
                  <w:tcW w:w="832" w:type="dxa"/>
                  <w:tcBorders>
                    <w:top w:val="single" w:color="auto" w:sz="6" w:space="0"/>
                    <w:left w:val="nil"/>
                    <w:bottom w:val="single" w:color="auto" w:sz="6" w:space="0"/>
                    <w:right w:val="single" w:color="auto" w:sz="6" w:space="0"/>
                  </w:tcBorders>
                  <w:vAlign w:val="center"/>
                </w:tcPr>
                <w:p w14:paraId="23E576D7">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0.01</w:t>
                  </w:r>
                </w:p>
              </w:tc>
              <w:tc>
                <w:tcPr>
                  <w:tcW w:w="800" w:type="dxa"/>
                  <w:tcBorders>
                    <w:top w:val="single" w:color="auto" w:sz="6" w:space="0"/>
                    <w:left w:val="nil"/>
                    <w:bottom w:val="single" w:color="auto" w:sz="6" w:space="0"/>
                    <w:right w:val="single" w:color="auto" w:sz="6" w:space="0"/>
                  </w:tcBorders>
                  <w:vAlign w:val="center"/>
                </w:tcPr>
                <w:p w14:paraId="2AA531E6">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设备检修维护</w:t>
                  </w:r>
                </w:p>
              </w:tc>
              <w:tc>
                <w:tcPr>
                  <w:tcW w:w="650" w:type="dxa"/>
                  <w:tcBorders>
                    <w:top w:val="single" w:color="auto" w:sz="6" w:space="0"/>
                    <w:left w:val="nil"/>
                    <w:bottom w:val="single" w:color="auto" w:sz="6" w:space="0"/>
                    <w:right w:val="single" w:color="auto" w:sz="6" w:space="0"/>
                  </w:tcBorders>
                  <w:vAlign w:val="center"/>
                </w:tcPr>
                <w:p w14:paraId="0AC8A49D">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固态</w:t>
                  </w:r>
                </w:p>
              </w:tc>
              <w:tc>
                <w:tcPr>
                  <w:tcW w:w="734" w:type="dxa"/>
                  <w:tcBorders>
                    <w:top w:val="single" w:color="auto" w:sz="6" w:space="0"/>
                    <w:left w:val="nil"/>
                    <w:bottom w:val="single" w:color="auto" w:sz="6" w:space="0"/>
                    <w:right w:val="single" w:color="auto" w:sz="6" w:space="0"/>
                  </w:tcBorders>
                  <w:vAlign w:val="center"/>
                </w:tcPr>
                <w:p w14:paraId="402C2CE9">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500" w:type="dxa"/>
                  <w:vMerge w:val="continue"/>
                  <w:tcBorders>
                    <w:left w:val="nil"/>
                    <w:right w:val="single" w:color="auto" w:sz="6" w:space="0"/>
                  </w:tcBorders>
                  <w:vAlign w:val="center"/>
                </w:tcPr>
                <w:p w14:paraId="1AC18539">
                  <w:pPr>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p>
              </w:tc>
              <w:tc>
                <w:tcPr>
                  <w:tcW w:w="746" w:type="dxa"/>
                  <w:vMerge w:val="continue"/>
                  <w:tcBorders>
                    <w:left w:val="nil"/>
                    <w:right w:val="nil"/>
                  </w:tcBorders>
                  <w:vAlign w:val="center"/>
                </w:tcPr>
                <w:p w14:paraId="5CFD2D19">
                  <w:pPr>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p>
              </w:tc>
            </w:tr>
            <w:tr w14:paraId="0B6084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9" w:type="dxa"/>
                  <w:tcBorders>
                    <w:top w:val="single" w:color="auto" w:sz="6" w:space="0"/>
                    <w:left w:val="nil"/>
                    <w:bottom w:val="single" w:color="auto" w:sz="6" w:space="0"/>
                    <w:right w:val="single" w:color="auto" w:sz="6" w:space="0"/>
                  </w:tcBorders>
                  <w:vAlign w:val="center"/>
                </w:tcPr>
                <w:p w14:paraId="0F19F34A">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3</w:t>
                  </w:r>
                </w:p>
              </w:tc>
              <w:tc>
                <w:tcPr>
                  <w:tcW w:w="684" w:type="dxa"/>
                  <w:tcBorders>
                    <w:top w:val="single" w:color="auto" w:sz="6" w:space="0"/>
                    <w:left w:val="nil"/>
                    <w:bottom w:val="single" w:color="auto" w:sz="6" w:space="0"/>
                    <w:right w:val="single" w:color="auto" w:sz="6" w:space="0"/>
                  </w:tcBorders>
                  <w:vAlign w:val="center"/>
                </w:tcPr>
                <w:p w14:paraId="1379E310">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含油抹布</w:t>
                  </w:r>
                </w:p>
              </w:tc>
              <w:tc>
                <w:tcPr>
                  <w:tcW w:w="856" w:type="dxa"/>
                  <w:tcBorders>
                    <w:top w:val="single" w:color="auto" w:sz="6" w:space="0"/>
                    <w:left w:val="nil"/>
                    <w:bottom w:val="single" w:color="auto" w:sz="6" w:space="0"/>
                    <w:right w:val="single" w:color="auto" w:sz="6" w:space="0"/>
                  </w:tcBorders>
                  <w:vAlign w:val="center"/>
                </w:tcPr>
                <w:p w14:paraId="0AFAE0C2">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HW49</w:t>
                  </w:r>
                </w:p>
              </w:tc>
              <w:tc>
                <w:tcPr>
                  <w:tcW w:w="1347" w:type="dxa"/>
                  <w:tcBorders>
                    <w:top w:val="single" w:color="auto" w:sz="6" w:space="0"/>
                    <w:left w:val="nil"/>
                    <w:bottom w:val="single" w:color="auto" w:sz="6" w:space="0"/>
                    <w:right w:val="single" w:color="auto" w:sz="6" w:space="0"/>
                  </w:tcBorders>
                  <w:vAlign w:val="center"/>
                </w:tcPr>
                <w:p w14:paraId="42EEC438">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900-041-49</w:t>
                  </w:r>
                </w:p>
              </w:tc>
              <w:tc>
                <w:tcPr>
                  <w:tcW w:w="832" w:type="dxa"/>
                  <w:tcBorders>
                    <w:top w:val="single" w:color="auto" w:sz="6" w:space="0"/>
                    <w:left w:val="nil"/>
                    <w:bottom w:val="single" w:color="auto" w:sz="6" w:space="0"/>
                    <w:right w:val="single" w:color="auto" w:sz="6" w:space="0"/>
                  </w:tcBorders>
                  <w:vAlign w:val="center"/>
                </w:tcPr>
                <w:p w14:paraId="3AE4ABC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0.2</w:t>
                  </w:r>
                </w:p>
              </w:tc>
              <w:tc>
                <w:tcPr>
                  <w:tcW w:w="800" w:type="dxa"/>
                  <w:tcBorders>
                    <w:top w:val="single" w:color="auto" w:sz="6" w:space="0"/>
                    <w:left w:val="nil"/>
                    <w:bottom w:val="single" w:color="auto" w:sz="6" w:space="0"/>
                    <w:right w:val="single" w:color="auto" w:sz="6" w:space="0"/>
                  </w:tcBorders>
                  <w:vAlign w:val="center"/>
                </w:tcPr>
                <w:p w14:paraId="5CF14DDD">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设备检修维护</w:t>
                  </w:r>
                </w:p>
              </w:tc>
              <w:tc>
                <w:tcPr>
                  <w:tcW w:w="650" w:type="dxa"/>
                  <w:tcBorders>
                    <w:top w:val="single" w:color="auto" w:sz="6" w:space="0"/>
                    <w:left w:val="nil"/>
                    <w:bottom w:val="single" w:color="auto" w:sz="6" w:space="0"/>
                    <w:right w:val="single" w:color="auto" w:sz="6" w:space="0"/>
                  </w:tcBorders>
                  <w:vAlign w:val="center"/>
                </w:tcPr>
                <w:p w14:paraId="18834893">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固态</w:t>
                  </w:r>
                </w:p>
              </w:tc>
              <w:tc>
                <w:tcPr>
                  <w:tcW w:w="734" w:type="dxa"/>
                  <w:tcBorders>
                    <w:top w:val="single" w:color="auto" w:sz="6" w:space="0"/>
                    <w:left w:val="nil"/>
                    <w:bottom w:val="single" w:color="auto" w:sz="6" w:space="0"/>
                    <w:right w:val="single" w:color="auto" w:sz="6" w:space="0"/>
                  </w:tcBorders>
                  <w:vAlign w:val="center"/>
                </w:tcPr>
                <w:p w14:paraId="2BD2A8AB">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500" w:type="dxa"/>
                  <w:vMerge w:val="continue"/>
                  <w:tcBorders>
                    <w:left w:val="nil"/>
                    <w:right w:val="single" w:color="auto" w:sz="6" w:space="0"/>
                  </w:tcBorders>
                  <w:vAlign w:val="center"/>
                </w:tcPr>
                <w:p w14:paraId="4E6B49D7">
                  <w:pPr>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p>
              </w:tc>
              <w:tc>
                <w:tcPr>
                  <w:tcW w:w="746" w:type="dxa"/>
                  <w:vMerge w:val="continue"/>
                  <w:tcBorders>
                    <w:left w:val="nil"/>
                    <w:right w:val="nil"/>
                  </w:tcBorders>
                  <w:vAlign w:val="center"/>
                </w:tcPr>
                <w:p w14:paraId="608B7FA6">
                  <w:pPr>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p>
              </w:tc>
            </w:tr>
            <w:tr w14:paraId="28FBDD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9" w:type="dxa"/>
                  <w:tcBorders>
                    <w:top w:val="single" w:color="auto" w:sz="6" w:space="0"/>
                    <w:left w:val="nil"/>
                    <w:bottom w:val="single" w:color="auto" w:sz="6" w:space="0"/>
                    <w:right w:val="single" w:color="auto" w:sz="6" w:space="0"/>
                  </w:tcBorders>
                  <w:vAlign w:val="center"/>
                </w:tcPr>
                <w:p w14:paraId="155C1C0D">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4</w:t>
                  </w:r>
                </w:p>
              </w:tc>
              <w:tc>
                <w:tcPr>
                  <w:tcW w:w="684" w:type="dxa"/>
                  <w:tcBorders>
                    <w:top w:val="single" w:color="auto" w:sz="6" w:space="0"/>
                    <w:left w:val="nil"/>
                    <w:bottom w:val="single" w:color="auto" w:sz="6" w:space="0"/>
                    <w:right w:val="single" w:color="auto" w:sz="6" w:space="0"/>
                  </w:tcBorders>
                  <w:vAlign w:val="center"/>
                </w:tcPr>
                <w:p w14:paraId="45446E21">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废胶管</w:t>
                  </w:r>
                </w:p>
              </w:tc>
              <w:tc>
                <w:tcPr>
                  <w:tcW w:w="856" w:type="dxa"/>
                  <w:tcBorders>
                    <w:top w:val="single" w:color="auto" w:sz="6" w:space="0"/>
                    <w:left w:val="nil"/>
                    <w:bottom w:val="single" w:color="auto" w:sz="6" w:space="0"/>
                    <w:right w:val="single" w:color="auto" w:sz="6" w:space="0"/>
                  </w:tcBorders>
                  <w:vAlign w:val="center"/>
                </w:tcPr>
                <w:p w14:paraId="63B9DD91">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HW49</w:t>
                  </w:r>
                </w:p>
              </w:tc>
              <w:tc>
                <w:tcPr>
                  <w:tcW w:w="1347" w:type="dxa"/>
                  <w:tcBorders>
                    <w:top w:val="single" w:color="auto" w:sz="6" w:space="0"/>
                    <w:left w:val="nil"/>
                    <w:bottom w:val="single" w:color="auto" w:sz="6" w:space="0"/>
                    <w:right w:val="single" w:color="auto" w:sz="6" w:space="0"/>
                  </w:tcBorders>
                  <w:vAlign w:val="center"/>
                </w:tcPr>
                <w:p w14:paraId="40CFA0DD">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900-041-49</w:t>
                  </w:r>
                </w:p>
              </w:tc>
              <w:tc>
                <w:tcPr>
                  <w:tcW w:w="832" w:type="dxa"/>
                  <w:tcBorders>
                    <w:top w:val="single" w:color="auto" w:sz="6" w:space="0"/>
                    <w:left w:val="nil"/>
                    <w:bottom w:val="single" w:color="auto" w:sz="6" w:space="0"/>
                    <w:right w:val="single" w:color="auto" w:sz="6" w:space="0"/>
                  </w:tcBorders>
                  <w:vAlign w:val="center"/>
                </w:tcPr>
                <w:p w14:paraId="74B60EE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0.06</w:t>
                  </w:r>
                </w:p>
              </w:tc>
              <w:tc>
                <w:tcPr>
                  <w:tcW w:w="800" w:type="dxa"/>
                  <w:tcBorders>
                    <w:top w:val="single" w:color="auto" w:sz="6" w:space="0"/>
                    <w:left w:val="nil"/>
                    <w:bottom w:val="single" w:color="auto" w:sz="6" w:space="0"/>
                    <w:right w:val="single" w:color="auto" w:sz="6" w:space="0"/>
                  </w:tcBorders>
                  <w:vAlign w:val="center"/>
                </w:tcPr>
                <w:p w14:paraId="300BA3DD">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涂胶</w:t>
                  </w:r>
                </w:p>
              </w:tc>
              <w:tc>
                <w:tcPr>
                  <w:tcW w:w="650" w:type="dxa"/>
                  <w:tcBorders>
                    <w:top w:val="single" w:color="auto" w:sz="6" w:space="0"/>
                    <w:left w:val="nil"/>
                    <w:bottom w:val="single" w:color="auto" w:sz="6" w:space="0"/>
                    <w:right w:val="single" w:color="auto" w:sz="6" w:space="0"/>
                  </w:tcBorders>
                  <w:vAlign w:val="center"/>
                </w:tcPr>
                <w:p w14:paraId="6547D791">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固态</w:t>
                  </w:r>
                </w:p>
              </w:tc>
              <w:tc>
                <w:tcPr>
                  <w:tcW w:w="734" w:type="dxa"/>
                  <w:tcBorders>
                    <w:top w:val="single" w:color="auto" w:sz="6" w:space="0"/>
                    <w:left w:val="nil"/>
                    <w:bottom w:val="single" w:color="auto" w:sz="6" w:space="0"/>
                    <w:right w:val="single" w:color="auto" w:sz="6" w:space="0"/>
                  </w:tcBorders>
                  <w:vAlign w:val="center"/>
                </w:tcPr>
                <w:p w14:paraId="6AA02859">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500" w:type="dxa"/>
                  <w:vMerge w:val="continue"/>
                  <w:tcBorders>
                    <w:left w:val="nil"/>
                    <w:right w:val="single" w:color="auto" w:sz="6" w:space="0"/>
                  </w:tcBorders>
                  <w:vAlign w:val="center"/>
                </w:tcPr>
                <w:p w14:paraId="6860332B">
                  <w:pPr>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p>
              </w:tc>
              <w:tc>
                <w:tcPr>
                  <w:tcW w:w="746" w:type="dxa"/>
                  <w:vMerge w:val="continue"/>
                  <w:tcBorders>
                    <w:left w:val="nil"/>
                    <w:right w:val="nil"/>
                  </w:tcBorders>
                  <w:vAlign w:val="center"/>
                </w:tcPr>
                <w:p w14:paraId="7408549E">
                  <w:pPr>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p>
              </w:tc>
            </w:tr>
            <w:tr w14:paraId="70D2C0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9" w:type="dxa"/>
                  <w:tcBorders>
                    <w:top w:val="single" w:color="auto" w:sz="6" w:space="0"/>
                    <w:left w:val="nil"/>
                    <w:bottom w:val="single" w:color="auto" w:sz="6" w:space="0"/>
                    <w:right w:val="single" w:color="auto" w:sz="6" w:space="0"/>
                  </w:tcBorders>
                  <w:vAlign w:val="center"/>
                </w:tcPr>
                <w:p w14:paraId="40DF037D">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5</w:t>
                  </w:r>
                </w:p>
              </w:tc>
              <w:tc>
                <w:tcPr>
                  <w:tcW w:w="684" w:type="dxa"/>
                  <w:tcBorders>
                    <w:top w:val="single" w:color="auto" w:sz="6" w:space="0"/>
                    <w:left w:val="nil"/>
                    <w:bottom w:val="single" w:color="auto" w:sz="6" w:space="0"/>
                    <w:right w:val="single" w:color="auto" w:sz="6" w:space="0"/>
                  </w:tcBorders>
                  <w:vAlign w:val="center"/>
                </w:tcPr>
                <w:p w14:paraId="61C5BE5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废活性炭</w:t>
                  </w:r>
                </w:p>
              </w:tc>
              <w:tc>
                <w:tcPr>
                  <w:tcW w:w="856" w:type="dxa"/>
                  <w:tcBorders>
                    <w:top w:val="single" w:color="auto" w:sz="6" w:space="0"/>
                    <w:left w:val="nil"/>
                    <w:bottom w:val="single" w:color="auto" w:sz="6" w:space="0"/>
                    <w:right w:val="single" w:color="auto" w:sz="6" w:space="0"/>
                  </w:tcBorders>
                  <w:vAlign w:val="center"/>
                </w:tcPr>
                <w:p w14:paraId="1E842E8B">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HW49</w:t>
                  </w:r>
                </w:p>
              </w:tc>
              <w:tc>
                <w:tcPr>
                  <w:tcW w:w="1347" w:type="dxa"/>
                  <w:tcBorders>
                    <w:top w:val="single" w:color="auto" w:sz="6" w:space="0"/>
                    <w:left w:val="nil"/>
                    <w:bottom w:val="single" w:color="auto" w:sz="6" w:space="0"/>
                    <w:right w:val="single" w:color="auto" w:sz="6" w:space="0"/>
                  </w:tcBorders>
                  <w:vAlign w:val="center"/>
                </w:tcPr>
                <w:p w14:paraId="71384AF5">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900-039-49</w:t>
                  </w:r>
                </w:p>
              </w:tc>
              <w:tc>
                <w:tcPr>
                  <w:tcW w:w="832" w:type="dxa"/>
                  <w:tcBorders>
                    <w:top w:val="single" w:color="auto" w:sz="6" w:space="0"/>
                    <w:left w:val="nil"/>
                    <w:bottom w:val="single" w:color="auto" w:sz="6" w:space="0"/>
                    <w:right w:val="single" w:color="auto" w:sz="6" w:space="0"/>
                  </w:tcBorders>
                  <w:vAlign w:val="center"/>
                </w:tcPr>
                <w:p w14:paraId="30FAD565">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0.4</w:t>
                  </w:r>
                </w:p>
              </w:tc>
              <w:tc>
                <w:tcPr>
                  <w:tcW w:w="800" w:type="dxa"/>
                  <w:tcBorders>
                    <w:top w:val="single" w:color="auto" w:sz="6" w:space="0"/>
                    <w:left w:val="nil"/>
                    <w:bottom w:val="single" w:color="auto" w:sz="6" w:space="0"/>
                    <w:right w:val="single" w:color="auto" w:sz="6" w:space="0"/>
                  </w:tcBorders>
                  <w:vAlign w:val="center"/>
                </w:tcPr>
                <w:p w14:paraId="4AF4192D">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废气处理</w:t>
                  </w:r>
                </w:p>
              </w:tc>
              <w:tc>
                <w:tcPr>
                  <w:tcW w:w="650" w:type="dxa"/>
                  <w:tcBorders>
                    <w:top w:val="single" w:color="auto" w:sz="6" w:space="0"/>
                    <w:left w:val="nil"/>
                    <w:bottom w:val="single" w:color="auto" w:sz="6" w:space="0"/>
                    <w:right w:val="single" w:color="auto" w:sz="6" w:space="0"/>
                  </w:tcBorders>
                  <w:vAlign w:val="center"/>
                </w:tcPr>
                <w:p w14:paraId="0561F9E4">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固态</w:t>
                  </w:r>
                </w:p>
              </w:tc>
              <w:tc>
                <w:tcPr>
                  <w:tcW w:w="734" w:type="dxa"/>
                  <w:tcBorders>
                    <w:top w:val="single" w:color="auto" w:sz="6" w:space="0"/>
                    <w:left w:val="nil"/>
                    <w:bottom w:val="single" w:color="auto" w:sz="6" w:space="0"/>
                    <w:right w:val="single" w:color="auto" w:sz="6" w:space="0"/>
                  </w:tcBorders>
                  <w:vAlign w:val="center"/>
                </w:tcPr>
                <w:p w14:paraId="74BD58FC">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500" w:type="dxa"/>
                  <w:vMerge w:val="continue"/>
                  <w:tcBorders>
                    <w:left w:val="nil"/>
                    <w:right w:val="single" w:color="auto" w:sz="6" w:space="0"/>
                  </w:tcBorders>
                  <w:vAlign w:val="center"/>
                </w:tcPr>
                <w:p w14:paraId="0224BE5D">
                  <w:pPr>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p>
              </w:tc>
              <w:tc>
                <w:tcPr>
                  <w:tcW w:w="746" w:type="dxa"/>
                  <w:vMerge w:val="continue"/>
                  <w:tcBorders>
                    <w:left w:val="nil"/>
                    <w:right w:val="nil"/>
                  </w:tcBorders>
                  <w:vAlign w:val="center"/>
                </w:tcPr>
                <w:p w14:paraId="1B5F7D71">
                  <w:pPr>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p>
              </w:tc>
            </w:tr>
            <w:tr w14:paraId="75D36B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9" w:type="dxa"/>
                  <w:tcBorders>
                    <w:top w:val="single" w:color="auto" w:sz="6" w:space="0"/>
                    <w:left w:val="nil"/>
                    <w:bottom w:val="single" w:color="auto" w:sz="6" w:space="0"/>
                    <w:right w:val="single" w:color="auto" w:sz="6" w:space="0"/>
                  </w:tcBorders>
                  <w:shd w:val="clear" w:color="auto" w:fill="auto"/>
                  <w:vAlign w:val="center"/>
                </w:tcPr>
                <w:p w14:paraId="0A3FCCE2">
                  <w:pPr>
                    <w:pStyle w:val="51"/>
                    <w:keepNext w:val="0"/>
                    <w:keepLines w:val="0"/>
                    <w:widowControl/>
                    <w:suppressLineNumbers w:val="0"/>
                    <w:spacing w:before="0" w:beforeAutospacing="0" w:after="0" w:afterAutospacing="0" w:line="276"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6</w:t>
                  </w:r>
                </w:p>
              </w:tc>
              <w:tc>
                <w:tcPr>
                  <w:tcW w:w="684" w:type="dxa"/>
                  <w:tcBorders>
                    <w:top w:val="single" w:color="auto" w:sz="6" w:space="0"/>
                    <w:left w:val="nil"/>
                    <w:bottom w:val="single" w:color="auto" w:sz="6" w:space="0"/>
                    <w:right w:val="single" w:color="auto" w:sz="6" w:space="0"/>
                  </w:tcBorders>
                  <w:vAlign w:val="center"/>
                </w:tcPr>
                <w:p w14:paraId="04CF1A2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废槽液</w:t>
                  </w:r>
                </w:p>
              </w:tc>
              <w:tc>
                <w:tcPr>
                  <w:tcW w:w="856" w:type="dxa"/>
                  <w:tcBorders>
                    <w:top w:val="single" w:color="auto" w:sz="6" w:space="0"/>
                    <w:left w:val="nil"/>
                    <w:bottom w:val="single" w:color="auto" w:sz="6" w:space="0"/>
                    <w:right w:val="single" w:color="auto" w:sz="6" w:space="0"/>
                  </w:tcBorders>
                  <w:vAlign w:val="center"/>
                </w:tcPr>
                <w:p w14:paraId="3E6FF17F">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rPr>
                    <w:t>HW</w:t>
                  </w:r>
                  <w:r>
                    <w:rPr>
                      <w:rFonts w:hint="default" w:ascii="Times New Roman" w:hAnsi="Times New Roman" w:cs="Times New Roman"/>
                      <w:color w:val="auto"/>
                      <w:kern w:val="2"/>
                      <w:sz w:val="21"/>
                      <w:szCs w:val="21"/>
                      <w:lang w:val="en-US" w:eastAsia="zh-CN"/>
                    </w:rPr>
                    <w:t>06</w:t>
                  </w:r>
                </w:p>
              </w:tc>
              <w:tc>
                <w:tcPr>
                  <w:tcW w:w="1347" w:type="dxa"/>
                  <w:tcBorders>
                    <w:top w:val="single" w:color="auto" w:sz="6" w:space="0"/>
                    <w:left w:val="nil"/>
                    <w:bottom w:val="single" w:color="auto" w:sz="6" w:space="0"/>
                    <w:right w:val="single" w:color="auto" w:sz="6" w:space="0"/>
                  </w:tcBorders>
                  <w:vAlign w:val="center"/>
                </w:tcPr>
                <w:p w14:paraId="01602055">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900-404-06</w:t>
                  </w:r>
                </w:p>
              </w:tc>
              <w:tc>
                <w:tcPr>
                  <w:tcW w:w="832" w:type="dxa"/>
                  <w:tcBorders>
                    <w:top w:val="single" w:color="auto" w:sz="6" w:space="0"/>
                    <w:left w:val="nil"/>
                    <w:bottom w:val="single" w:color="auto" w:sz="6" w:space="0"/>
                    <w:right w:val="single" w:color="auto" w:sz="6" w:space="0"/>
                  </w:tcBorders>
                  <w:vAlign w:val="center"/>
                </w:tcPr>
                <w:p w14:paraId="09E452B7">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1.0</w:t>
                  </w:r>
                  <w:r>
                    <w:rPr>
                      <w:rFonts w:hint="eastAsia" w:ascii="Times New Roman" w:hAnsi="Times New Roman" w:cs="Times New Roman"/>
                      <w:color w:val="auto"/>
                      <w:kern w:val="2"/>
                      <w:sz w:val="21"/>
                      <w:szCs w:val="21"/>
                      <w:lang w:val="en-US" w:eastAsia="zh-CN"/>
                    </w:rPr>
                    <w:t>54</w:t>
                  </w:r>
                </w:p>
              </w:tc>
              <w:tc>
                <w:tcPr>
                  <w:tcW w:w="800" w:type="dxa"/>
                  <w:tcBorders>
                    <w:top w:val="single" w:color="auto" w:sz="6" w:space="0"/>
                    <w:left w:val="nil"/>
                    <w:bottom w:val="single" w:color="auto" w:sz="6" w:space="0"/>
                    <w:right w:val="single" w:color="auto" w:sz="6" w:space="0"/>
                  </w:tcBorders>
                  <w:vAlign w:val="center"/>
                </w:tcPr>
                <w:p w14:paraId="00128AF2">
                  <w:pPr>
                    <w:pStyle w:val="51"/>
                    <w:keepNext w:val="0"/>
                    <w:keepLines w:val="0"/>
                    <w:widowControl/>
                    <w:suppressLineNumbers w:val="0"/>
                    <w:spacing w:before="0" w:beforeAutospacing="0" w:after="0" w:afterAutospacing="0" w:line="276"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清洗工序</w:t>
                  </w:r>
                </w:p>
              </w:tc>
              <w:tc>
                <w:tcPr>
                  <w:tcW w:w="650" w:type="dxa"/>
                  <w:tcBorders>
                    <w:top w:val="single" w:color="auto" w:sz="6" w:space="0"/>
                    <w:left w:val="nil"/>
                    <w:bottom w:val="single" w:color="auto" w:sz="6" w:space="0"/>
                    <w:right w:val="single" w:color="auto" w:sz="6" w:space="0"/>
                  </w:tcBorders>
                  <w:vAlign w:val="center"/>
                </w:tcPr>
                <w:p w14:paraId="5734A11A">
                  <w:pPr>
                    <w:pStyle w:val="51"/>
                    <w:keepNext w:val="0"/>
                    <w:keepLines w:val="0"/>
                    <w:widowControl/>
                    <w:suppressLineNumbers w:val="0"/>
                    <w:spacing w:before="0" w:beforeAutospacing="0" w:after="0" w:afterAutospacing="0" w:line="276"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液态</w:t>
                  </w:r>
                </w:p>
              </w:tc>
              <w:tc>
                <w:tcPr>
                  <w:tcW w:w="734" w:type="dxa"/>
                  <w:tcBorders>
                    <w:top w:val="single" w:color="auto" w:sz="6" w:space="0"/>
                    <w:left w:val="nil"/>
                    <w:bottom w:val="single" w:color="auto" w:sz="6" w:space="0"/>
                    <w:right w:val="single" w:color="auto" w:sz="6" w:space="0"/>
                  </w:tcBorders>
                  <w:vAlign w:val="center"/>
                </w:tcPr>
                <w:p w14:paraId="1E233465">
                  <w:pPr>
                    <w:pStyle w:val="51"/>
                    <w:keepNext w:val="0"/>
                    <w:keepLines w:val="0"/>
                    <w:widowControl/>
                    <w:suppressLineNumbers w:val="0"/>
                    <w:spacing w:before="0" w:beforeAutospacing="0" w:after="0" w:afterAutospacing="0" w:line="276"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w:t>
                  </w:r>
                </w:p>
              </w:tc>
              <w:tc>
                <w:tcPr>
                  <w:tcW w:w="500" w:type="dxa"/>
                  <w:vMerge w:val="continue"/>
                  <w:tcBorders>
                    <w:left w:val="nil"/>
                    <w:right w:val="single" w:color="auto" w:sz="6" w:space="0"/>
                  </w:tcBorders>
                  <w:vAlign w:val="center"/>
                </w:tcPr>
                <w:p w14:paraId="45551D94">
                  <w:pPr>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p>
              </w:tc>
              <w:tc>
                <w:tcPr>
                  <w:tcW w:w="746" w:type="dxa"/>
                  <w:vMerge w:val="continue"/>
                  <w:tcBorders>
                    <w:left w:val="nil"/>
                    <w:right w:val="nil"/>
                  </w:tcBorders>
                  <w:vAlign w:val="center"/>
                </w:tcPr>
                <w:p w14:paraId="760C1ACA">
                  <w:pPr>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p>
              </w:tc>
            </w:tr>
            <w:tr w14:paraId="576518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9" w:type="dxa"/>
                  <w:tcBorders>
                    <w:top w:val="single" w:color="auto" w:sz="6" w:space="0"/>
                    <w:left w:val="nil"/>
                    <w:bottom w:val="single" w:color="auto" w:sz="6" w:space="0"/>
                    <w:right w:val="single" w:color="auto" w:sz="6" w:space="0"/>
                  </w:tcBorders>
                  <w:shd w:val="clear" w:color="auto" w:fill="auto"/>
                  <w:vAlign w:val="center"/>
                </w:tcPr>
                <w:p w14:paraId="13A969A6">
                  <w:pPr>
                    <w:pStyle w:val="51"/>
                    <w:keepNext w:val="0"/>
                    <w:keepLines w:val="0"/>
                    <w:widowControl/>
                    <w:suppressLineNumbers w:val="0"/>
                    <w:spacing w:before="0" w:beforeAutospacing="0" w:after="0" w:afterAutospacing="0" w:line="276" w:lineRule="auto"/>
                    <w:ind w:left="0" w:leftChars="0" w:right="0" w:rightChars="0"/>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7</w:t>
                  </w:r>
                </w:p>
              </w:tc>
              <w:tc>
                <w:tcPr>
                  <w:tcW w:w="684" w:type="dxa"/>
                  <w:tcBorders>
                    <w:top w:val="single" w:color="auto" w:sz="6" w:space="0"/>
                    <w:left w:val="nil"/>
                    <w:bottom w:val="single" w:color="auto" w:sz="6" w:space="0"/>
                    <w:right w:val="single" w:color="auto" w:sz="6" w:space="0"/>
                  </w:tcBorders>
                  <w:vAlign w:val="center"/>
                </w:tcPr>
                <w:p w14:paraId="11391F8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废滤芯</w:t>
                  </w:r>
                </w:p>
              </w:tc>
              <w:tc>
                <w:tcPr>
                  <w:tcW w:w="856" w:type="dxa"/>
                  <w:tcBorders>
                    <w:top w:val="single" w:color="auto" w:sz="6" w:space="0"/>
                    <w:left w:val="nil"/>
                    <w:bottom w:val="single" w:color="auto" w:sz="6" w:space="0"/>
                    <w:right w:val="single" w:color="auto" w:sz="6" w:space="0"/>
                  </w:tcBorders>
                  <w:vAlign w:val="center"/>
                </w:tcPr>
                <w:p w14:paraId="2B532C15">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rPr>
                    <w:t>HW</w:t>
                  </w:r>
                  <w:r>
                    <w:rPr>
                      <w:rFonts w:hint="default" w:ascii="Times New Roman" w:hAnsi="Times New Roman" w:cs="Times New Roman"/>
                      <w:color w:val="auto"/>
                      <w:kern w:val="2"/>
                      <w:sz w:val="21"/>
                      <w:szCs w:val="21"/>
                      <w:lang w:val="en-US" w:eastAsia="zh-CN"/>
                    </w:rPr>
                    <w:t>06</w:t>
                  </w:r>
                </w:p>
              </w:tc>
              <w:tc>
                <w:tcPr>
                  <w:tcW w:w="1347" w:type="dxa"/>
                  <w:tcBorders>
                    <w:top w:val="single" w:color="auto" w:sz="6" w:space="0"/>
                    <w:left w:val="nil"/>
                    <w:bottom w:val="single" w:color="auto" w:sz="6" w:space="0"/>
                    <w:right w:val="single" w:color="auto" w:sz="6" w:space="0"/>
                  </w:tcBorders>
                  <w:vAlign w:val="center"/>
                </w:tcPr>
                <w:p w14:paraId="49AFDD66">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900-40</w:t>
                  </w:r>
                  <w:r>
                    <w:rPr>
                      <w:rFonts w:hint="default" w:ascii="Times New Roman" w:hAnsi="Times New Roman" w:cs="Times New Roman"/>
                      <w:color w:val="auto"/>
                      <w:kern w:val="2"/>
                      <w:sz w:val="21"/>
                      <w:szCs w:val="21"/>
                      <w:lang w:val="en-US" w:eastAsia="zh-CN"/>
                    </w:rPr>
                    <w:t>5</w:t>
                  </w:r>
                  <w:r>
                    <w:rPr>
                      <w:rFonts w:hint="default" w:ascii="Times New Roman" w:hAnsi="Times New Roman" w:cs="Times New Roman"/>
                      <w:color w:val="auto"/>
                      <w:kern w:val="2"/>
                      <w:sz w:val="21"/>
                      <w:szCs w:val="21"/>
                    </w:rPr>
                    <w:t>-06</w:t>
                  </w:r>
                </w:p>
              </w:tc>
              <w:tc>
                <w:tcPr>
                  <w:tcW w:w="832" w:type="dxa"/>
                  <w:tcBorders>
                    <w:top w:val="single" w:color="auto" w:sz="6" w:space="0"/>
                    <w:left w:val="nil"/>
                    <w:bottom w:val="single" w:color="auto" w:sz="6" w:space="0"/>
                    <w:right w:val="single" w:color="auto" w:sz="6" w:space="0"/>
                  </w:tcBorders>
                  <w:vAlign w:val="center"/>
                </w:tcPr>
                <w:p w14:paraId="17EF29D4">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0.15</w:t>
                  </w:r>
                </w:p>
              </w:tc>
              <w:tc>
                <w:tcPr>
                  <w:tcW w:w="800" w:type="dxa"/>
                  <w:tcBorders>
                    <w:top w:val="single" w:color="auto" w:sz="6" w:space="0"/>
                    <w:left w:val="nil"/>
                    <w:bottom w:val="single" w:color="auto" w:sz="6" w:space="0"/>
                    <w:right w:val="single" w:color="auto" w:sz="6" w:space="0"/>
                  </w:tcBorders>
                  <w:vAlign w:val="center"/>
                </w:tcPr>
                <w:p w14:paraId="14A8A340">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lang w:val="en-US" w:eastAsia="zh-CN"/>
                    </w:rPr>
                    <w:t>清洗工序</w:t>
                  </w:r>
                </w:p>
              </w:tc>
              <w:tc>
                <w:tcPr>
                  <w:tcW w:w="650" w:type="dxa"/>
                  <w:tcBorders>
                    <w:top w:val="single" w:color="auto" w:sz="6" w:space="0"/>
                    <w:left w:val="nil"/>
                    <w:bottom w:val="single" w:color="auto" w:sz="6" w:space="0"/>
                    <w:right w:val="single" w:color="auto" w:sz="6" w:space="0"/>
                  </w:tcBorders>
                  <w:vAlign w:val="center"/>
                </w:tcPr>
                <w:p w14:paraId="5A949A41">
                  <w:pPr>
                    <w:pStyle w:val="51"/>
                    <w:keepNext w:val="0"/>
                    <w:keepLines w:val="0"/>
                    <w:widowControl/>
                    <w:suppressLineNumbers w:val="0"/>
                    <w:spacing w:before="0" w:beforeAutospacing="0" w:after="0" w:afterAutospacing="0" w:line="276"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固态</w:t>
                  </w:r>
                </w:p>
              </w:tc>
              <w:tc>
                <w:tcPr>
                  <w:tcW w:w="734" w:type="dxa"/>
                  <w:tcBorders>
                    <w:top w:val="single" w:color="auto" w:sz="6" w:space="0"/>
                    <w:left w:val="nil"/>
                    <w:bottom w:val="single" w:color="auto" w:sz="6" w:space="0"/>
                    <w:right w:val="single" w:color="auto" w:sz="6" w:space="0"/>
                  </w:tcBorders>
                  <w:vAlign w:val="center"/>
                </w:tcPr>
                <w:p w14:paraId="288503F0">
                  <w:pPr>
                    <w:pStyle w:val="51"/>
                    <w:keepNext w:val="0"/>
                    <w:keepLines w:val="0"/>
                    <w:widowControl/>
                    <w:suppressLineNumbers w:val="0"/>
                    <w:spacing w:before="0" w:beforeAutospacing="0" w:after="0" w:afterAutospacing="0" w:line="276"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w:t>
                  </w:r>
                </w:p>
              </w:tc>
              <w:tc>
                <w:tcPr>
                  <w:tcW w:w="500" w:type="dxa"/>
                  <w:vMerge w:val="continue"/>
                  <w:tcBorders>
                    <w:left w:val="nil"/>
                    <w:right w:val="single" w:color="auto" w:sz="6" w:space="0"/>
                  </w:tcBorders>
                  <w:vAlign w:val="center"/>
                </w:tcPr>
                <w:p w14:paraId="420BDA8F">
                  <w:pPr>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p>
              </w:tc>
              <w:tc>
                <w:tcPr>
                  <w:tcW w:w="746" w:type="dxa"/>
                  <w:vMerge w:val="continue"/>
                  <w:tcBorders>
                    <w:left w:val="nil"/>
                    <w:right w:val="nil"/>
                  </w:tcBorders>
                  <w:vAlign w:val="center"/>
                </w:tcPr>
                <w:p w14:paraId="25E360E3">
                  <w:pPr>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p>
              </w:tc>
            </w:tr>
            <w:tr w14:paraId="4EE1E63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9" w:type="dxa"/>
                  <w:tcBorders>
                    <w:top w:val="single" w:color="auto" w:sz="6" w:space="0"/>
                    <w:left w:val="nil"/>
                    <w:bottom w:val="single" w:color="auto" w:sz="6" w:space="0"/>
                    <w:right w:val="single" w:color="auto" w:sz="6" w:space="0"/>
                  </w:tcBorders>
                  <w:vAlign w:val="center"/>
                </w:tcPr>
                <w:p w14:paraId="6010C1D0">
                  <w:pPr>
                    <w:pStyle w:val="51"/>
                    <w:keepNext w:val="0"/>
                    <w:keepLines w:val="0"/>
                    <w:widowControl/>
                    <w:suppressLineNumbers w:val="0"/>
                    <w:spacing w:before="0" w:beforeAutospacing="0" w:after="0" w:afterAutospacing="0" w:line="276"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8</w:t>
                  </w:r>
                </w:p>
              </w:tc>
              <w:tc>
                <w:tcPr>
                  <w:tcW w:w="684" w:type="dxa"/>
                  <w:tcBorders>
                    <w:top w:val="single" w:color="auto" w:sz="6" w:space="0"/>
                    <w:left w:val="nil"/>
                    <w:bottom w:val="single" w:color="auto" w:sz="6" w:space="0"/>
                    <w:right w:val="single" w:color="auto" w:sz="6" w:space="0"/>
                  </w:tcBorders>
                  <w:vAlign w:val="center"/>
                </w:tcPr>
                <w:p w14:paraId="61B64372">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cs="Times New Roman"/>
                      <w:color w:val="auto"/>
                      <w:kern w:val="2"/>
                      <w:sz w:val="21"/>
                      <w:szCs w:val="21"/>
                      <w:lang w:eastAsia="zh-CN"/>
                    </w:rPr>
                  </w:pPr>
                  <w:r>
                    <w:rPr>
                      <w:rFonts w:hint="default" w:ascii="Times New Roman" w:hAnsi="Times New Roman" w:cs="Times New Roman"/>
                      <w:color w:val="auto"/>
                      <w:kern w:val="2"/>
                      <w:sz w:val="21"/>
                      <w:szCs w:val="21"/>
                    </w:rPr>
                    <w:t>不合格</w:t>
                  </w:r>
                  <w:r>
                    <w:rPr>
                      <w:rFonts w:hint="eastAsia" w:ascii="Times New Roman" w:hAnsi="Times New Roman" w:cs="Times New Roman"/>
                      <w:color w:val="auto"/>
                      <w:kern w:val="2"/>
                      <w:sz w:val="21"/>
                      <w:szCs w:val="21"/>
                      <w:lang w:val="en-US" w:eastAsia="zh-CN"/>
                    </w:rPr>
                    <w:t>产品</w:t>
                  </w:r>
                </w:p>
              </w:tc>
              <w:tc>
                <w:tcPr>
                  <w:tcW w:w="856" w:type="dxa"/>
                  <w:tcBorders>
                    <w:top w:val="single" w:color="auto" w:sz="6" w:space="0"/>
                    <w:left w:val="nil"/>
                    <w:bottom w:val="single" w:color="auto" w:sz="6" w:space="0"/>
                    <w:right w:val="single" w:color="auto" w:sz="6" w:space="0"/>
                  </w:tcBorders>
                  <w:vAlign w:val="center"/>
                </w:tcPr>
                <w:p w14:paraId="3B72147D">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highlight w:val="yellow"/>
                    </w:rPr>
                  </w:pPr>
                  <w:r>
                    <w:rPr>
                      <w:rFonts w:hint="default" w:ascii="Times New Roman" w:hAnsi="Times New Roman" w:cs="Times New Roman"/>
                      <w:color w:val="auto"/>
                      <w:kern w:val="2"/>
                      <w:sz w:val="21"/>
                      <w:szCs w:val="21"/>
                    </w:rPr>
                    <w:t>SW59</w:t>
                  </w:r>
                </w:p>
              </w:tc>
              <w:tc>
                <w:tcPr>
                  <w:tcW w:w="1347" w:type="dxa"/>
                  <w:tcBorders>
                    <w:top w:val="single" w:color="auto" w:sz="6" w:space="0"/>
                    <w:left w:val="nil"/>
                    <w:bottom w:val="single" w:color="auto" w:sz="6" w:space="0"/>
                    <w:right w:val="single" w:color="auto" w:sz="6" w:space="0"/>
                  </w:tcBorders>
                  <w:vAlign w:val="center"/>
                </w:tcPr>
                <w:p w14:paraId="05EF84B8">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highlight w:val="yellow"/>
                    </w:rPr>
                  </w:pPr>
                  <w:r>
                    <w:rPr>
                      <w:rFonts w:hint="default" w:ascii="Times New Roman" w:hAnsi="Times New Roman" w:cs="Times New Roman"/>
                      <w:color w:val="auto"/>
                      <w:kern w:val="2"/>
                      <w:sz w:val="21"/>
                      <w:szCs w:val="21"/>
                    </w:rPr>
                    <w:t>900-099-S59</w:t>
                  </w:r>
                </w:p>
              </w:tc>
              <w:tc>
                <w:tcPr>
                  <w:tcW w:w="832" w:type="dxa"/>
                  <w:tcBorders>
                    <w:top w:val="single" w:color="auto" w:sz="6" w:space="0"/>
                    <w:left w:val="nil"/>
                    <w:bottom w:val="single" w:color="auto" w:sz="6" w:space="0"/>
                    <w:right w:val="single" w:color="auto" w:sz="6" w:space="0"/>
                  </w:tcBorders>
                  <w:vAlign w:val="center"/>
                </w:tcPr>
                <w:p w14:paraId="3618CF2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1.4</w:t>
                  </w:r>
                </w:p>
              </w:tc>
              <w:tc>
                <w:tcPr>
                  <w:tcW w:w="800" w:type="dxa"/>
                  <w:tcBorders>
                    <w:top w:val="single" w:color="auto" w:sz="6" w:space="0"/>
                    <w:left w:val="nil"/>
                    <w:bottom w:val="single" w:color="auto" w:sz="6" w:space="0"/>
                    <w:right w:val="single" w:color="auto" w:sz="6" w:space="0"/>
                  </w:tcBorders>
                  <w:vAlign w:val="center"/>
                </w:tcPr>
                <w:p w14:paraId="665B58C3">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rPr>
                    <w:t>清洗、检测工序</w:t>
                  </w:r>
                </w:p>
              </w:tc>
              <w:tc>
                <w:tcPr>
                  <w:tcW w:w="650" w:type="dxa"/>
                  <w:tcBorders>
                    <w:top w:val="single" w:color="auto" w:sz="6" w:space="0"/>
                    <w:left w:val="nil"/>
                    <w:bottom w:val="single" w:color="auto" w:sz="6" w:space="0"/>
                    <w:right w:val="single" w:color="auto" w:sz="6" w:space="0"/>
                  </w:tcBorders>
                  <w:vAlign w:val="center"/>
                </w:tcPr>
                <w:p w14:paraId="3A637D99">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固态</w:t>
                  </w:r>
                </w:p>
              </w:tc>
              <w:tc>
                <w:tcPr>
                  <w:tcW w:w="734" w:type="dxa"/>
                  <w:tcBorders>
                    <w:top w:val="single" w:color="auto" w:sz="6" w:space="0"/>
                    <w:left w:val="nil"/>
                    <w:bottom w:val="single" w:color="auto" w:sz="6" w:space="0"/>
                    <w:right w:val="single" w:color="auto" w:sz="6" w:space="0"/>
                  </w:tcBorders>
                  <w:vAlign w:val="center"/>
                </w:tcPr>
                <w:p w14:paraId="0681169E">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500" w:type="dxa"/>
                  <w:vMerge w:val="restart"/>
                  <w:tcBorders>
                    <w:top w:val="single" w:color="auto" w:sz="6" w:space="0"/>
                    <w:left w:val="nil"/>
                    <w:right w:val="single" w:color="auto" w:sz="6" w:space="0"/>
                  </w:tcBorders>
                  <w:vAlign w:val="center"/>
                </w:tcPr>
                <w:p w14:paraId="3E77C4AE">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一般工业固体废物</w:t>
                  </w:r>
                </w:p>
              </w:tc>
              <w:tc>
                <w:tcPr>
                  <w:tcW w:w="746" w:type="dxa"/>
                  <w:tcBorders>
                    <w:top w:val="single" w:color="auto" w:sz="6" w:space="0"/>
                    <w:left w:val="nil"/>
                    <w:bottom w:val="single" w:color="auto" w:sz="6" w:space="0"/>
                    <w:right w:val="nil"/>
                  </w:tcBorders>
                  <w:vAlign w:val="center"/>
                </w:tcPr>
                <w:p w14:paraId="5C184C7F">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统一收集后返原厂家处理</w:t>
                  </w:r>
                </w:p>
              </w:tc>
            </w:tr>
            <w:tr w14:paraId="54B7AD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9" w:type="dxa"/>
                  <w:tcBorders>
                    <w:top w:val="single" w:color="auto" w:sz="6" w:space="0"/>
                    <w:left w:val="nil"/>
                    <w:right w:val="single" w:color="auto" w:sz="6" w:space="0"/>
                  </w:tcBorders>
                  <w:vAlign w:val="center"/>
                </w:tcPr>
                <w:p w14:paraId="6FC7AED2">
                  <w:pPr>
                    <w:pStyle w:val="51"/>
                    <w:keepNext w:val="0"/>
                    <w:keepLines w:val="0"/>
                    <w:widowControl/>
                    <w:suppressLineNumbers w:val="0"/>
                    <w:spacing w:before="0" w:beforeAutospacing="0" w:after="0" w:afterAutospacing="0" w:line="276" w:lineRule="auto"/>
                    <w:ind w:left="0" w:right="0"/>
                    <w:rPr>
                      <w:rFonts w:hint="default" w:ascii="Times New Roman" w:hAnsi="Times New Roman" w:eastAsia="宋体" w:cs="Times New Roman"/>
                      <w:color w:val="auto"/>
                      <w:kern w:val="2"/>
                      <w:sz w:val="21"/>
                      <w:szCs w:val="21"/>
                      <w:lang w:val="en-US" w:eastAsia="zh-CN"/>
                    </w:rPr>
                  </w:pPr>
                  <w:r>
                    <w:rPr>
                      <w:rFonts w:hint="default" w:ascii="Times New Roman" w:hAnsi="Times New Roman" w:cs="Times New Roman"/>
                      <w:color w:val="auto"/>
                      <w:kern w:val="2"/>
                      <w:sz w:val="21"/>
                      <w:szCs w:val="21"/>
                      <w:lang w:val="en-US" w:eastAsia="zh-CN"/>
                    </w:rPr>
                    <w:t>9</w:t>
                  </w:r>
                </w:p>
              </w:tc>
              <w:tc>
                <w:tcPr>
                  <w:tcW w:w="684" w:type="dxa"/>
                  <w:tcBorders>
                    <w:top w:val="single" w:color="auto" w:sz="6" w:space="0"/>
                    <w:left w:val="nil"/>
                    <w:right w:val="single" w:color="auto" w:sz="6" w:space="0"/>
                  </w:tcBorders>
                  <w:vAlign w:val="center"/>
                </w:tcPr>
                <w:p w14:paraId="27D72F7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废包装材料</w:t>
                  </w:r>
                </w:p>
              </w:tc>
              <w:tc>
                <w:tcPr>
                  <w:tcW w:w="856" w:type="dxa"/>
                  <w:tcBorders>
                    <w:top w:val="single" w:color="auto" w:sz="6" w:space="0"/>
                    <w:left w:val="nil"/>
                    <w:right w:val="single" w:color="auto" w:sz="6" w:space="0"/>
                  </w:tcBorders>
                  <w:vAlign w:val="center"/>
                </w:tcPr>
                <w:p w14:paraId="7132A2AE">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SW59</w:t>
                  </w:r>
                </w:p>
              </w:tc>
              <w:tc>
                <w:tcPr>
                  <w:tcW w:w="1347" w:type="dxa"/>
                  <w:tcBorders>
                    <w:top w:val="single" w:color="auto" w:sz="6" w:space="0"/>
                    <w:left w:val="nil"/>
                    <w:right w:val="single" w:color="auto" w:sz="6" w:space="0"/>
                  </w:tcBorders>
                  <w:vAlign w:val="center"/>
                </w:tcPr>
                <w:p w14:paraId="08D001D4">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900-099-S59</w:t>
                  </w:r>
                </w:p>
              </w:tc>
              <w:tc>
                <w:tcPr>
                  <w:tcW w:w="832" w:type="dxa"/>
                  <w:tcBorders>
                    <w:top w:val="single" w:color="auto" w:sz="6" w:space="0"/>
                    <w:left w:val="nil"/>
                    <w:right w:val="single" w:color="auto" w:sz="6" w:space="0"/>
                  </w:tcBorders>
                  <w:vAlign w:val="center"/>
                </w:tcPr>
                <w:p w14:paraId="011C0EBD">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0.6</w:t>
                  </w:r>
                </w:p>
              </w:tc>
              <w:tc>
                <w:tcPr>
                  <w:tcW w:w="800" w:type="dxa"/>
                  <w:tcBorders>
                    <w:top w:val="single" w:color="auto" w:sz="6" w:space="0"/>
                    <w:left w:val="nil"/>
                    <w:right w:val="single" w:color="auto" w:sz="6" w:space="0"/>
                  </w:tcBorders>
                  <w:vAlign w:val="center"/>
                </w:tcPr>
                <w:p w14:paraId="1C9362D7">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原料暂存</w:t>
                  </w:r>
                </w:p>
              </w:tc>
              <w:tc>
                <w:tcPr>
                  <w:tcW w:w="650" w:type="dxa"/>
                  <w:tcBorders>
                    <w:top w:val="single" w:color="auto" w:sz="6" w:space="0"/>
                    <w:left w:val="nil"/>
                    <w:right w:val="single" w:color="auto" w:sz="6" w:space="0"/>
                  </w:tcBorders>
                  <w:vAlign w:val="center"/>
                </w:tcPr>
                <w:p w14:paraId="5CB741CD">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固态</w:t>
                  </w:r>
                </w:p>
              </w:tc>
              <w:tc>
                <w:tcPr>
                  <w:tcW w:w="734" w:type="dxa"/>
                  <w:tcBorders>
                    <w:top w:val="single" w:color="auto" w:sz="6" w:space="0"/>
                    <w:left w:val="nil"/>
                    <w:right w:val="single" w:color="auto" w:sz="6" w:space="0"/>
                  </w:tcBorders>
                  <w:vAlign w:val="center"/>
                </w:tcPr>
                <w:p w14:paraId="2C67234F">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w:t>
                  </w:r>
                </w:p>
              </w:tc>
              <w:tc>
                <w:tcPr>
                  <w:tcW w:w="500" w:type="dxa"/>
                  <w:vMerge w:val="continue"/>
                  <w:tcBorders>
                    <w:left w:val="nil"/>
                    <w:right w:val="single" w:color="auto" w:sz="6" w:space="0"/>
                  </w:tcBorders>
                  <w:vAlign w:val="center"/>
                </w:tcPr>
                <w:p w14:paraId="2672A4CA">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p>
              </w:tc>
              <w:tc>
                <w:tcPr>
                  <w:tcW w:w="746" w:type="dxa"/>
                  <w:tcBorders>
                    <w:top w:val="single" w:color="auto" w:sz="6" w:space="0"/>
                    <w:left w:val="nil"/>
                    <w:right w:val="nil"/>
                  </w:tcBorders>
                  <w:vAlign w:val="center"/>
                </w:tcPr>
                <w:p w14:paraId="1DC246F2">
                  <w:pPr>
                    <w:pStyle w:val="51"/>
                    <w:keepNext w:val="0"/>
                    <w:keepLines w:val="0"/>
                    <w:widowControl/>
                    <w:suppressLineNumbers w:val="0"/>
                    <w:spacing w:before="0" w:beforeAutospacing="0" w:after="0" w:afterAutospacing="0" w:line="276" w:lineRule="auto"/>
                    <w:ind w:left="0" w:right="0"/>
                    <w:rPr>
                      <w:rFonts w:hint="default" w:ascii="Times New Roman" w:hAnsi="Times New Roman" w:cs="Times New Roman"/>
                      <w:color w:val="auto"/>
                      <w:kern w:val="2"/>
                      <w:sz w:val="21"/>
                      <w:szCs w:val="21"/>
                    </w:rPr>
                  </w:pPr>
                  <w:r>
                    <w:rPr>
                      <w:rFonts w:hint="default" w:ascii="Times New Roman" w:hAnsi="Times New Roman" w:cs="Times New Roman"/>
                      <w:color w:val="auto"/>
                      <w:kern w:val="2"/>
                      <w:sz w:val="21"/>
                      <w:szCs w:val="21"/>
                    </w:rPr>
                    <w:t>定期外售综合利用</w:t>
                  </w:r>
                </w:p>
              </w:tc>
            </w:tr>
          </w:tbl>
          <w:p w14:paraId="7A2F8996">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default" w:ascii="Times New Roman" w:hAnsi="Times New Roman"/>
                <w:b/>
                <w:color w:val="auto"/>
                <w:kern w:val="2"/>
              </w:rPr>
              <w:t>4、污染控制措施分析</w:t>
            </w:r>
          </w:p>
          <w:p w14:paraId="4EDD6D78">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default" w:ascii="Times New Roman" w:hAnsi="Times New Roman"/>
                <w:bCs/>
                <w:color w:val="auto"/>
                <w:kern w:val="2"/>
              </w:rPr>
              <w:t>（1）一般工业固体废物处置去向及环境管理要求</w:t>
            </w:r>
          </w:p>
          <w:p w14:paraId="56E74930">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1）一般工业固体废物暂存场所污染防治要求</w:t>
            </w:r>
          </w:p>
          <w:p w14:paraId="2A1BC132">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参照《一般工业固体废物贮存和填埋污染控制标准》（GB18599-2020），一般固废暂存间贮存要求具有防渗漏、防雨淋、防扬散等措施。</w:t>
            </w:r>
          </w:p>
          <w:p w14:paraId="6AA788D4">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eastAsia"/>
                <w:color w:val="auto"/>
                <w:kern w:val="2"/>
              </w:rPr>
              <w:t>①</w:t>
            </w:r>
            <w:r>
              <w:rPr>
                <w:rFonts w:hint="default" w:ascii="Times New Roman" w:hAnsi="Times New Roman"/>
                <w:color w:val="auto"/>
                <w:kern w:val="2"/>
              </w:rPr>
              <w:t>贮存区设分隔设施，不同类型的固体废物分开贮存。不允许将危险废物和生活垃圾混入。</w:t>
            </w:r>
          </w:p>
          <w:p w14:paraId="0553278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eastAsia"/>
                <w:color w:val="auto"/>
                <w:kern w:val="2"/>
              </w:rPr>
              <w:t>②</w:t>
            </w:r>
            <w:r>
              <w:rPr>
                <w:rFonts w:hint="default" w:ascii="Times New Roman" w:hAnsi="Times New Roman"/>
                <w:color w:val="auto"/>
                <w:kern w:val="2"/>
              </w:rPr>
              <w:t>一般工业固体废物暂存区避免雨水冲刷。</w:t>
            </w:r>
          </w:p>
          <w:p w14:paraId="72C745D0">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eastAsia"/>
                <w:color w:val="auto"/>
                <w:kern w:val="2"/>
              </w:rPr>
              <w:t>③</w:t>
            </w:r>
            <w:r>
              <w:rPr>
                <w:rFonts w:hint="default" w:ascii="Times New Roman" w:hAnsi="Times New Roman"/>
                <w:color w:val="auto"/>
                <w:kern w:val="2"/>
              </w:rPr>
              <w:t>一般工业固体废物暂存区为密封车间，地面均采用</w:t>
            </w:r>
            <w:r>
              <w:rPr>
                <w:rFonts w:hint="eastAsia" w:ascii="Times New Roman" w:hAnsi="Times New Roman"/>
                <w:color w:val="auto"/>
                <w:kern w:val="2"/>
              </w:rPr>
              <w:t>10~15cm厚抗渗混凝土</w:t>
            </w:r>
            <w:r>
              <w:rPr>
                <w:rFonts w:hint="default" w:ascii="Times New Roman" w:hAnsi="Times New Roman"/>
                <w:color w:val="auto"/>
                <w:kern w:val="2"/>
              </w:rPr>
              <w:t>，经防渗处理后渗透系数≤10</w:t>
            </w:r>
            <w:r>
              <w:rPr>
                <w:rFonts w:hint="default" w:ascii="Times New Roman" w:hAnsi="Times New Roman"/>
                <w:color w:val="auto"/>
                <w:kern w:val="2"/>
                <w:vertAlign w:val="superscript"/>
              </w:rPr>
              <w:t>-7</w:t>
            </w:r>
            <w:r>
              <w:rPr>
                <w:rFonts w:hint="default" w:ascii="Times New Roman" w:hAnsi="Times New Roman"/>
                <w:color w:val="auto"/>
                <w:kern w:val="2"/>
              </w:rPr>
              <w:t>cm/s。</w:t>
            </w:r>
          </w:p>
          <w:p w14:paraId="03AA29B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eastAsia"/>
                <w:color w:val="auto"/>
                <w:kern w:val="2"/>
              </w:rPr>
              <w:t>④</w:t>
            </w:r>
            <w:r>
              <w:rPr>
                <w:rFonts w:hint="default" w:ascii="Times New Roman" w:hAnsi="Times New Roman"/>
                <w:color w:val="auto"/>
                <w:kern w:val="2"/>
              </w:rPr>
              <w:t>为加强管理监督，贮存、处置场所地按《环境保护图形标志固体废物贮存（处置）场所》（GB15562.2-1995）设置环境保护图形标志。</w:t>
            </w:r>
          </w:p>
          <w:p w14:paraId="72BA62BB">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eastAsia"/>
                <w:color w:val="auto"/>
                <w:kern w:val="2"/>
              </w:rPr>
              <w:t>⑤</w:t>
            </w:r>
            <w:r>
              <w:rPr>
                <w:rFonts w:hint="default" w:ascii="Times New Roman" w:hAnsi="Times New Roman"/>
                <w:color w:val="auto"/>
                <w:kern w:val="2"/>
              </w:rPr>
              <w:t>建立档案制度，将入场的一般工业固体废物的种类和数量等资料，详细记录在案，供随时查阅。</w:t>
            </w:r>
          </w:p>
          <w:p w14:paraId="70976017">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项目一般固废暂存场所</w:t>
            </w:r>
            <w:r>
              <w:rPr>
                <w:rFonts w:hint="eastAsia" w:ascii="Times New Roman" w:hAnsi="Times New Roman"/>
                <w:color w:val="auto"/>
                <w:kern w:val="2"/>
                <w:lang w:val="en-US" w:eastAsia="zh-CN"/>
              </w:rPr>
              <w:t>已经</w:t>
            </w:r>
            <w:r>
              <w:rPr>
                <w:rFonts w:hint="default" w:ascii="Times New Roman" w:hAnsi="Times New Roman"/>
                <w:color w:val="auto"/>
                <w:kern w:val="2"/>
              </w:rPr>
              <w:t>按照《一般工业固体废物贮存和填埋污染控制标准》（GB18599-2020）中相关要求设置。本项目一般固废均得到合理的储存、处置，对环境影响较小。</w:t>
            </w:r>
          </w:p>
          <w:p w14:paraId="184D885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default" w:ascii="Times New Roman" w:hAnsi="Times New Roman"/>
                <w:bCs/>
                <w:color w:val="auto"/>
                <w:kern w:val="2"/>
              </w:rPr>
              <w:t>一般固废暂存于厂区一般固废暂存间，一般固废暂存间位于</w:t>
            </w:r>
            <w:r>
              <w:rPr>
                <w:rFonts w:hint="default" w:ascii="Times New Roman" w:hAnsi="Times New Roman" w:cs="Times New Roman"/>
                <w:color w:val="auto"/>
                <w:kern w:val="2"/>
              </w:rPr>
              <w:t>3</w:t>
            </w:r>
            <w:r>
              <w:rPr>
                <w:rFonts w:hint="eastAsia" w:ascii="Times New Roman" w:hAnsi="Times New Roman" w:cs="Times New Roman"/>
                <w:color w:val="auto"/>
                <w:kern w:val="2"/>
              </w:rPr>
              <w:t>4</w:t>
            </w:r>
            <w:r>
              <w:rPr>
                <w:rFonts w:hint="default" w:ascii="Times New Roman" w:hAnsi="Times New Roman" w:cs="Times New Roman"/>
                <w:color w:val="auto"/>
                <w:kern w:val="2"/>
              </w:rPr>
              <w:t>#</w:t>
            </w:r>
            <w:r>
              <w:rPr>
                <w:rFonts w:hint="eastAsia" w:ascii="Times New Roman" w:hAnsi="Times New Roman" w:cs="Times New Roman"/>
                <w:color w:val="auto"/>
                <w:kern w:val="2"/>
              </w:rPr>
              <w:t>厂房</w:t>
            </w:r>
            <w:r>
              <w:rPr>
                <w:rFonts w:hint="default" w:ascii="Times New Roman" w:hAnsi="Times New Roman" w:cs="Times New Roman"/>
                <w:color w:val="auto"/>
                <w:kern w:val="2"/>
              </w:rPr>
              <w:t>东南侧</w:t>
            </w:r>
            <w:r>
              <w:rPr>
                <w:rFonts w:hint="default" w:ascii="Times New Roman" w:hAnsi="Times New Roman"/>
                <w:bCs/>
                <w:color w:val="auto"/>
                <w:kern w:val="2"/>
              </w:rPr>
              <w:t>，建筑面积</w:t>
            </w:r>
            <w:r>
              <w:rPr>
                <w:rFonts w:hint="eastAsia" w:ascii="Times New Roman" w:hAnsi="Times New Roman"/>
                <w:bCs/>
                <w:color w:val="auto"/>
                <w:kern w:val="2"/>
              </w:rPr>
              <w:t>50</w:t>
            </w:r>
            <w:r>
              <w:rPr>
                <w:rFonts w:hint="default" w:ascii="Times New Roman" w:hAnsi="Times New Roman"/>
                <w:bCs/>
                <w:color w:val="auto"/>
                <w:kern w:val="2"/>
              </w:rPr>
              <w:t>m</w:t>
            </w:r>
            <w:r>
              <w:rPr>
                <w:rFonts w:hint="default" w:ascii="Times New Roman" w:hAnsi="Times New Roman"/>
                <w:bCs/>
                <w:color w:val="auto"/>
                <w:kern w:val="2"/>
                <w:vertAlign w:val="superscript"/>
              </w:rPr>
              <w:t>2</w:t>
            </w:r>
            <w:r>
              <w:rPr>
                <w:rFonts w:hint="default" w:ascii="Times New Roman" w:hAnsi="Times New Roman"/>
                <w:bCs/>
                <w:color w:val="auto"/>
                <w:kern w:val="2"/>
              </w:rPr>
              <w:t>，贮存能力为</w:t>
            </w:r>
            <w:r>
              <w:rPr>
                <w:rFonts w:hint="eastAsia" w:ascii="Times New Roman" w:hAnsi="Times New Roman"/>
                <w:bCs/>
                <w:color w:val="auto"/>
                <w:kern w:val="2"/>
              </w:rPr>
              <w:t>10</w:t>
            </w:r>
            <w:r>
              <w:rPr>
                <w:rFonts w:hint="default" w:ascii="Times New Roman" w:hAnsi="Times New Roman"/>
                <w:bCs/>
                <w:color w:val="auto"/>
                <w:kern w:val="2"/>
              </w:rPr>
              <w:t>0吨，满足使用要求。综上，本项目固体废弃物均得到了合理处置，不会产生二次污染，对外环境影响较小。</w:t>
            </w:r>
          </w:p>
          <w:p w14:paraId="560C621B">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default" w:ascii="Times New Roman" w:hAnsi="Times New Roman"/>
                <w:bCs/>
                <w:color w:val="auto"/>
                <w:kern w:val="2"/>
              </w:rPr>
              <w:t>（2）危险废物处置措施</w:t>
            </w:r>
          </w:p>
          <w:p w14:paraId="5B537339">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default" w:ascii="Times New Roman" w:hAnsi="Times New Roman"/>
                <w:bCs/>
                <w:color w:val="auto"/>
                <w:kern w:val="2"/>
              </w:rPr>
              <w:t>废</w:t>
            </w:r>
            <w:r>
              <w:rPr>
                <w:rFonts w:hint="eastAsia" w:ascii="Times New Roman" w:hAnsi="Times New Roman"/>
                <w:bCs/>
                <w:color w:val="auto"/>
                <w:kern w:val="2"/>
              </w:rPr>
              <w:t>包装</w:t>
            </w:r>
            <w:r>
              <w:rPr>
                <w:rFonts w:hint="default" w:ascii="Times New Roman" w:hAnsi="Times New Roman"/>
                <w:bCs/>
                <w:color w:val="auto"/>
                <w:kern w:val="2"/>
              </w:rPr>
              <w:t>桶、废</w:t>
            </w:r>
            <w:r>
              <w:rPr>
                <w:rFonts w:hint="eastAsia" w:ascii="Times New Roman" w:hAnsi="Times New Roman"/>
                <w:bCs/>
                <w:color w:val="auto"/>
                <w:kern w:val="2"/>
              </w:rPr>
              <w:t>润滑</w:t>
            </w:r>
            <w:r>
              <w:rPr>
                <w:rFonts w:hint="default" w:ascii="Times New Roman" w:hAnsi="Times New Roman"/>
                <w:bCs/>
                <w:color w:val="auto"/>
                <w:kern w:val="2"/>
              </w:rPr>
              <w:t>油、含油抹布、</w:t>
            </w:r>
            <w:r>
              <w:rPr>
                <w:rFonts w:hint="eastAsia" w:ascii="Times New Roman" w:hAnsi="Times New Roman"/>
                <w:bCs/>
                <w:color w:val="auto"/>
                <w:kern w:val="2"/>
              </w:rPr>
              <w:t>废胶管、</w:t>
            </w:r>
            <w:r>
              <w:rPr>
                <w:rFonts w:hint="default" w:ascii="Times New Roman" w:hAnsi="Times New Roman"/>
                <w:bCs/>
                <w:color w:val="auto"/>
                <w:kern w:val="2"/>
              </w:rPr>
              <w:t>废</w:t>
            </w:r>
            <w:r>
              <w:rPr>
                <w:rFonts w:hint="eastAsia" w:ascii="Times New Roman" w:hAnsi="Times New Roman"/>
                <w:bCs/>
                <w:color w:val="auto"/>
                <w:kern w:val="2"/>
              </w:rPr>
              <w:t>活性炭</w:t>
            </w:r>
            <w:r>
              <w:rPr>
                <w:rFonts w:hint="eastAsia" w:ascii="Times New Roman" w:hAnsi="Times New Roman"/>
                <w:bCs/>
                <w:color w:val="auto"/>
                <w:kern w:val="2"/>
                <w:lang w:eastAsia="zh-CN"/>
              </w:rPr>
              <w:t>、废</w:t>
            </w:r>
            <w:r>
              <w:rPr>
                <w:rFonts w:hint="eastAsia" w:ascii="Times New Roman" w:hAnsi="Times New Roman"/>
                <w:bCs/>
                <w:color w:val="auto"/>
                <w:kern w:val="2"/>
                <w:lang w:val="en-US" w:eastAsia="zh-CN"/>
              </w:rPr>
              <w:t>槽液、废滤芯</w:t>
            </w:r>
            <w:r>
              <w:rPr>
                <w:rFonts w:hint="default" w:ascii="Times New Roman" w:hAnsi="Times New Roman"/>
                <w:bCs/>
                <w:color w:val="auto"/>
                <w:kern w:val="2"/>
              </w:rPr>
              <w:t>暂存在厂区危废暂存间，废</w:t>
            </w:r>
            <w:r>
              <w:rPr>
                <w:rFonts w:hint="eastAsia" w:ascii="Times New Roman" w:hAnsi="Times New Roman"/>
                <w:bCs/>
                <w:color w:val="auto"/>
                <w:kern w:val="2"/>
              </w:rPr>
              <w:t>润滑</w:t>
            </w:r>
            <w:r>
              <w:rPr>
                <w:rFonts w:hint="default" w:ascii="Times New Roman" w:hAnsi="Times New Roman"/>
                <w:bCs/>
                <w:color w:val="auto"/>
                <w:kern w:val="2"/>
              </w:rPr>
              <w:t>油、含油抹布</w:t>
            </w:r>
            <w:r>
              <w:rPr>
                <w:rFonts w:hint="eastAsia" w:ascii="Times New Roman" w:hAnsi="Times New Roman"/>
                <w:bCs/>
                <w:color w:val="auto"/>
                <w:kern w:val="2"/>
              </w:rPr>
              <w:t>、废胶管</w:t>
            </w:r>
            <w:r>
              <w:rPr>
                <w:rFonts w:hint="default" w:ascii="Times New Roman" w:hAnsi="Times New Roman"/>
                <w:bCs/>
                <w:color w:val="auto"/>
                <w:kern w:val="2"/>
              </w:rPr>
              <w:t>、废</w:t>
            </w:r>
            <w:r>
              <w:rPr>
                <w:rFonts w:hint="eastAsia" w:ascii="Times New Roman" w:hAnsi="Times New Roman"/>
                <w:bCs/>
                <w:color w:val="auto"/>
                <w:kern w:val="2"/>
              </w:rPr>
              <w:t>活性炭</w:t>
            </w:r>
            <w:r>
              <w:rPr>
                <w:rFonts w:hint="eastAsia" w:ascii="Times New Roman" w:hAnsi="Times New Roman"/>
                <w:bCs/>
                <w:color w:val="auto"/>
                <w:kern w:val="2"/>
                <w:lang w:eastAsia="zh-CN"/>
              </w:rPr>
              <w:t>、废</w:t>
            </w:r>
            <w:r>
              <w:rPr>
                <w:rFonts w:hint="eastAsia" w:ascii="Times New Roman" w:hAnsi="Times New Roman"/>
                <w:bCs/>
                <w:color w:val="auto"/>
                <w:kern w:val="2"/>
                <w:lang w:val="en-US" w:eastAsia="zh-CN"/>
              </w:rPr>
              <w:t>槽液、废滤芯</w:t>
            </w:r>
            <w:r>
              <w:rPr>
                <w:rFonts w:hint="eastAsia"/>
                <w:color w:val="auto"/>
                <w:kern w:val="2"/>
              </w:rPr>
              <w:t>采用包装桶封闭储存，废包装桶盖紧桶盖并采用保鲜膜封闭。</w:t>
            </w:r>
            <w:r>
              <w:rPr>
                <w:rFonts w:hint="default" w:ascii="Times New Roman" w:hAnsi="Times New Roman"/>
                <w:bCs/>
                <w:color w:val="auto"/>
                <w:kern w:val="2"/>
              </w:rPr>
              <w:t>危废暂存间位于</w:t>
            </w:r>
            <w:r>
              <w:rPr>
                <w:rFonts w:hint="default" w:ascii="Times New Roman" w:hAnsi="Times New Roman" w:cs="Times New Roman"/>
                <w:color w:val="auto"/>
                <w:kern w:val="2"/>
              </w:rPr>
              <w:t>3</w:t>
            </w:r>
            <w:r>
              <w:rPr>
                <w:rFonts w:hint="eastAsia" w:ascii="Times New Roman" w:hAnsi="Times New Roman" w:cs="Times New Roman"/>
                <w:color w:val="auto"/>
                <w:kern w:val="2"/>
              </w:rPr>
              <w:t>4</w:t>
            </w:r>
            <w:r>
              <w:rPr>
                <w:rFonts w:hint="default" w:ascii="Times New Roman" w:hAnsi="Times New Roman" w:cs="Times New Roman"/>
                <w:color w:val="auto"/>
                <w:kern w:val="2"/>
              </w:rPr>
              <w:t>#</w:t>
            </w:r>
            <w:r>
              <w:rPr>
                <w:rFonts w:hint="eastAsia" w:ascii="Times New Roman" w:hAnsi="Times New Roman" w:cs="Times New Roman"/>
                <w:color w:val="auto"/>
                <w:kern w:val="2"/>
              </w:rPr>
              <w:t>厂房</w:t>
            </w:r>
            <w:r>
              <w:rPr>
                <w:rFonts w:hint="default" w:ascii="Times New Roman" w:hAnsi="Times New Roman" w:cs="Times New Roman"/>
                <w:color w:val="auto"/>
                <w:kern w:val="2"/>
              </w:rPr>
              <w:t>东南侧</w:t>
            </w:r>
            <w:r>
              <w:rPr>
                <w:rFonts w:hint="default" w:ascii="Times New Roman" w:hAnsi="Times New Roman"/>
                <w:bCs/>
                <w:color w:val="auto"/>
                <w:kern w:val="2"/>
              </w:rPr>
              <w:t>，建筑面积</w:t>
            </w:r>
            <w:r>
              <w:rPr>
                <w:rFonts w:hint="eastAsia" w:ascii="Times New Roman" w:hAnsi="Times New Roman"/>
                <w:bCs/>
                <w:color w:val="auto"/>
                <w:kern w:val="2"/>
                <w:lang w:val="en-US" w:eastAsia="zh-CN"/>
              </w:rPr>
              <w:t>8</w:t>
            </w:r>
            <w:r>
              <w:rPr>
                <w:rFonts w:hint="eastAsia" w:ascii="Times New Roman" w:hAnsi="Times New Roman"/>
                <w:bCs/>
                <w:color w:val="auto"/>
                <w:kern w:val="2"/>
              </w:rPr>
              <w:t>0</w:t>
            </w:r>
            <w:r>
              <w:rPr>
                <w:rFonts w:hint="default" w:ascii="Times New Roman" w:hAnsi="Times New Roman"/>
                <w:bCs/>
                <w:color w:val="auto"/>
                <w:kern w:val="2"/>
              </w:rPr>
              <w:t>m</w:t>
            </w:r>
            <w:r>
              <w:rPr>
                <w:rFonts w:hint="default" w:ascii="Times New Roman" w:hAnsi="Times New Roman"/>
                <w:bCs/>
                <w:color w:val="auto"/>
                <w:kern w:val="2"/>
                <w:vertAlign w:val="superscript"/>
              </w:rPr>
              <w:t>2</w:t>
            </w:r>
            <w:r>
              <w:rPr>
                <w:rFonts w:hint="default" w:ascii="Times New Roman" w:hAnsi="Times New Roman"/>
                <w:bCs/>
                <w:color w:val="auto"/>
                <w:kern w:val="2"/>
              </w:rPr>
              <w:t>。</w:t>
            </w:r>
          </w:p>
          <w:p w14:paraId="609EF9D3">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eastAsia" w:ascii="Times New Roman" w:hAnsi="Times New Roman"/>
                <w:bCs/>
                <w:color w:val="auto"/>
                <w:kern w:val="2"/>
                <w:lang w:val="en-US" w:eastAsia="zh-CN"/>
              </w:rPr>
              <w:t>本项项目依托现有危废暂存间，已经</w:t>
            </w:r>
            <w:r>
              <w:rPr>
                <w:rFonts w:hint="default" w:ascii="Times New Roman" w:hAnsi="Times New Roman"/>
                <w:bCs/>
                <w:color w:val="auto"/>
                <w:kern w:val="2"/>
              </w:rPr>
              <w:t>按照《危险废物贮存污染控制标准》（GB18597-2023）的相关规定进行建设，建设单位</w:t>
            </w:r>
            <w:r>
              <w:rPr>
                <w:rFonts w:hint="eastAsia" w:ascii="Times New Roman" w:hAnsi="Times New Roman"/>
                <w:bCs/>
                <w:color w:val="auto"/>
                <w:kern w:val="2"/>
                <w:lang w:val="en-US" w:eastAsia="zh-CN"/>
              </w:rPr>
              <w:t>已</w:t>
            </w:r>
            <w:r>
              <w:rPr>
                <w:rFonts w:hint="default" w:ascii="Times New Roman" w:hAnsi="Times New Roman"/>
                <w:bCs/>
                <w:color w:val="auto"/>
                <w:kern w:val="2"/>
              </w:rPr>
              <w:t>采取如下危险废物贮存措施：</w:t>
            </w:r>
          </w:p>
          <w:p w14:paraId="65E509A0">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eastAsia"/>
                <w:bCs/>
                <w:color w:val="auto"/>
                <w:kern w:val="2"/>
              </w:rPr>
              <w:t>①</w:t>
            </w:r>
            <w:r>
              <w:rPr>
                <w:rFonts w:hint="default" w:ascii="Times New Roman" w:hAnsi="Times New Roman"/>
                <w:color w:val="auto"/>
                <w:kern w:val="2"/>
              </w:rPr>
              <w:t>库房内部各类危废划区堆放；同时应建有堵截泄漏的裙脚、设置防渗漏托盘，需设置导流沟和集液槽；地面与裙脚要用坚固防渗的材料建造；应有隔离设施、报警装置和防风、防晒、防雨设施。</w:t>
            </w:r>
          </w:p>
          <w:p w14:paraId="32D94365">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eastAsia"/>
                <w:bCs/>
                <w:color w:val="auto"/>
                <w:kern w:val="2"/>
              </w:rPr>
              <w:t>②</w:t>
            </w:r>
            <w:r>
              <w:rPr>
                <w:rFonts w:hint="default" w:ascii="Times New Roman" w:hAnsi="Times New Roman"/>
                <w:color w:val="auto"/>
                <w:kern w:val="2"/>
              </w:rPr>
              <w:t>各类危废干湿分区，不同化学属性的存放区采用实体墙隔离，不同种类危废存放区域贴/挂标识标牌。</w:t>
            </w:r>
          </w:p>
          <w:p w14:paraId="094C8E10">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bCs/>
                <w:color w:val="auto"/>
                <w:kern w:val="2"/>
              </w:rPr>
            </w:pPr>
            <w:r>
              <w:rPr>
                <w:rFonts w:hint="eastAsia"/>
                <w:bCs/>
                <w:color w:val="auto"/>
                <w:kern w:val="2"/>
              </w:rPr>
              <w:t>③</w:t>
            </w:r>
            <w:r>
              <w:rPr>
                <w:rFonts w:hint="default" w:ascii="Times New Roman" w:hAnsi="Times New Roman"/>
                <w:color w:val="auto"/>
                <w:kern w:val="2"/>
              </w:rPr>
              <w:t>干区进行地面硬化；湿区地面进行防腐、防渗处理，参照《危险废物贮存污染控制标准》（GB18597-2023）相关要求，基础防渗层为黏土层时，其厚度应达1m以上，渗透系数不大于10</w:t>
            </w:r>
            <w:r>
              <w:rPr>
                <w:rFonts w:hint="default" w:ascii="Times New Roman" w:hAnsi="Times New Roman"/>
                <w:color w:val="auto"/>
                <w:kern w:val="2"/>
                <w:vertAlign w:val="superscript"/>
              </w:rPr>
              <w:t>-7</w:t>
            </w:r>
            <w:r>
              <w:rPr>
                <w:rFonts w:hint="default" w:ascii="Times New Roman" w:hAnsi="Times New Roman"/>
                <w:color w:val="auto"/>
                <w:kern w:val="2"/>
              </w:rPr>
              <w:t>cm/s；基础防渗层亦可用厚度2mm以上的高密度聚乙烯和其他人工防渗材料组成，渗透系数不大于10</w:t>
            </w:r>
            <w:r>
              <w:rPr>
                <w:rFonts w:hint="default" w:ascii="Times New Roman" w:hAnsi="Times New Roman"/>
                <w:color w:val="auto"/>
                <w:kern w:val="2"/>
                <w:vertAlign w:val="superscript"/>
              </w:rPr>
              <w:t>-10</w:t>
            </w:r>
            <w:r>
              <w:rPr>
                <w:rFonts w:hint="default" w:ascii="Times New Roman" w:hAnsi="Times New Roman"/>
                <w:color w:val="auto"/>
                <w:kern w:val="2"/>
              </w:rPr>
              <w:t>cm/s。</w:t>
            </w:r>
          </w:p>
          <w:p w14:paraId="236712D4">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eastAsia"/>
                <w:bCs/>
                <w:color w:val="auto"/>
                <w:kern w:val="2"/>
              </w:rPr>
              <w:t>④</w:t>
            </w:r>
            <w:r>
              <w:rPr>
                <w:rFonts w:hint="default" w:ascii="Times New Roman" w:hAnsi="Times New Roman"/>
                <w:color w:val="auto"/>
                <w:kern w:val="2"/>
              </w:rPr>
              <w:t>暂存区外围周边贴挂明显的标识标牌，注明主要暂存危废的种类、数量、危废编号等信息。</w:t>
            </w:r>
          </w:p>
          <w:p w14:paraId="334E409B">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eastAsia"/>
                <w:bCs/>
                <w:color w:val="auto"/>
                <w:kern w:val="2"/>
              </w:rPr>
              <w:t>⑤</w:t>
            </w:r>
            <w:r>
              <w:rPr>
                <w:rFonts w:hint="default" w:ascii="Times New Roman" w:hAnsi="Times New Roman"/>
                <w:color w:val="auto"/>
                <w:kern w:val="2"/>
              </w:rPr>
              <w:t>合理选择危废包装物。危废贮存容器、材质满足相应的强度要求，日常确保完好无损；容器材质和衬里与危险废物相容；盛装液体废物的桶开孔直径应不超过70mm，并有放气孔。</w:t>
            </w:r>
          </w:p>
          <w:p w14:paraId="14AB60D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s="Times New Roman"/>
                <w:color w:val="auto"/>
                <w:kern w:val="2"/>
              </w:rPr>
              <w:t>（5）</w:t>
            </w:r>
            <w:r>
              <w:rPr>
                <w:rFonts w:hint="default" w:ascii="Times New Roman" w:hAnsi="Times New Roman"/>
                <w:color w:val="auto"/>
                <w:kern w:val="2"/>
              </w:rPr>
              <w:t>危险废物暂存间存储能力可行性分析</w:t>
            </w:r>
          </w:p>
          <w:p w14:paraId="56F17B1E">
            <w:pPr>
              <w:keepNext w:val="0"/>
              <w:keepLines w:val="0"/>
              <w:widowControl/>
              <w:suppressLineNumbers w:val="0"/>
              <w:spacing w:before="0" w:beforeAutospacing="0" w:after="0" w:afterAutospacing="0" w:line="360" w:lineRule="auto"/>
              <w:ind w:left="0" w:right="0"/>
              <w:jc w:val="center"/>
              <w:rPr>
                <w:rFonts w:hint="default" w:ascii="Times New Roman" w:hAnsi="Times New Roman"/>
                <w:color w:val="auto"/>
                <w:kern w:val="2"/>
                <w:highlight w:val="yellow"/>
              </w:rPr>
            </w:pPr>
            <w:r>
              <w:rPr>
                <w:rFonts w:hint="default" w:ascii="Times New Roman" w:hAnsi="Times New Roman" w:eastAsia="黑体"/>
                <w:color w:val="auto"/>
                <w:kern w:val="2"/>
              </w:rPr>
              <w:t>表4-1</w:t>
            </w:r>
            <w:r>
              <w:rPr>
                <w:rFonts w:hint="eastAsia" w:ascii="Times New Roman" w:hAnsi="Times New Roman" w:eastAsia="黑体"/>
                <w:color w:val="auto"/>
                <w:kern w:val="2"/>
                <w:lang w:val="en-US" w:eastAsia="zh-CN"/>
              </w:rPr>
              <w:t>1</w:t>
            </w:r>
            <w:r>
              <w:rPr>
                <w:rFonts w:hint="default" w:ascii="Times New Roman" w:hAnsi="Times New Roman" w:eastAsia="黑体"/>
                <w:color w:val="auto"/>
                <w:kern w:val="2"/>
              </w:rPr>
              <w:t xml:space="preserve">  建设项目危险废物产存场所</w:t>
            </w:r>
            <w:r>
              <w:rPr>
                <w:rFonts w:hint="eastAsia" w:ascii="Times New Roman" w:hAnsi="Times New Roman" w:eastAsia="宋体"/>
                <w:color w:val="auto"/>
                <w:kern w:val="2"/>
                <w:lang w:eastAsia="zh-CN"/>
              </w:rPr>
              <w:t>（</w:t>
            </w:r>
            <w:r>
              <w:rPr>
                <w:rFonts w:hint="default" w:ascii="Times New Roman" w:hAnsi="Times New Roman" w:eastAsia="黑体"/>
                <w:color w:val="auto"/>
                <w:kern w:val="2"/>
              </w:rPr>
              <w:t>设施</w:t>
            </w:r>
            <w:r>
              <w:rPr>
                <w:rFonts w:hint="eastAsia" w:ascii="Times New Roman" w:hAnsi="Times New Roman" w:eastAsia="宋体"/>
                <w:color w:val="auto"/>
                <w:kern w:val="2"/>
                <w:lang w:eastAsia="zh-CN"/>
              </w:rPr>
              <w:t>）</w:t>
            </w:r>
            <w:r>
              <w:rPr>
                <w:rFonts w:hint="default" w:ascii="Times New Roman" w:hAnsi="Times New Roman" w:eastAsia="黑体"/>
                <w:color w:val="auto"/>
                <w:kern w:val="2"/>
              </w:rPr>
              <w:t>基本情况表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7"/>
              <w:gridCol w:w="713"/>
              <w:gridCol w:w="1080"/>
              <w:gridCol w:w="885"/>
              <w:gridCol w:w="1286"/>
              <w:gridCol w:w="881"/>
              <w:gridCol w:w="697"/>
              <w:gridCol w:w="853"/>
              <w:gridCol w:w="756"/>
            </w:tblGrid>
            <w:tr w14:paraId="29965A2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dxa"/>
                  <w:vAlign w:val="center"/>
                </w:tcPr>
                <w:p w14:paraId="6AA53C32">
                  <w:pPr>
                    <w:pStyle w:val="55"/>
                    <w:keepNext w:val="0"/>
                    <w:keepLines w:val="0"/>
                    <w:widowControl/>
                    <w:suppressLineNumbers w:val="0"/>
                    <w:spacing w:beforeAutospacing="0" w:after="0" w:afterAutospacing="0" w:line="276" w:lineRule="auto"/>
                    <w:ind w:left="0" w:right="0"/>
                    <w:rPr>
                      <w:rFonts w:hint="default"/>
                      <w:b/>
                      <w:bCs/>
                      <w:color w:val="auto"/>
                      <w:kern w:val="2"/>
                      <w:sz w:val="21"/>
                      <w:szCs w:val="21"/>
                    </w:rPr>
                  </w:pPr>
                  <w:r>
                    <w:rPr>
                      <w:rFonts w:hint="default"/>
                      <w:b/>
                      <w:bCs/>
                      <w:color w:val="auto"/>
                      <w:kern w:val="2"/>
                      <w:sz w:val="21"/>
                      <w:szCs w:val="21"/>
                    </w:rPr>
                    <w:t>序号</w:t>
                  </w:r>
                </w:p>
              </w:tc>
              <w:tc>
                <w:tcPr>
                  <w:tcW w:w="713" w:type="dxa"/>
                  <w:vAlign w:val="center"/>
                </w:tcPr>
                <w:p w14:paraId="7FDF8179">
                  <w:pPr>
                    <w:pStyle w:val="55"/>
                    <w:keepNext w:val="0"/>
                    <w:keepLines w:val="0"/>
                    <w:widowControl/>
                    <w:suppressLineNumbers w:val="0"/>
                    <w:spacing w:beforeAutospacing="0" w:after="0" w:afterAutospacing="0" w:line="276" w:lineRule="auto"/>
                    <w:ind w:left="0" w:right="0"/>
                    <w:rPr>
                      <w:rFonts w:hint="default"/>
                      <w:b/>
                      <w:bCs/>
                      <w:color w:val="auto"/>
                      <w:kern w:val="2"/>
                      <w:sz w:val="21"/>
                      <w:szCs w:val="21"/>
                    </w:rPr>
                  </w:pPr>
                  <w:r>
                    <w:rPr>
                      <w:rFonts w:hint="default"/>
                      <w:b/>
                      <w:bCs/>
                      <w:color w:val="auto"/>
                      <w:kern w:val="2"/>
                      <w:sz w:val="21"/>
                      <w:szCs w:val="21"/>
                    </w:rPr>
                    <w:t>贮存场所</w:t>
                  </w:r>
                  <w:r>
                    <w:rPr>
                      <w:rFonts w:hint="eastAsia" w:eastAsia="宋体"/>
                      <w:b/>
                      <w:bCs/>
                      <w:color w:val="auto"/>
                      <w:kern w:val="2"/>
                      <w:sz w:val="21"/>
                      <w:szCs w:val="21"/>
                      <w:lang w:eastAsia="zh-CN"/>
                    </w:rPr>
                    <w:t>（</w:t>
                  </w:r>
                  <w:r>
                    <w:rPr>
                      <w:rFonts w:hint="default"/>
                      <w:b/>
                      <w:bCs/>
                      <w:color w:val="auto"/>
                      <w:kern w:val="2"/>
                      <w:sz w:val="21"/>
                      <w:szCs w:val="21"/>
                    </w:rPr>
                    <w:t>设施</w:t>
                  </w:r>
                  <w:r>
                    <w:rPr>
                      <w:rFonts w:hint="eastAsia" w:eastAsia="宋体"/>
                      <w:b/>
                      <w:bCs/>
                      <w:color w:val="auto"/>
                      <w:kern w:val="2"/>
                      <w:sz w:val="21"/>
                      <w:szCs w:val="21"/>
                      <w:lang w:eastAsia="zh-CN"/>
                    </w:rPr>
                    <w:t>）</w:t>
                  </w:r>
                  <w:r>
                    <w:rPr>
                      <w:rFonts w:hint="default"/>
                      <w:b/>
                      <w:bCs/>
                      <w:color w:val="auto"/>
                      <w:kern w:val="2"/>
                      <w:sz w:val="21"/>
                      <w:szCs w:val="21"/>
                    </w:rPr>
                    <w:t>名称</w:t>
                  </w:r>
                </w:p>
              </w:tc>
              <w:tc>
                <w:tcPr>
                  <w:tcW w:w="1080" w:type="dxa"/>
                  <w:vAlign w:val="center"/>
                </w:tcPr>
                <w:p w14:paraId="712F47CC">
                  <w:pPr>
                    <w:pStyle w:val="55"/>
                    <w:keepNext w:val="0"/>
                    <w:keepLines w:val="0"/>
                    <w:widowControl/>
                    <w:suppressLineNumbers w:val="0"/>
                    <w:spacing w:beforeAutospacing="0" w:after="0" w:afterAutospacing="0" w:line="276" w:lineRule="auto"/>
                    <w:ind w:left="0" w:right="0"/>
                    <w:rPr>
                      <w:rFonts w:hint="default"/>
                      <w:b/>
                      <w:bCs/>
                      <w:color w:val="auto"/>
                      <w:kern w:val="2"/>
                      <w:sz w:val="21"/>
                      <w:szCs w:val="21"/>
                    </w:rPr>
                  </w:pPr>
                  <w:r>
                    <w:rPr>
                      <w:rFonts w:hint="default"/>
                      <w:b/>
                      <w:bCs/>
                      <w:color w:val="auto"/>
                      <w:kern w:val="2"/>
                      <w:sz w:val="21"/>
                      <w:szCs w:val="21"/>
                    </w:rPr>
                    <w:t>危险废物名称</w:t>
                  </w:r>
                </w:p>
              </w:tc>
              <w:tc>
                <w:tcPr>
                  <w:tcW w:w="885" w:type="dxa"/>
                  <w:vAlign w:val="center"/>
                </w:tcPr>
                <w:p w14:paraId="2E0169B8">
                  <w:pPr>
                    <w:pStyle w:val="55"/>
                    <w:keepNext w:val="0"/>
                    <w:keepLines w:val="0"/>
                    <w:widowControl/>
                    <w:suppressLineNumbers w:val="0"/>
                    <w:spacing w:beforeAutospacing="0" w:after="0" w:afterAutospacing="0" w:line="276" w:lineRule="auto"/>
                    <w:ind w:left="0" w:right="0"/>
                    <w:rPr>
                      <w:rFonts w:hint="default"/>
                      <w:b/>
                      <w:bCs/>
                      <w:color w:val="auto"/>
                      <w:kern w:val="2"/>
                      <w:sz w:val="21"/>
                      <w:szCs w:val="21"/>
                    </w:rPr>
                  </w:pPr>
                  <w:r>
                    <w:rPr>
                      <w:rFonts w:hint="default"/>
                      <w:b/>
                      <w:bCs/>
                      <w:color w:val="auto"/>
                      <w:kern w:val="2"/>
                      <w:sz w:val="21"/>
                      <w:szCs w:val="21"/>
                    </w:rPr>
                    <w:t>废物类别</w:t>
                  </w:r>
                </w:p>
              </w:tc>
              <w:tc>
                <w:tcPr>
                  <w:tcW w:w="1286" w:type="dxa"/>
                  <w:vAlign w:val="center"/>
                </w:tcPr>
                <w:p w14:paraId="672FD2F7">
                  <w:pPr>
                    <w:pStyle w:val="55"/>
                    <w:keepNext w:val="0"/>
                    <w:keepLines w:val="0"/>
                    <w:widowControl/>
                    <w:suppressLineNumbers w:val="0"/>
                    <w:spacing w:beforeAutospacing="0" w:after="0" w:afterAutospacing="0" w:line="276" w:lineRule="auto"/>
                    <w:ind w:left="0" w:right="0"/>
                    <w:rPr>
                      <w:rFonts w:hint="default"/>
                      <w:b/>
                      <w:bCs/>
                      <w:color w:val="auto"/>
                      <w:kern w:val="2"/>
                      <w:sz w:val="21"/>
                      <w:szCs w:val="21"/>
                    </w:rPr>
                  </w:pPr>
                  <w:r>
                    <w:rPr>
                      <w:rFonts w:hint="default"/>
                      <w:b/>
                      <w:bCs/>
                      <w:color w:val="auto"/>
                      <w:kern w:val="2"/>
                      <w:sz w:val="21"/>
                      <w:szCs w:val="21"/>
                    </w:rPr>
                    <w:t>废物</w:t>
                  </w:r>
                </w:p>
                <w:p w14:paraId="4472A170">
                  <w:pPr>
                    <w:pStyle w:val="55"/>
                    <w:keepNext w:val="0"/>
                    <w:keepLines w:val="0"/>
                    <w:widowControl/>
                    <w:suppressLineNumbers w:val="0"/>
                    <w:spacing w:beforeAutospacing="0" w:after="0" w:afterAutospacing="0" w:line="276" w:lineRule="auto"/>
                    <w:ind w:left="0" w:right="0"/>
                    <w:rPr>
                      <w:rFonts w:hint="default"/>
                      <w:b/>
                      <w:bCs/>
                      <w:color w:val="auto"/>
                      <w:kern w:val="2"/>
                      <w:sz w:val="21"/>
                      <w:szCs w:val="21"/>
                    </w:rPr>
                  </w:pPr>
                  <w:r>
                    <w:rPr>
                      <w:rFonts w:hint="default"/>
                      <w:b/>
                      <w:bCs/>
                      <w:color w:val="auto"/>
                      <w:kern w:val="2"/>
                      <w:sz w:val="21"/>
                      <w:szCs w:val="21"/>
                    </w:rPr>
                    <w:t>代码</w:t>
                  </w:r>
                </w:p>
              </w:tc>
              <w:tc>
                <w:tcPr>
                  <w:tcW w:w="881" w:type="dxa"/>
                  <w:vAlign w:val="center"/>
                </w:tcPr>
                <w:p w14:paraId="50E42978">
                  <w:pPr>
                    <w:pStyle w:val="55"/>
                    <w:keepNext w:val="0"/>
                    <w:keepLines w:val="0"/>
                    <w:widowControl/>
                    <w:suppressLineNumbers w:val="0"/>
                    <w:spacing w:beforeAutospacing="0" w:after="0" w:afterAutospacing="0" w:line="276" w:lineRule="auto"/>
                    <w:ind w:left="0" w:right="0"/>
                    <w:rPr>
                      <w:rFonts w:hint="default"/>
                      <w:b/>
                      <w:bCs/>
                      <w:color w:val="auto"/>
                      <w:kern w:val="2"/>
                      <w:sz w:val="21"/>
                      <w:szCs w:val="21"/>
                    </w:rPr>
                  </w:pPr>
                  <w:r>
                    <w:rPr>
                      <w:rFonts w:hint="default"/>
                      <w:b/>
                      <w:bCs/>
                      <w:color w:val="auto"/>
                      <w:kern w:val="2"/>
                      <w:sz w:val="21"/>
                      <w:szCs w:val="21"/>
                    </w:rPr>
                    <w:t>占地面积（m</w:t>
                  </w:r>
                  <w:r>
                    <w:rPr>
                      <w:rFonts w:hint="default"/>
                      <w:b/>
                      <w:bCs/>
                      <w:color w:val="auto"/>
                      <w:kern w:val="2"/>
                      <w:sz w:val="21"/>
                      <w:szCs w:val="21"/>
                      <w:vertAlign w:val="superscript"/>
                    </w:rPr>
                    <w:t>2</w:t>
                  </w:r>
                  <w:r>
                    <w:rPr>
                      <w:rFonts w:hint="default"/>
                      <w:b/>
                      <w:bCs/>
                      <w:color w:val="auto"/>
                      <w:kern w:val="2"/>
                      <w:sz w:val="21"/>
                      <w:szCs w:val="21"/>
                    </w:rPr>
                    <w:t>）</w:t>
                  </w:r>
                </w:p>
              </w:tc>
              <w:tc>
                <w:tcPr>
                  <w:tcW w:w="697" w:type="dxa"/>
                  <w:vAlign w:val="center"/>
                </w:tcPr>
                <w:p w14:paraId="06E7E984">
                  <w:pPr>
                    <w:pStyle w:val="55"/>
                    <w:keepNext w:val="0"/>
                    <w:keepLines w:val="0"/>
                    <w:widowControl/>
                    <w:suppressLineNumbers w:val="0"/>
                    <w:spacing w:beforeAutospacing="0" w:after="0" w:afterAutospacing="0" w:line="276" w:lineRule="auto"/>
                    <w:ind w:left="0" w:right="0"/>
                    <w:rPr>
                      <w:rFonts w:hint="default"/>
                      <w:b/>
                      <w:bCs/>
                      <w:color w:val="auto"/>
                      <w:kern w:val="2"/>
                      <w:sz w:val="21"/>
                      <w:szCs w:val="21"/>
                    </w:rPr>
                  </w:pPr>
                  <w:r>
                    <w:rPr>
                      <w:rFonts w:hint="default"/>
                      <w:b/>
                      <w:bCs/>
                      <w:color w:val="auto"/>
                      <w:kern w:val="2"/>
                      <w:sz w:val="21"/>
                      <w:szCs w:val="21"/>
                    </w:rPr>
                    <w:t>贮存方式</w:t>
                  </w:r>
                </w:p>
              </w:tc>
              <w:tc>
                <w:tcPr>
                  <w:tcW w:w="853" w:type="dxa"/>
                  <w:vAlign w:val="center"/>
                </w:tcPr>
                <w:p w14:paraId="4467FF0E">
                  <w:pPr>
                    <w:pStyle w:val="55"/>
                    <w:keepNext w:val="0"/>
                    <w:keepLines w:val="0"/>
                    <w:widowControl/>
                    <w:suppressLineNumbers w:val="0"/>
                    <w:spacing w:beforeAutospacing="0" w:after="0" w:afterAutospacing="0" w:line="276" w:lineRule="auto"/>
                    <w:ind w:left="0" w:right="0"/>
                    <w:rPr>
                      <w:rFonts w:hint="default"/>
                      <w:b/>
                      <w:bCs/>
                      <w:color w:val="auto"/>
                      <w:kern w:val="2"/>
                      <w:sz w:val="21"/>
                      <w:szCs w:val="21"/>
                    </w:rPr>
                  </w:pPr>
                  <w:r>
                    <w:rPr>
                      <w:rFonts w:hint="default"/>
                      <w:b/>
                      <w:bCs/>
                      <w:color w:val="auto"/>
                      <w:kern w:val="2"/>
                      <w:sz w:val="21"/>
                      <w:szCs w:val="21"/>
                    </w:rPr>
                    <w:t>贮存能力（t）</w:t>
                  </w:r>
                </w:p>
              </w:tc>
              <w:tc>
                <w:tcPr>
                  <w:tcW w:w="756" w:type="dxa"/>
                  <w:vAlign w:val="center"/>
                </w:tcPr>
                <w:p w14:paraId="6AF19D8A">
                  <w:pPr>
                    <w:pStyle w:val="55"/>
                    <w:keepNext w:val="0"/>
                    <w:keepLines w:val="0"/>
                    <w:widowControl/>
                    <w:suppressLineNumbers w:val="0"/>
                    <w:spacing w:beforeAutospacing="0" w:after="0" w:afterAutospacing="0" w:line="276" w:lineRule="auto"/>
                    <w:ind w:left="0" w:right="0"/>
                    <w:rPr>
                      <w:rFonts w:hint="default"/>
                      <w:b/>
                      <w:bCs/>
                      <w:color w:val="auto"/>
                      <w:kern w:val="2"/>
                      <w:sz w:val="21"/>
                      <w:szCs w:val="21"/>
                    </w:rPr>
                  </w:pPr>
                  <w:r>
                    <w:rPr>
                      <w:rFonts w:hint="default"/>
                      <w:b/>
                      <w:bCs/>
                      <w:color w:val="auto"/>
                      <w:kern w:val="2"/>
                      <w:sz w:val="21"/>
                      <w:szCs w:val="21"/>
                    </w:rPr>
                    <w:t>贮存周期</w:t>
                  </w:r>
                </w:p>
              </w:tc>
            </w:tr>
            <w:tr w14:paraId="394D47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dxa"/>
                  <w:vAlign w:val="center"/>
                </w:tcPr>
                <w:p w14:paraId="5B593FF0">
                  <w:pPr>
                    <w:pStyle w:val="55"/>
                    <w:keepNext w:val="0"/>
                    <w:keepLines w:val="0"/>
                    <w:widowControl/>
                    <w:suppressLineNumbers w:val="0"/>
                    <w:spacing w:beforeAutospacing="0" w:after="0" w:afterAutospacing="0" w:line="276" w:lineRule="auto"/>
                    <w:ind w:left="0" w:right="0"/>
                    <w:rPr>
                      <w:rFonts w:hint="default"/>
                      <w:color w:val="auto"/>
                      <w:kern w:val="2"/>
                      <w:sz w:val="21"/>
                      <w:szCs w:val="21"/>
                    </w:rPr>
                  </w:pPr>
                  <w:r>
                    <w:rPr>
                      <w:rFonts w:hint="default"/>
                      <w:color w:val="auto"/>
                      <w:kern w:val="2"/>
                      <w:sz w:val="21"/>
                      <w:szCs w:val="21"/>
                    </w:rPr>
                    <w:t>1</w:t>
                  </w:r>
                </w:p>
              </w:tc>
              <w:tc>
                <w:tcPr>
                  <w:tcW w:w="713" w:type="dxa"/>
                  <w:vMerge w:val="restart"/>
                  <w:vAlign w:val="center"/>
                </w:tcPr>
                <w:p w14:paraId="56D8D875">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危废暂存间</w:t>
                  </w:r>
                </w:p>
              </w:tc>
              <w:tc>
                <w:tcPr>
                  <w:tcW w:w="1080" w:type="dxa"/>
                  <w:vAlign w:val="center"/>
                </w:tcPr>
                <w:p w14:paraId="019B8A89">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废</w:t>
                  </w:r>
                  <w:r>
                    <w:rPr>
                      <w:rFonts w:hint="eastAsia" w:ascii="Times New Roman" w:hAnsi="Times New Roman"/>
                      <w:color w:val="auto"/>
                      <w:kern w:val="2"/>
                      <w:sz w:val="21"/>
                      <w:szCs w:val="21"/>
                    </w:rPr>
                    <w:t>包装</w:t>
                  </w:r>
                  <w:r>
                    <w:rPr>
                      <w:rFonts w:hint="default" w:ascii="Times New Roman" w:hAnsi="Times New Roman"/>
                      <w:color w:val="auto"/>
                      <w:kern w:val="2"/>
                      <w:sz w:val="21"/>
                      <w:szCs w:val="21"/>
                    </w:rPr>
                    <w:t>桶</w:t>
                  </w:r>
                </w:p>
              </w:tc>
              <w:tc>
                <w:tcPr>
                  <w:tcW w:w="885" w:type="dxa"/>
                  <w:vAlign w:val="center"/>
                </w:tcPr>
                <w:p w14:paraId="0BA1F7F3">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HW49</w:t>
                  </w:r>
                </w:p>
              </w:tc>
              <w:tc>
                <w:tcPr>
                  <w:tcW w:w="1286" w:type="dxa"/>
                  <w:vAlign w:val="center"/>
                </w:tcPr>
                <w:p w14:paraId="398196D4">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900-041-49</w:t>
                  </w:r>
                </w:p>
              </w:tc>
              <w:tc>
                <w:tcPr>
                  <w:tcW w:w="881" w:type="dxa"/>
                  <w:vAlign w:val="center"/>
                </w:tcPr>
                <w:p w14:paraId="28FC0449">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0.5</w:t>
                  </w:r>
                </w:p>
              </w:tc>
              <w:tc>
                <w:tcPr>
                  <w:tcW w:w="697" w:type="dxa"/>
                  <w:vAlign w:val="center"/>
                </w:tcPr>
                <w:p w14:paraId="3D5CE1A9">
                  <w:pPr>
                    <w:pStyle w:val="55"/>
                    <w:keepNext w:val="0"/>
                    <w:keepLines w:val="0"/>
                    <w:widowControl/>
                    <w:suppressLineNumbers w:val="0"/>
                    <w:spacing w:beforeAutospacing="0" w:after="0" w:afterAutospacing="0" w:line="276" w:lineRule="auto"/>
                    <w:ind w:left="0" w:right="0"/>
                    <w:rPr>
                      <w:rFonts w:hint="default"/>
                      <w:color w:val="auto"/>
                      <w:kern w:val="2"/>
                      <w:sz w:val="21"/>
                      <w:szCs w:val="21"/>
                    </w:rPr>
                  </w:pPr>
                  <w:r>
                    <w:rPr>
                      <w:rFonts w:hint="default"/>
                      <w:color w:val="auto"/>
                      <w:kern w:val="2"/>
                      <w:sz w:val="21"/>
                      <w:szCs w:val="21"/>
                    </w:rPr>
                    <w:t>/</w:t>
                  </w:r>
                </w:p>
              </w:tc>
              <w:tc>
                <w:tcPr>
                  <w:tcW w:w="853" w:type="dxa"/>
                  <w:vAlign w:val="center"/>
                </w:tcPr>
                <w:p w14:paraId="0DB8AF84">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0.</w:t>
                  </w:r>
                  <w:r>
                    <w:rPr>
                      <w:rFonts w:hint="eastAsia" w:ascii="Times New Roman" w:hAnsi="Times New Roman"/>
                      <w:color w:val="auto"/>
                      <w:kern w:val="2"/>
                      <w:sz w:val="21"/>
                      <w:szCs w:val="21"/>
                    </w:rPr>
                    <w:t>15</w:t>
                  </w:r>
                </w:p>
              </w:tc>
              <w:tc>
                <w:tcPr>
                  <w:tcW w:w="756" w:type="dxa"/>
                  <w:vMerge w:val="restart"/>
                  <w:vAlign w:val="center"/>
                </w:tcPr>
                <w:p w14:paraId="4849EA81">
                  <w:pPr>
                    <w:pStyle w:val="55"/>
                    <w:keepNext w:val="0"/>
                    <w:keepLines w:val="0"/>
                    <w:widowControl/>
                    <w:suppressLineNumbers w:val="0"/>
                    <w:spacing w:beforeAutospacing="0" w:after="0" w:afterAutospacing="0" w:line="276" w:lineRule="auto"/>
                    <w:ind w:left="0" w:right="0"/>
                    <w:rPr>
                      <w:rFonts w:hint="default"/>
                      <w:color w:val="auto"/>
                      <w:kern w:val="2"/>
                      <w:sz w:val="21"/>
                      <w:szCs w:val="21"/>
                    </w:rPr>
                  </w:pPr>
                  <w:r>
                    <w:rPr>
                      <w:rFonts w:hint="eastAsia"/>
                      <w:color w:val="auto"/>
                      <w:kern w:val="2"/>
                      <w:sz w:val="21"/>
                      <w:szCs w:val="21"/>
                    </w:rPr>
                    <w:t>半</w:t>
                  </w:r>
                  <w:r>
                    <w:rPr>
                      <w:rFonts w:hint="default"/>
                      <w:color w:val="auto"/>
                      <w:kern w:val="2"/>
                      <w:sz w:val="21"/>
                      <w:szCs w:val="21"/>
                    </w:rPr>
                    <w:t>年</w:t>
                  </w:r>
                </w:p>
              </w:tc>
            </w:tr>
            <w:tr w14:paraId="387461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dxa"/>
                  <w:vAlign w:val="center"/>
                </w:tcPr>
                <w:p w14:paraId="3BA665C8">
                  <w:pPr>
                    <w:pStyle w:val="51"/>
                    <w:keepNext w:val="0"/>
                    <w:keepLines w:val="0"/>
                    <w:widowControl/>
                    <w:suppressLineNumbers w:val="0"/>
                    <w:spacing w:before="0" w:beforeAutospacing="0" w:after="0" w:afterAutospacing="0" w:line="276" w:lineRule="auto"/>
                    <w:ind w:left="0" w:right="0"/>
                    <w:rPr>
                      <w:rFonts w:hint="default"/>
                      <w:color w:val="auto"/>
                      <w:kern w:val="2"/>
                      <w:sz w:val="21"/>
                      <w:szCs w:val="21"/>
                    </w:rPr>
                  </w:pPr>
                  <w:r>
                    <w:rPr>
                      <w:rFonts w:hint="default"/>
                      <w:color w:val="auto"/>
                      <w:kern w:val="2"/>
                      <w:sz w:val="21"/>
                      <w:szCs w:val="21"/>
                    </w:rPr>
                    <w:t>2</w:t>
                  </w:r>
                </w:p>
              </w:tc>
              <w:tc>
                <w:tcPr>
                  <w:tcW w:w="713" w:type="dxa"/>
                  <w:vMerge w:val="continue"/>
                  <w:vAlign w:val="center"/>
                </w:tcPr>
                <w:p w14:paraId="352166FE">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p>
              </w:tc>
              <w:tc>
                <w:tcPr>
                  <w:tcW w:w="1080" w:type="dxa"/>
                  <w:vAlign w:val="center"/>
                </w:tcPr>
                <w:p w14:paraId="1003CCC1">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废</w:t>
                  </w:r>
                  <w:r>
                    <w:rPr>
                      <w:rFonts w:hint="eastAsia" w:ascii="Times New Roman" w:hAnsi="Times New Roman"/>
                      <w:color w:val="auto"/>
                      <w:kern w:val="2"/>
                      <w:sz w:val="21"/>
                      <w:szCs w:val="21"/>
                    </w:rPr>
                    <w:t>润滑</w:t>
                  </w:r>
                  <w:r>
                    <w:rPr>
                      <w:rFonts w:hint="default" w:ascii="Times New Roman" w:hAnsi="Times New Roman"/>
                      <w:color w:val="auto"/>
                      <w:kern w:val="2"/>
                      <w:sz w:val="21"/>
                      <w:szCs w:val="21"/>
                    </w:rPr>
                    <w:t>油</w:t>
                  </w:r>
                </w:p>
              </w:tc>
              <w:tc>
                <w:tcPr>
                  <w:tcW w:w="885" w:type="dxa"/>
                  <w:vAlign w:val="center"/>
                </w:tcPr>
                <w:p w14:paraId="6BEB2741">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HW08</w:t>
                  </w:r>
                </w:p>
              </w:tc>
              <w:tc>
                <w:tcPr>
                  <w:tcW w:w="1286" w:type="dxa"/>
                  <w:vAlign w:val="center"/>
                </w:tcPr>
                <w:p w14:paraId="7E4783CD">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900-200-08</w:t>
                  </w:r>
                </w:p>
              </w:tc>
              <w:tc>
                <w:tcPr>
                  <w:tcW w:w="881" w:type="dxa"/>
                  <w:vAlign w:val="center"/>
                </w:tcPr>
                <w:p w14:paraId="0EC550C4">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0.5</w:t>
                  </w:r>
                </w:p>
              </w:tc>
              <w:tc>
                <w:tcPr>
                  <w:tcW w:w="697" w:type="dxa"/>
                  <w:vAlign w:val="center"/>
                </w:tcPr>
                <w:p w14:paraId="1291EA5F">
                  <w:pPr>
                    <w:pStyle w:val="55"/>
                    <w:keepNext w:val="0"/>
                    <w:keepLines w:val="0"/>
                    <w:widowControl/>
                    <w:suppressLineNumbers w:val="0"/>
                    <w:spacing w:beforeAutospacing="0" w:after="0" w:afterAutospacing="0" w:line="276" w:lineRule="auto"/>
                    <w:ind w:left="0" w:right="0"/>
                    <w:rPr>
                      <w:rFonts w:hint="default"/>
                      <w:color w:val="auto"/>
                      <w:kern w:val="2"/>
                      <w:sz w:val="21"/>
                      <w:szCs w:val="21"/>
                    </w:rPr>
                  </w:pPr>
                  <w:r>
                    <w:rPr>
                      <w:rFonts w:hint="default"/>
                      <w:color w:val="auto"/>
                      <w:kern w:val="2"/>
                      <w:sz w:val="21"/>
                      <w:szCs w:val="21"/>
                    </w:rPr>
                    <w:t>桶装</w:t>
                  </w:r>
                </w:p>
              </w:tc>
              <w:tc>
                <w:tcPr>
                  <w:tcW w:w="853" w:type="dxa"/>
                  <w:vAlign w:val="center"/>
                </w:tcPr>
                <w:p w14:paraId="387846E0">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0.0</w:t>
                  </w:r>
                  <w:r>
                    <w:rPr>
                      <w:rFonts w:hint="eastAsia" w:ascii="Times New Roman" w:hAnsi="Times New Roman"/>
                      <w:color w:val="auto"/>
                      <w:kern w:val="2"/>
                      <w:sz w:val="21"/>
                      <w:szCs w:val="21"/>
                    </w:rPr>
                    <w:t>05</w:t>
                  </w:r>
                </w:p>
              </w:tc>
              <w:tc>
                <w:tcPr>
                  <w:tcW w:w="756" w:type="dxa"/>
                  <w:vMerge w:val="continue"/>
                  <w:vAlign w:val="center"/>
                </w:tcPr>
                <w:p w14:paraId="6A9B4A7D">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p>
              </w:tc>
            </w:tr>
            <w:tr w14:paraId="55AB5E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dxa"/>
                  <w:vAlign w:val="center"/>
                </w:tcPr>
                <w:p w14:paraId="29DB6D83">
                  <w:pPr>
                    <w:pStyle w:val="51"/>
                    <w:keepNext w:val="0"/>
                    <w:keepLines w:val="0"/>
                    <w:widowControl/>
                    <w:suppressLineNumbers w:val="0"/>
                    <w:spacing w:before="0" w:beforeAutospacing="0" w:after="0" w:afterAutospacing="0" w:line="276" w:lineRule="auto"/>
                    <w:ind w:left="0" w:right="0"/>
                    <w:rPr>
                      <w:rFonts w:hint="default"/>
                      <w:color w:val="auto"/>
                      <w:kern w:val="2"/>
                      <w:sz w:val="21"/>
                      <w:szCs w:val="21"/>
                    </w:rPr>
                  </w:pPr>
                  <w:r>
                    <w:rPr>
                      <w:rFonts w:hint="default"/>
                      <w:color w:val="auto"/>
                      <w:kern w:val="2"/>
                      <w:sz w:val="21"/>
                      <w:szCs w:val="21"/>
                    </w:rPr>
                    <w:t>3</w:t>
                  </w:r>
                </w:p>
              </w:tc>
              <w:tc>
                <w:tcPr>
                  <w:tcW w:w="713" w:type="dxa"/>
                  <w:vMerge w:val="continue"/>
                  <w:vAlign w:val="center"/>
                </w:tcPr>
                <w:p w14:paraId="0D761698">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p>
              </w:tc>
              <w:tc>
                <w:tcPr>
                  <w:tcW w:w="1080" w:type="dxa"/>
                  <w:vAlign w:val="center"/>
                </w:tcPr>
                <w:p w14:paraId="2ABDFCEF">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含油抹布</w:t>
                  </w:r>
                </w:p>
              </w:tc>
              <w:tc>
                <w:tcPr>
                  <w:tcW w:w="885" w:type="dxa"/>
                  <w:vAlign w:val="center"/>
                </w:tcPr>
                <w:p w14:paraId="475B899A">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HW49</w:t>
                  </w:r>
                </w:p>
              </w:tc>
              <w:tc>
                <w:tcPr>
                  <w:tcW w:w="1286" w:type="dxa"/>
                  <w:vAlign w:val="center"/>
                </w:tcPr>
                <w:p w14:paraId="1F5C33BC">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900-041-49</w:t>
                  </w:r>
                </w:p>
              </w:tc>
              <w:tc>
                <w:tcPr>
                  <w:tcW w:w="881" w:type="dxa"/>
                  <w:vAlign w:val="center"/>
                </w:tcPr>
                <w:p w14:paraId="158BCCB4">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0.5</w:t>
                  </w:r>
                </w:p>
              </w:tc>
              <w:tc>
                <w:tcPr>
                  <w:tcW w:w="697" w:type="dxa"/>
                  <w:vAlign w:val="center"/>
                </w:tcPr>
                <w:p w14:paraId="609D8962">
                  <w:pPr>
                    <w:pStyle w:val="55"/>
                    <w:keepNext w:val="0"/>
                    <w:keepLines w:val="0"/>
                    <w:widowControl/>
                    <w:suppressLineNumbers w:val="0"/>
                    <w:spacing w:beforeAutospacing="0" w:after="0" w:afterAutospacing="0" w:line="276" w:lineRule="auto"/>
                    <w:ind w:left="0" w:right="0"/>
                    <w:rPr>
                      <w:rFonts w:hint="default"/>
                      <w:color w:val="auto"/>
                      <w:kern w:val="2"/>
                      <w:sz w:val="21"/>
                      <w:szCs w:val="21"/>
                    </w:rPr>
                  </w:pPr>
                  <w:r>
                    <w:rPr>
                      <w:rFonts w:hint="default"/>
                      <w:color w:val="auto"/>
                      <w:kern w:val="2"/>
                      <w:sz w:val="21"/>
                      <w:szCs w:val="21"/>
                    </w:rPr>
                    <w:t>桶装</w:t>
                  </w:r>
                </w:p>
              </w:tc>
              <w:tc>
                <w:tcPr>
                  <w:tcW w:w="853" w:type="dxa"/>
                  <w:vAlign w:val="center"/>
                </w:tcPr>
                <w:p w14:paraId="72958B19">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0.</w:t>
                  </w:r>
                  <w:r>
                    <w:rPr>
                      <w:rFonts w:hint="eastAsia" w:ascii="Times New Roman" w:hAnsi="Times New Roman"/>
                      <w:color w:val="auto"/>
                      <w:kern w:val="2"/>
                      <w:sz w:val="21"/>
                      <w:szCs w:val="21"/>
                    </w:rPr>
                    <w:t>1</w:t>
                  </w:r>
                </w:p>
              </w:tc>
              <w:tc>
                <w:tcPr>
                  <w:tcW w:w="756" w:type="dxa"/>
                  <w:vMerge w:val="continue"/>
                  <w:vAlign w:val="center"/>
                </w:tcPr>
                <w:p w14:paraId="058F81A3">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p>
              </w:tc>
            </w:tr>
            <w:tr w14:paraId="53C1CC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dxa"/>
                  <w:vAlign w:val="center"/>
                </w:tcPr>
                <w:p w14:paraId="5AA5F87F">
                  <w:pPr>
                    <w:pStyle w:val="51"/>
                    <w:keepNext w:val="0"/>
                    <w:keepLines w:val="0"/>
                    <w:widowControl/>
                    <w:suppressLineNumbers w:val="0"/>
                    <w:spacing w:before="0" w:beforeAutospacing="0" w:after="0" w:afterAutospacing="0" w:line="276" w:lineRule="auto"/>
                    <w:ind w:left="0" w:right="0"/>
                    <w:rPr>
                      <w:rFonts w:hint="default"/>
                      <w:color w:val="auto"/>
                      <w:kern w:val="2"/>
                      <w:sz w:val="21"/>
                      <w:szCs w:val="21"/>
                    </w:rPr>
                  </w:pPr>
                  <w:r>
                    <w:rPr>
                      <w:rFonts w:hint="eastAsia"/>
                      <w:color w:val="auto"/>
                      <w:kern w:val="2"/>
                      <w:sz w:val="21"/>
                      <w:szCs w:val="21"/>
                    </w:rPr>
                    <w:t>4</w:t>
                  </w:r>
                </w:p>
              </w:tc>
              <w:tc>
                <w:tcPr>
                  <w:tcW w:w="713" w:type="dxa"/>
                  <w:vMerge w:val="continue"/>
                  <w:vAlign w:val="center"/>
                </w:tcPr>
                <w:p w14:paraId="7DFAEA82">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p>
              </w:tc>
              <w:tc>
                <w:tcPr>
                  <w:tcW w:w="1080" w:type="dxa"/>
                  <w:vAlign w:val="center"/>
                </w:tcPr>
                <w:p w14:paraId="1553FFE8">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废胶管</w:t>
                  </w:r>
                </w:p>
              </w:tc>
              <w:tc>
                <w:tcPr>
                  <w:tcW w:w="885" w:type="dxa"/>
                  <w:vAlign w:val="center"/>
                </w:tcPr>
                <w:p w14:paraId="1B4ABCA7">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HW49</w:t>
                  </w:r>
                </w:p>
              </w:tc>
              <w:tc>
                <w:tcPr>
                  <w:tcW w:w="1286" w:type="dxa"/>
                  <w:vAlign w:val="center"/>
                </w:tcPr>
                <w:p w14:paraId="046468A0">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900-041-49</w:t>
                  </w:r>
                </w:p>
              </w:tc>
              <w:tc>
                <w:tcPr>
                  <w:tcW w:w="881" w:type="dxa"/>
                  <w:vAlign w:val="center"/>
                </w:tcPr>
                <w:p w14:paraId="366BF571">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0.5</w:t>
                  </w:r>
                </w:p>
              </w:tc>
              <w:tc>
                <w:tcPr>
                  <w:tcW w:w="697" w:type="dxa"/>
                  <w:vAlign w:val="center"/>
                </w:tcPr>
                <w:p w14:paraId="04A122C6">
                  <w:pPr>
                    <w:pStyle w:val="55"/>
                    <w:keepNext w:val="0"/>
                    <w:keepLines w:val="0"/>
                    <w:widowControl/>
                    <w:suppressLineNumbers w:val="0"/>
                    <w:spacing w:beforeAutospacing="0" w:after="0" w:afterAutospacing="0" w:line="276" w:lineRule="auto"/>
                    <w:ind w:left="0" w:right="0"/>
                    <w:rPr>
                      <w:rFonts w:hint="default"/>
                      <w:color w:val="auto"/>
                      <w:kern w:val="2"/>
                      <w:sz w:val="21"/>
                      <w:szCs w:val="21"/>
                    </w:rPr>
                  </w:pPr>
                  <w:r>
                    <w:rPr>
                      <w:rFonts w:hint="default"/>
                      <w:color w:val="auto"/>
                      <w:kern w:val="2"/>
                      <w:sz w:val="21"/>
                      <w:szCs w:val="21"/>
                    </w:rPr>
                    <w:t>桶装</w:t>
                  </w:r>
                </w:p>
              </w:tc>
              <w:tc>
                <w:tcPr>
                  <w:tcW w:w="853" w:type="dxa"/>
                  <w:vAlign w:val="center"/>
                </w:tcPr>
                <w:p w14:paraId="3AC214D2">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0.03</w:t>
                  </w:r>
                </w:p>
              </w:tc>
              <w:tc>
                <w:tcPr>
                  <w:tcW w:w="756" w:type="dxa"/>
                  <w:vMerge w:val="continue"/>
                  <w:vAlign w:val="center"/>
                </w:tcPr>
                <w:p w14:paraId="3CB1D738">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p>
              </w:tc>
            </w:tr>
            <w:tr w14:paraId="19A350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dxa"/>
                  <w:vAlign w:val="center"/>
                </w:tcPr>
                <w:p w14:paraId="3BC79007">
                  <w:pPr>
                    <w:pStyle w:val="51"/>
                    <w:keepNext w:val="0"/>
                    <w:keepLines w:val="0"/>
                    <w:widowControl/>
                    <w:suppressLineNumbers w:val="0"/>
                    <w:spacing w:before="0" w:beforeAutospacing="0" w:after="0" w:afterAutospacing="0" w:line="276" w:lineRule="auto"/>
                    <w:ind w:left="0" w:right="0"/>
                    <w:rPr>
                      <w:rFonts w:hint="default"/>
                      <w:color w:val="auto"/>
                      <w:kern w:val="2"/>
                      <w:sz w:val="21"/>
                      <w:szCs w:val="21"/>
                    </w:rPr>
                  </w:pPr>
                  <w:r>
                    <w:rPr>
                      <w:rFonts w:hint="eastAsia"/>
                      <w:color w:val="auto"/>
                      <w:kern w:val="2"/>
                      <w:sz w:val="21"/>
                      <w:szCs w:val="21"/>
                    </w:rPr>
                    <w:t>5</w:t>
                  </w:r>
                </w:p>
              </w:tc>
              <w:tc>
                <w:tcPr>
                  <w:tcW w:w="713" w:type="dxa"/>
                  <w:vMerge w:val="continue"/>
                  <w:vAlign w:val="center"/>
                </w:tcPr>
                <w:p w14:paraId="2CDE24B9">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p>
              </w:tc>
              <w:tc>
                <w:tcPr>
                  <w:tcW w:w="1080" w:type="dxa"/>
                  <w:shd w:val="clear" w:color="auto" w:fill="auto"/>
                  <w:vAlign w:val="center"/>
                </w:tcPr>
                <w:p w14:paraId="13988AF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废槽液</w:t>
                  </w:r>
                </w:p>
              </w:tc>
              <w:tc>
                <w:tcPr>
                  <w:tcW w:w="885" w:type="dxa"/>
                  <w:shd w:val="clear" w:color="auto" w:fill="auto"/>
                  <w:vAlign w:val="center"/>
                </w:tcPr>
                <w:p w14:paraId="01CBAAAD">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HW</w:t>
                  </w:r>
                  <w:r>
                    <w:rPr>
                      <w:rFonts w:hint="default" w:ascii="Times New Roman" w:hAnsi="Times New Roman" w:cs="Times New Roman"/>
                      <w:color w:val="auto"/>
                      <w:kern w:val="2"/>
                      <w:sz w:val="21"/>
                      <w:szCs w:val="21"/>
                      <w:lang w:val="en-US" w:eastAsia="zh-CN"/>
                    </w:rPr>
                    <w:t>06</w:t>
                  </w:r>
                </w:p>
              </w:tc>
              <w:tc>
                <w:tcPr>
                  <w:tcW w:w="1286" w:type="dxa"/>
                  <w:shd w:val="clear" w:color="auto" w:fill="auto"/>
                  <w:vAlign w:val="center"/>
                </w:tcPr>
                <w:p w14:paraId="7996B009">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900-404-06</w:t>
                  </w:r>
                </w:p>
              </w:tc>
              <w:tc>
                <w:tcPr>
                  <w:tcW w:w="881" w:type="dxa"/>
                  <w:shd w:val="clear" w:color="auto" w:fill="auto"/>
                  <w:vAlign w:val="center"/>
                </w:tcPr>
                <w:p w14:paraId="1774A295">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宋体"/>
                      <w:color w:val="auto"/>
                      <w:kern w:val="2"/>
                      <w:sz w:val="21"/>
                      <w:szCs w:val="21"/>
                      <w:lang w:val="en-US" w:eastAsia="zh-CN" w:bidi="ar-SA"/>
                    </w:rPr>
                  </w:pPr>
                  <w:r>
                    <w:rPr>
                      <w:rFonts w:hint="eastAsia" w:ascii="Times New Roman" w:hAnsi="Times New Roman"/>
                      <w:color w:val="auto"/>
                      <w:kern w:val="2"/>
                      <w:sz w:val="21"/>
                      <w:szCs w:val="21"/>
                      <w:lang w:val="en-US" w:eastAsia="zh-CN"/>
                    </w:rPr>
                    <w:t>1</w:t>
                  </w:r>
                </w:p>
              </w:tc>
              <w:tc>
                <w:tcPr>
                  <w:tcW w:w="697" w:type="dxa"/>
                  <w:shd w:val="clear" w:color="auto" w:fill="auto"/>
                  <w:vAlign w:val="center"/>
                </w:tcPr>
                <w:p w14:paraId="3364A5D8">
                  <w:pPr>
                    <w:pStyle w:val="55"/>
                    <w:keepNext w:val="0"/>
                    <w:keepLines w:val="0"/>
                    <w:widowControl/>
                    <w:suppressLineNumbers w:val="0"/>
                    <w:spacing w:beforeAutospacing="0" w:after="0" w:afterAutospacing="0" w:line="276" w:lineRule="auto"/>
                    <w:ind w:left="0" w:leftChars="0" w:right="0" w:rightChars="0"/>
                    <w:rPr>
                      <w:rFonts w:hint="default" w:ascii="Times New Roman" w:hAnsi="Times New Roman" w:eastAsia="宋体" w:cs="Times New Roman"/>
                      <w:snapToGrid w:val="0"/>
                      <w:color w:val="auto"/>
                      <w:kern w:val="2"/>
                      <w:sz w:val="21"/>
                      <w:szCs w:val="21"/>
                      <w:lang w:val="en-US" w:eastAsia="zh-CN" w:bidi="ar-SA"/>
                    </w:rPr>
                  </w:pPr>
                  <w:r>
                    <w:rPr>
                      <w:rFonts w:hint="default"/>
                      <w:color w:val="auto"/>
                      <w:kern w:val="2"/>
                      <w:sz w:val="21"/>
                      <w:szCs w:val="21"/>
                    </w:rPr>
                    <w:t>桶装</w:t>
                  </w:r>
                </w:p>
              </w:tc>
              <w:tc>
                <w:tcPr>
                  <w:tcW w:w="853" w:type="dxa"/>
                  <w:shd w:val="clear" w:color="auto" w:fill="auto"/>
                  <w:vAlign w:val="center"/>
                </w:tcPr>
                <w:p w14:paraId="582A71DE">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宋体"/>
                      <w:color w:val="auto"/>
                      <w:kern w:val="2"/>
                      <w:sz w:val="21"/>
                      <w:szCs w:val="21"/>
                      <w:lang w:val="en-US" w:eastAsia="zh-CN" w:bidi="ar-SA"/>
                    </w:rPr>
                  </w:pPr>
                  <w:r>
                    <w:rPr>
                      <w:rFonts w:hint="eastAsia" w:ascii="Times New Roman" w:hAnsi="Times New Roman"/>
                      <w:color w:val="auto"/>
                      <w:kern w:val="2"/>
                      <w:sz w:val="21"/>
                      <w:szCs w:val="21"/>
                      <w:lang w:val="en-US" w:eastAsia="zh-CN"/>
                    </w:rPr>
                    <w:t>0.527</w:t>
                  </w:r>
                </w:p>
              </w:tc>
              <w:tc>
                <w:tcPr>
                  <w:tcW w:w="756" w:type="dxa"/>
                  <w:vMerge w:val="continue"/>
                  <w:vAlign w:val="center"/>
                </w:tcPr>
                <w:p w14:paraId="799C7784">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p>
              </w:tc>
            </w:tr>
            <w:tr w14:paraId="4156EB7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dxa"/>
                  <w:vAlign w:val="center"/>
                </w:tcPr>
                <w:p w14:paraId="0F1E3584">
                  <w:pPr>
                    <w:pStyle w:val="51"/>
                    <w:keepNext w:val="0"/>
                    <w:keepLines w:val="0"/>
                    <w:widowControl/>
                    <w:suppressLineNumbers w:val="0"/>
                    <w:spacing w:before="0" w:beforeAutospacing="0" w:after="0" w:afterAutospacing="0" w:line="276" w:lineRule="auto"/>
                    <w:ind w:left="0" w:right="0"/>
                    <w:rPr>
                      <w:rFonts w:hint="eastAsia" w:eastAsia="宋体"/>
                      <w:color w:val="auto"/>
                      <w:kern w:val="2"/>
                      <w:sz w:val="21"/>
                      <w:szCs w:val="21"/>
                      <w:lang w:val="en-US" w:eastAsia="zh-CN"/>
                    </w:rPr>
                  </w:pPr>
                  <w:r>
                    <w:rPr>
                      <w:rFonts w:hint="eastAsia"/>
                      <w:color w:val="auto"/>
                      <w:kern w:val="2"/>
                      <w:sz w:val="21"/>
                      <w:szCs w:val="21"/>
                      <w:lang w:val="en-US" w:eastAsia="zh-CN"/>
                    </w:rPr>
                    <w:t>6</w:t>
                  </w:r>
                </w:p>
              </w:tc>
              <w:tc>
                <w:tcPr>
                  <w:tcW w:w="713" w:type="dxa"/>
                  <w:vMerge w:val="continue"/>
                  <w:vAlign w:val="center"/>
                </w:tcPr>
                <w:p w14:paraId="44894CCD">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p>
              </w:tc>
              <w:tc>
                <w:tcPr>
                  <w:tcW w:w="1080" w:type="dxa"/>
                  <w:shd w:val="clear" w:color="auto" w:fill="auto"/>
                  <w:vAlign w:val="center"/>
                </w:tcPr>
                <w:p w14:paraId="6763566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废滤芯</w:t>
                  </w:r>
                </w:p>
              </w:tc>
              <w:tc>
                <w:tcPr>
                  <w:tcW w:w="885" w:type="dxa"/>
                  <w:shd w:val="clear" w:color="auto" w:fill="auto"/>
                  <w:vAlign w:val="center"/>
                </w:tcPr>
                <w:p w14:paraId="5D4E9844">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HW</w:t>
                  </w:r>
                  <w:r>
                    <w:rPr>
                      <w:rFonts w:hint="default" w:ascii="Times New Roman" w:hAnsi="Times New Roman" w:cs="Times New Roman"/>
                      <w:color w:val="auto"/>
                      <w:kern w:val="2"/>
                      <w:sz w:val="21"/>
                      <w:szCs w:val="21"/>
                      <w:lang w:val="en-US" w:eastAsia="zh-CN"/>
                    </w:rPr>
                    <w:t>06</w:t>
                  </w:r>
                </w:p>
              </w:tc>
              <w:tc>
                <w:tcPr>
                  <w:tcW w:w="1286" w:type="dxa"/>
                  <w:shd w:val="clear" w:color="auto" w:fill="auto"/>
                  <w:vAlign w:val="center"/>
                </w:tcPr>
                <w:p w14:paraId="20C526EF">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rPr>
                    <w:t>900-40</w:t>
                  </w:r>
                  <w:r>
                    <w:rPr>
                      <w:rFonts w:hint="default" w:ascii="Times New Roman" w:hAnsi="Times New Roman" w:cs="Times New Roman"/>
                      <w:color w:val="auto"/>
                      <w:kern w:val="2"/>
                      <w:sz w:val="21"/>
                      <w:szCs w:val="21"/>
                      <w:lang w:val="en-US" w:eastAsia="zh-CN"/>
                    </w:rPr>
                    <w:t>5</w:t>
                  </w:r>
                  <w:r>
                    <w:rPr>
                      <w:rFonts w:hint="default" w:ascii="Times New Roman" w:hAnsi="Times New Roman" w:cs="Times New Roman"/>
                      <w:color w:val="auto"/>
                      <w:kern w:val="2"/>
                      <w:sz w:val="21"/>
                      <w:szCs w:val="21"/>
                    </w:rPr>
                    <w:t>-06</w:t>
                  </w:r>
                </w:p>
              </w:tc>
              <w:tc>
                <w:tcPr>
                  <w:tcW w:w="881" w:type="dxa"/>
                  <w:shd w:val="clear" w:color="auto" w:fill="auto"/>
                  <w:vAlign w:val="center"/>
                </w:tcPr>
                <w:p w14:paraId="260EF1A2">
                  <w:pPr>
                    <w:keepNext w:val="0"/>
                    <w:keepLines w:val="0"/>
                    <w:widowControl/>
                    <w:suppressLineNumbers w:val="0"/>
                    <w:spacing w:before="0" w:beforeAutospacing="0" w:after="0" w:afterAutospacing="0" w:line="276" w:lineRule="auto"/>
                    <w:ind w:left="0" w:leftChars="0" w:right="0" w:rightChars="0"/>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color w:val="auto"/>
                      <w:kern w:val="2"/>
                      <w:sz w:val="21"/>
                      <w:szCs w:val="21"/>
                      <w:lang w:val="en-US" w:eastAsia="zh-CN"/>
                    </w:rPr>
                    <w:t>0.5</w:t>
                  </w:r>
                </w:p>
              </w:tc>
              <w:tc>
                <w:tcPr>
                  <w:tcW w:w="697" w:type="dxa"/>
                  <w:shd w:val="clear" w:color="auto" w:fill="auto"/>
                  <w:vAlign w:val="center"/>
                </w:tcPr>
                <w:p w14:paraId="1FD482DD">
                  <w:pPr>
                    <w:pStyle w:val="55"/>
                    <w:keepNext w:val="0"/>
                    <w:keepLines w:val="0"/>
                    <w:widowControl/>
                    <w:suppressLineNumbers w:val="0"/>
                    <w:spacing w:beforeAutospacing="0" w:after="0" w:afterAutospacing="0" w:line="276" w:lineRule="auto"/>
                    <w:ind w:left="0" w:leftChars="0" w:right="0" w:rightChars="0"/>
                    <w:rPr>
                      <w:rFonts w:hint="default" w:ascii="Times New Roman" w:hAnsi="Times New Roman" w:eastAsia="宋体" w:cs="Times New Roman"/>
                      <w:snapToGrid w:val="0"/>
                      <w:color w:val="auto"/>
                      <w:kern w:val="2"/>
                      <w:sz w:val="21"/>
                      <w:szCs w:val="21"/>
                      <w:lang w:val="en-US" w:eastAsia="zh-CN" w:bidi="ar-SA"/>
                    </w:rPr>
                  </w:pPr>
                  <w:r>
                    <w:rPr>
                      <w:rFonts w:hint="default"/>
                      <w:color w:val="auto"/>
                      <w:kern w:val="2"/>
                      <w:sz w:val="21"/>
                      <w:szCs w:val="21"/>
                    </w:rPr>
                    <w:t>桶装</w:t>
                  </w:r>
                </w:p>
              </w:tc>
              <w:tc>
                <w:tcPr>
                  <w:tcW w:w="853" w:type="dxa"/>
                  <w:shd w:val="clear" w:color="auto" w:fill="auto"/>
                  <w:vAlign w:val="center"/>
                </w:tcPr>
                <w:p w14:paraId="780CCF5D">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宋体"/>
                      <w:color w:val="auto"/>
                      <w:kern w:val="2"/>
                      <w:sz w:val="21"/>
                      <w:szCs w:val="21"/>
                      <w:lang w:val="en-US" w:eastAsia="zh-CN" w:bidi="ar-SA"/>
                    </w:rPr>
                  </w:pPr>
                  <w:r>
                    <w:rPr>
                      <w:rFonts w:hint="eastAsia" w:ascii="Times New Roman" w:hAnsi="Times New Roman"/>
                      <w:color w:val="auto"/>
                      <w:kern w:val="2"/>
                      <w:sz w:val="21"/>
                      <w:szCs w:val="21"/>
                      <w:lang w:val="en-US" w:eastAsia="zh-CN"/>
                    </w:rPr>
                    <w:t>0.075</w:t>
                  </w:r>
                </w:p>
              </w:tc>
              <w:tc>
                <w:tcPr>
                  <w:tcW w:w="756" w:type="dxa"/>
                  <w:vMerge w:val="continue"/>
                  <w:vAlign w:val="center"/>
                </w:tcPr>
                <w:p w14:paraId="01C37085">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p>
              </w:tc>
            </w:tr>
            <w:tr w14:paraId="63EAEA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27" w:type="dxa"/>
                  <w:vAlign w:val="center"/>
                </w:tcPr>
                <w:p w14:paraId="4DABBE6B">
                  <w:pPr>
                    <w:pStyle w:val="51"/>
                    <w:keepNext w:val="0"/>
                    <w:keepLines w:val="0"/>
                    <w:widowControl/>
                    <w:suppressLineNumbers w:val="0"/>
                    <w:spacing w:before="0" w:beforeAutospacing="0" w:after="0" w:afterAutospacing="0" w:line="276" w:lineRule="auto"/>
                    <w:ind w:left="0" w:right="0"/>
                    <w:rPr>
                      <w:rFonts w:hint="eastAsia" w:eastAsia="宋体"/>
                      <w:color w:val="auto"/>
                      <w:kern w:val="2"/>
                      <w:sz w:val="21"/>
                      <w:szCs w:val="21"/>
                      <w:lang w:val="en-US" w:eastAsia="zh-CN"/>
                    </w:rPr>
                  </w:pPr>
                  <w:r>
                    <w:rPr>
                      <w:rFonts w:hint="eastAsia"/>
                      <w:color w:val="auto"/>
                      <w:kern w:val="2"/>
                      <w:sz w:val="21"/>
                      <w:szCs w:val="21"/>
                      <w:lang w:val="en-US" w:eastAsia="zh-CN"/>
                    </w:rPr>
                    <w:t>7</w:t>
                  </w:r>
                </w:p>
              </w:tc>
              <w:tc>
                <w:tcPr>
                  <w:tcW w:w="713" w:type="dxa"/>
                  <w:vMerge w:val="continue"/>
                  <w:vAlign w:val="center"/>
                </w:tcPr>
                <w:p w14:paraId="3E577B7B">
                  <w:pPr>
                    <w:keepNext w:val="0"/>
                    <w:keepLines w:val="0"/>
                    <w:widowControl/>
                    <w:suppressLineNumbers w:val="0"/>
                    <w:spacing w:before="0" w:beforeAutospacing="0" w:after="0" w:afterAutospacing="0" w:line="276" w:lineRule="auto"/>
                    <w:ind w:left="0" w:right="0"/>
                    <w:rPr>
                      <w:rFonts w:hint="default" w:ascii="Times New Roman" w:hAnsi="Times New Roman"/>
                      <w:color w:val="auto"/>
                      <w:kern w:val="2"/>
                      <w:sz w:val="21"/>
                      <w:szCs w:val="21"/>
                    </w:rPr>
                  </w:pPr>
                </w:p>
              </w:tc>
              <w:tc>
                <w:tcPr>
                  <w:tcW w:w="1080" w:type="dxa"/>
                  <w:shd w:val="clear" w:color="auto" w:fill="auto"/>
                  <w:vAlign w:val="center"/>
                </w:tcPr>
                <w:p w14:paraId="4F328A9E">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kern w:val="2"/>
                      <w:sz w:val="21"/>
                      <w:szCs w:val="21"/>
                    </w:rPr>
                    <w:t>废活性炭</w:t>
                  </w:r>
                </w:p>
              </w:tc>
              <w:tc>
                <w:tcPr>
                  <w:tcW w:w="885" w:type="dxa"/>
                  <w:shd w:val="clear" w:color="auto" w:fill="auto"/>
                  <w:vAlign w:val="center"/>
                </w:tcPr>
                <w:p w14:paraId="599E8C1A">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kern w:val="2"/>
                      <w:sz w:val="21"/>
                      <w:szCs w:val="21"/>
                    </w:rPr>
                    <w:t>HW49</w:t>
                  </w:r>
                </w:p>
              </w:tc>
              <w:tc>
                <w:tcPr>
                  <w:tcW w:w="1286" w:type="dxa"/>
                  <w:shd w:val="clear" w:color="auto" w:fill="auto"/>
                  <w:vAlign w:val="center"/>
                </w:tcPr>
                <w:p w14:paraId="34B6356D">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olor w:val="auto"/>
                      <w:kern w:val="2"/>
                      <w:sz w:val="21"/>
                      <w:szCs w:val="21"/>
                    </w:rPr>
                    <w:t>900-039-49</w:t>
                  </w:r>
                </w:p>
              </w:tc>
              <w:tc>
                <w:tcPr>
                  <w:tcW w:w="881" w:type="dxa"/>
                  <w:shd w:val="clear" w:color="auto" w:fill="auto"/>
                  <w:vAlign w:val="center"/>
                </w:tcPr>
                <w:p w14:paraId="03EAB682">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olor w:val="auto"/>
                      <w:kern w:val="2"/>
                      <w:sz w:val="21"/>
                      <w:szCs w:val="21"/>
                      <w:lang w:val="en-US" w:eastAsia="zh-CN"/>
                    </w:rPr>
                    <w:t>0.5</w:t>
                  </w:r>
                </w:p>
              </w:tc>
              <w:tc>
                <w:tcPr>
                  <w:tcW w:w="697" w:type="dxa"/>
                  <w:shd w:val="clear" w:color="auto" w:fill="auto"/>
                  <w:vAlign w:val="center"/>
                </w:tcPr>
                <w:p w14:paraId="1D14A176">
                  <w:pPr>
                    <w:pStyle w:val="55"/>
                    <w:keepNext w:val="0"/>
                    <w:keepLines w:val="0"/>
                    <w:widowControl/>
                    <w:suppressLineNumbers w:val="0"/>
                    <w:spacing w:beforeAutospacing="0" w:after="0" w:afterAutospacing="0" w:line="276" w:lineRule="auto"/>
                    <w:ind w:left="0" w:leftChars="0" w:right="0" w:rightChars="0"/>
                    <w:rPr>
                      <w:rFonts w:hint="default" w:ascii="Times New Roman" w:hAnsi="Times New Roman" w:eastAsia="宋体" w:cs="Times New Roman"/>
                      <w:snapToGrid w:val="0"/>
                      <w:color w:val="auto"/>
                      <w:kern w:val="2"/>
                      <w:sz w:val="21"/>
                      <w:szCs w:val="21"/>
                      <w:lang w:val="en-US" w:eastAsia="zh-CN" w:bidi="ar-SA"/>
                    </w:rPr>
                  </w:pPr>
                  <w:r>
                    <w:rPr>
                      <w:rFonts w:hint="default"/>
                      <w:color w:val="auto"/>
                      <w:kern w:val="2"/>
                      <w:sz w:val="21"/>
                      <w:szCs w:val="21"/>
                    </w:rPr>
                    <w:t>桶装</w:t>
                  </w:r>
                </w:p>
              </w:tc>
              <w:tc>
                <w:tcPr>
                  <w:tcW w:w="853" w:type="dxa"/>
                  <w:shd w:val="clear" w:color="auto" w:fill="auto"/>
                  <w:vAlign w:val="center"/>
                </w:tcPr>
                <w:p w14:paraId="1DA469C3">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宋体"/>
                      <w:color w:val="auto"/>
                      <w:kern w:val="2"/>
                      <w:sz w:val="21"/>
                      <w:szCs w:val="21"/>
                      <w:lang w:val="en-US" w:eastAsia="zh-CN" w:bidi="ar-SA"/>
                    </w:rPr>
                  </w:pPr>
                  <w:r>
                    <w:rPr>
                      <w:rFonts w:hint="eastAsia" w:ascii="Times New Roman" w:hAnsi="Times New Roman"/>
                      <w:color w:val="auto"/>
                      <w:kern w:val="2"/>
                      <w:sz w:val="21"/>
                      <w:szCs w:val="21"/>
                      <w:lang w:val="en-US" w:eastAsia="zh-CN"/>
                    </w:rPr>
                    <w:t>0.1</w:t>
                  </w:r>
                </w:p>
              </w:tc>
              <w:tc>
                <w:tcPr>
                  <w:tcW w:w="756" w:type="dxa"/>
                  <w:vAlign w:val="center"/>
                </w:tcPr>
                <w:p w14:paraId="678C4162">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1季度</w:t>
                  </w:r>
                </w:p>
              </w:tc>
            </w:tr>
          </w:tbl>
          <w:p w14:paraId="1E85C329">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根据上表，本项目危废总占地面积约</w:t>
            </w:r>
            <w:r>
              <w:rPr>
                <w:rFonts w:hint="eastAsia" w:ascii="Times New Roman" w:hAnsi="Times New Roman"/>
                <w:color w:val="auto"/>
                <w:kern w:val="2"/>
                <w:lang w:val="en-US" w:eastAsia="zh-CN"/>
              </w:rPr>
              <w:t>3</w:t>
            </w:r>
            <w:r>
              <w:rPr>
                <w:rFonts w:hint="default" w:ascii="Times New Roman" w:hAnsi="Times New Roman"/>
                <w:color w:val="auto"/>
                <w:kern w:val="2"/>
              </w:rPr>
              <w:t>m</w:t>
            </w:r>
            <w:r>
              <w:rPr>
                <w:rFonts w:hint="default" w:ascii="Times New Roman" w:hAnsi="Times New Roman"/>
                <w:color w:val="auto"/>
                <w:kern w:val="2"/>
                <w:vertAlign w:val="superscript"/>
              </w:rPr>
              <w:t>2</w:t>
            </w:r>
            <w:r>
              <w:rPr>
                <w:rFonts w:hint="default" w:ascii="Times New Roman" w:hAnsi="Times New Roman"/>
                <w:color w:val="auto"/>
                <w:kern w:val="2"/>
              </w:rPr>
              <w:t>，</w:t>
            </w:r>
            <w:r>
              <w:rPr>
                <w:rFonts w:hint="eastAsia" w:ascii="Times New Roman" w:hAnsi="Times New Roman"/>
                <w:color w:val="auto"/>
                <w:kern w:val="2"/>
              </w:rPr>
              <w:t>原</w:t>
            </w:r>
            <w:r>
              <w:rPr>
                <w:rFonts w:hint="eastAsia" w:ascii="Times New Roman" w:hAnsi="Times New Roman"/>
                <w:color w:val="auto"/>
                <w:kern w:val="2"/>
                <w:lang w:val="en-US" w:eastAsia="zh-CN"/>
              </w:rPr>
              <w:t>8</w:t>
            </w:r>
            <w:r>
              <w:rPr>
                <w:rFonts w:hint="eastAsia" w:ascii="Times New Roman" w:hAnsi="Times New Roman"/>
                <w:color w:val="auto"/>
                <w:kern w:val="2"/>
              </w:rPr>
              <w:t>0</w:t>
            </w:r>
            <w:r>
              <w:rPr>
                <w:rFonts w:hint="default" w:ascii="Times New Roman" w:hAnsi="Times New Roman"/>
                <w:color w:val="auto"/>
                <w:kern w:val="2"/>
              </w:rPr>
              <w:t>m</w:t>
            </w:r>
            <w:r>
              <w:rPr>
                <w:rFonts w:hint="default" w:ascii="Times New Roman" w:hAnsi="Times New Roman"/>
                <w:color w:val="auto"/>
                <w:kern w:val="2"/>
                <w:vertAlign w:val="superscript"/>
              </w:rPr>
              <w:t>2</w:t>
            </w:r>
            <w:r>
              <w:rPr>
                <w:rFonts w:hint="default" w:ascii="Times New Roman" w:hAnsi="Times New Roman"/>
                <w:color w:val="auto"/>
                <w:kern w:val="2"/>
              </w:rPr>
              <w:t>危险废物暂存场所满足本项目危险废物暂存要求。</w:t>
            </w:r>
          </w:p>
          <w:p w14:paraId="34B630C2">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综上所述，经采取上述措施后，本项目固废均可得到有效处置，处置率100%，符合环保要求，不会对周围环境造成不良影响。</w:t>
            </w:r>
          </w:p>
          <w:p w14:paraId="0DA2C343">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color w:val="auto"/>
                <w:kern w:val="2"/>
              </w:rPr>
            </w:pPr>
            <w:r>
              <w:rPr>
                <w:rFonts w:hint="default" w:ascii="Times New Roman" w:hAnsi="Times New Roman"/>
                <w:b/>
                <w:color w:val="auto"/>
                <w:kern w:val="2"/>
              </w:rPr>
              <w:t>五、土壤、地下水环境影响和保护措施</w:t>
            </w:r>
          </w:p>
          <w:p w14:paraId="4650497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为防止本项目污染地下水、土壤，在项目设计和施工过程中，应对厂区进行专项防渗设计和分区防渗处理。根据《环境影响评价技术导则地下水环境》</w:t>
            </w:r>
            <w:r>
              <w:rPr>
                <w:rFonts w:hint="eastAsia" w:ascii="Times New Roman" w:hAnsi="Times New Roman" w:eastAsia="宋体"/>
                <w:color w:val="auto"/>
                <w:kern w:val="2"/>
                <w:lang w:eastAsia="zh-CN"/>
              </w:rPr>
              <w:t>（</w:t>
            </w:r>
            <w:r>
              <w:rPr>
                <w:rFonts w:hint="default" w:ascii="Times New Roman" w:hAnsi="Times New Roman"/>
                <w:color w:val="auto"/>
                <w:kern w:val="2"/>
              </w:rPr>
              <w:t>HJ 610-2016</w:t>
            </w:r>
            <w:r>
              <w:rPr>
                <w:rFonts w:hint="eastAsia" w:ascii="Times New Roman" w:hAnsi="Times New Roman" w:eastAsia="宋体"/>
                <w:color w:val="auto"/>
                <w:kern w:val="2"/>
                <w:lang w:eastAsia="zh-CN"/>
              </w:rPr>
              <w:t>）</w:t>
            </w:r>
            <w:r>
              <w:rPr>
                <w:rFonts w:hint="default" w:ascii="Times New Roman" w:hAnsi="Times New Roman"/>
                <w:color w:val="auto"/>
                <w:kern w:val="2"/>
              </w:rPr>
              <w:t>，污染防治区分为重点防渗区、一般防渗区和简单防渗区。</w:t>
            </w:r>
          </w:p>
          <w:p w14:paraId="188DC419">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参照</w:t>
            </w:r>
            <w:r>
              <w:rPr>
                <w:rFonts w:hint="eastAsia" w:ascii="Times New Roman" w:hAnsi="Times New Roman" w:eastAsia="宋体"/>
                <w:color w:val="auto"/>
                <w:kern w:val="2"/>
                <w:lang w:eastAsia="zh-CN"/>
              </w:rPr>
              <w:t>（</w:t>
            </w:r>
            <w:r>
              <w:rPr>
                <w:rFonts w:hint="default" w:ascii="Times New Roman" w:hAnsi="Times New Roman"/>
                <w:color w:val="auto"/>
                <w:kern w:val="2"/>
              </w:rPr>
              <w:t>HJ 610-2016</w:t>
            </w:r>
            <w:r>
              <w:rPr>
                <w:rFonts w:hint="eastAsia" w:ascii="Times New Roman" w:hAnsi="Times New Roman" w:eastAsia="宋体"/>
                <w:color w:val="auto"/>
                <w:kern w:val="2"/>
                <w:lang w:eastAsia="zh-CN"/>
              </w:rPr>
              <w:t>）</w:t>
            </w:r>
            <w:r>
              <w:rPr>
                <w:rFonts w:hint="default" w:ascii="Times New Roman" w:hAnsi="Times New Roman"/>
                <w:color w:val="auto"/>
                <w:kern w:val="2"/>
              </w:rPr>
              <w:t>要求，并根据厂区可能泄漏至地面区域污染物的性质以及各设施及建构筑物污染物难易控制程度进行分级，本项目分区防渗情况如下。</w:t>
            </w:r>
          </w:p>
          <w:p w14:paraId="42C5D255">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一般防渗区：一般防渗区是指可能会对地下水和土壤造成污染，但危害性或风险程度相对较低的区域，本项目将钢结构厂房内其他区域、一般工业固废暂存间设为一般防渗区。</w:t>
            </w:r>
          </w:p>
          <w:p w14:paraId="3FB56D71">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简单防渗区：一般不会对地下水造成污染的区域，主要包括办公室等，只需一般地面硬化。</w:t>
            </w:r>
          </w:p>
          <w:p w14:paraId="15EAB004">
            <w:pPr>
              <w:keepNext w:val="0"/>
              <w:keepLines w:val="0"/>
              <w:widowControl/>
              <w:suppressLineNumbers w:val="0"/>
              <w:wordWrap w:val="0"/>
              <w:autoSpaceDE w:val="0"/>
              <w:autoSpaceDN w:val="0"/>
              <w:spacing w:before="0" w:beforeAutospacing="0" w:after="0" w:afterAutospacing="0" w:line="360" w:lineRule="auto"/>
              <w:ind w:left="0" w:right="0" w:firstLine="480" w:firstLineChars="200"/>
              <w:rPr>
                <w:rFonts w:hint="default"/>
                <w:color w:val="auto"/>
                <w:kern w:val="2"/>
              </w:rPr>
            </w:pPr>
            <w:r>
              <w:rPr>
                <w:rFonts w:hint="default" w:ascii="Times New Roman" w:hAnsi="Times New Roman"/>
                <w:color w:val="auto"/>
                <w:kern w:val="2"/>
              </w:rPr>
              <w:t>针对不同区域采取相应的防渗措施，具体见下表。</w:t>
            </w:r>
          </w:p>
          <w:p w14:paraId="2303B0A7">
            <w:pPr>
              <w:keepNext w:val="0"/>
              <w:keepLines w:val="0"/>
              <w:widowControl/>
              <w:suppressLineNumbers w:val="0"/>
              <w:adjustRightInd w:val="0"/>
              <w:spacing w:before="0" w:beforeAutospacing="0" w:after="0" w:afterAutospacing="0" w:line="360" w:lineRule="auto"/>
              <w:ind w:left="0" w:right="0"/>
              <w:jc w:val="center"/>
              <w:rPr>
                <w:rFonts w:hint="default" w:ascii="Times New Roman" w:hAnsi="Times New Roman" w:eastAsia="黑体"/>
                <w:color w:val="auto"/>
                <w:kern w:val="2"/>
              </w:rPr>
            </w:pPr>
            <w:r>
              <w:rPr>
                <w:rFonts w:hint="default" w:ascii="Times New Roman" w:hAnsi="Times New Roman" w:eastAsia="黑体"/>
                <w:color w:val="auto"/>
                <w:kern w:val="2"/>
              </w:rPr>
              <w:t>表4-1</w:t>
            </w:r>
            <w:r>
              <w:rPr>
                <w:rFonts w:hint="eastAsia" w:ascii="Times New Roman" w:hAnsi="Times New Roman" w:eastAsia="黑体"/>
                <w:color w:val="auto"/>
                <w:kern w:val="2"/>
                <w:lang w:val="en-US" w:eastAsia="zh-CN"/>
              </w:rPr>
              <w:t>2</w:t>
            </w:r>
            <w:r>
              <w:rPr>
                <w:rFonts w:hint="default" w:ascii="Times New Roman" w:hAnsi="Times New Roman" w:eastAsia="黑体"/>
                <w:color w:val="auto"/>
                <w:kern w:val="2"/>
              </w:rPr>
              <w:t xml:space="preserve">  本项目分区防渗一览表</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57"/>
              <w:gridCol w:w="682"/>
              <w:gridCol w:w="2972"/>
              <w:gridCol w:w="1182"/>
              <w:gridCol w:w="1182"/>
            </w:tblGrid>
            <w:tr w14:paraId="5911F9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27" w:type="pct"/>
                  <w:tcBorders>
                    <w:top w:val="single" w:color="auto" w:sz="12" w:space="0"/>
                    <w:left w:val="nil"/>
                    <w:bottom w:val="single" w:color="auto" w:sz="6" w:space="0"/>
                    <w:right w:val="single" w:color="auto" w:sz="6" w:space="0"/>
                  </w:tcBorders>
                  <w:vAlign w:val="center"/>
                </w:tcPr>
                <w:p w14:paraId="4BE01860">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区域</w:t>
                  </w:r>
                </w:p>
              </w:tc>
              <w:tc>
                <w:tcPr>
                  <w:tcW w:w="450" w:type="pct"/>
                  <w:tcBorders>
                    <w:top w:val="single" w:color="auto" w:sz="12" w:space="0"/>
                    <w:left w:val="nil"/>
                    <w:bottom w:val="single" w:color="auto" w:sz="6" w:space="0"/>
                    <w:right w:val="single" w:color="auto" w:sz="6" w:space="0"/>
                  </w:tcBorders>
                  <w:vAlign w:val="center"/>
                </w:tcPr>
                <w:p w14:paraId="3EF29FD1">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防渗等级</w:t>
                  </w:r>
                </w:p>
              </w:tc>
              <w:tc>
                <w:tcPr>
                  <w:tcW w:w="1961" w:type="pct"/>
                  <w:tcBorders>
                    <w:top w:val="single" w:color="auto" w:sz="12" w:space="0"/>
                    <w:left w:val="nil"/>
                    <w:bottom w:val="single" w:color="auto" w:sz="6" w:space="0"/>
                    <w:right w:val="single" w:color="auto" w:sz="6" w:space="0"/>
                  </w:tcBorders>
                  <w:vAlign w:val="center"/>
                </w:tcPr>
                <w:p w14:paraId="596E6CD0">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防渗技术要求</w:t>
                  </w:r>
                </w:p>
              </w:tc>
              <w:tc>
                <w:tcPr>
                  <w:tcW w:w="780" w:type="pct"/>
                  <w:tcBorders>
                    <w:top w:val="single" w:color="auto" w:sz="12" w:space="0"/>
                    <w:left w:val="nil"/>
                    <w:bottom w:val="single" w:color="auto" w:sz="4" w:space="0"/>
                    <w:right w:val="single" w:color="auto" w:sz="4" w:space="0"/>
                  </w:tcBorders>
                  <w:vAlign w:val="center"/>
                </w:tcPr>
                <w:p w14:paraId="48F5DCAD">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cs="Times New Roman"/>
                      <w:b/>
                      <w:color w:val="auto"/>
                      <w:kern w:val="2"/>
                      <w:sz w:val="21"/>
                      <w:szCs w:val="21"/>
                    </w:rPr>
                    <w:t>现有防渗措施</w:t>
                  </w:r>
                </w:p>
              </w:tc>
              <w:tc>
                <w:tcPr>
                  <w:tcW w:w="780" w:type="pct"/>
                  <w:tcBorders>
                    <w:top w:val="single" w:color="auto" w:sz="12" w:space="0"/>
                    <w:left w:val="single" w:color="auto" w:sz="4" w:space="0"/>
                    <w:bottom w:val="single" w:color="auto" w:sz="4" w:space="0"/>
                    <w:right w:val="nil"/>
                  </w:tcBorders>
                  <w:vAlign w:val="center"/>
                </w:tcPr>
                <w:p w14:paraId="0DA02A0E">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拟采取防渗措施</w:t>
                  </w:r>
                </w:p>
              </w:tc>
            </w:tr>
            <w:tr w14:paraId="1E9621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27" w:type="pct"/>
                  <w:tcBorders>
                    <w:top w:val="single" w:color="auto" w:sz="6" w:space="0"/>
                    <w:left w:val="nil"/>
                    <w:bottom w:val="single" w:color="auto" w:sz="6" w:space="0"/>
                    <w:right w:val="single" w:color="auto" w:sz="6" w:space="0"/>
                  </w:tcBorders>
                  <w:vAlign w:val="center"/>
                </w:tcPr>
                <w:p w14:paraId="07385165">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危废暂存间</w:t>
                  </w:r>
                </w:p>
              </w:tc>
              <w:tc>
                <w:tcPr>
                  <w:tcW w:w="450" w:type="pct"/>
                  <w:vMerge w:val="restart"/>
                  <w:tcBorders>
                    <w:top w:val="single" w:color="auto" w:sz="6" w:space="0"/>
                    <w:left w:val="nil"/>
                    <w:right w:val="single" w:color="auto" w:sz="6" w:space="0"/>
                  </w:tcBorders>
                  <w:vAlign w:val="center"/>
                </w:tcPr>
                <w:p w14:paraId="41143F70">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lang w:val="en-US" w:eastAsia="zh-CN"/>
                    </w:rPr>
                    <w:t>重点</w:t>
                  </w:r>
                  <w:r>
                    <w:rPr>
                      <w:rFonts w:hint="default" w:ascii="Times New Roman" w:hAnsi="Times New Roman"/>
                      <w:color w:val="auto"/>
                      <w:kern w:val="2"/>
                      <w:sz w:val="21"/>
                      <w:szCs w:val="21"/>
                    </w:rPr>
                    <w:t>防渗区</w:t>
                  </w:r>
                </w:p>
              </w:tc>
              <w:tc>
                <w:tcPr>
                  <w:tcW w:w="1961" w:type="pct"/>
                  <w:tcBorders>
                    <w:top w:val="single" w:color="auto" w:sz="6" w:space="0"/>
                    <w:left w:val="nil"/>
                    <w:bottom w:val="single" w:color="auto" w:sz="6" w:space="0"/>
                    <w:right w:val="single" w:color="auto" w:sz="6" w:space="0"/>
                  </w:tcBorders>
                  <w:vAlign w:val="center"/>
                </w:tcPr>
                <w:p w14:paraId="31BF9DB9">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等效黏土防渗层Mb≥6.0m，K≤1×10</w:t>
                  </w:r>
                  <w:r>
                    <w:rPr>
                      <w:rFonts w:hint="default" w:ascii="Times New Roman" w:hAnsi="Times New Roman"/>
                      <w:color w:val="auto"/>
                      <w:kern w:val="2"/>
                      <w:sz w:val="21"/>
                      <w:szCs w:val="21"/>
                      <w:vertAlign w:val="superscript"/>
                    </w:rPr>
                    <w:t>-7</w:t>
                  </w:r>
                  <w:r>
                    <w:rPr>
                      <w:rFonts w:hint="default" w:ascii="Times New Roman" w:hAnsi="Times New Roman"/>
                      <w:color w:val="auto"/>
                      <w:kern w:val="2"/>
                      <w:sz w:val="21"/>
                      <w:szCs w:val="21"/>
                    </w:rPr>
                    <w:t>cm/s并参照《危险废物贮存污染控制标准》（GB18597-2023）执行，基础必须防渗，防渗层为至少1m厚粘土层（渗透系数≤10</w:t>
                  </w:r>
                  <w:r>
                    <w:rPr>
                      <w:rFonts w:hint="default" w:ascii="Times New Roman" w:hAnsi="Times New Roman"/>
                      <w:color w:val="auto"/>
                      <w:kern w:val="2"/>
                      <w:sz w:val="21"/>
                      <w:szCs w:val="21"/>
                      <w:vertAlign w:val="superscript"/>
                    </w:rPr>
                    <w:t>-7</w:t>
                  </w:r>
                  <w:r>
                    <w:rPr>
                      <w:rFonts w:hint="default" w:ascii="Times New Roman" w:hAnsi="Times New Roman"/>
                      <w:color w:val="auto"/>
                      <w:kern w:val="2"/>
                      <w:sz w:val="21"/>
                      <w:szCs w:val="21"/>
                    </w:rPr>
                    <w:t>cm/s），或2mm厚高密度聚乙烯，或至少2mm厚的其他人工材料，渗透系数≤10</w:t>
                  </w:r>
                  <w:r>
                    <w:rPr>
                      <w:rFonts w:hint="default" w:ascii="Times New Roman" w:hAnsi="Times New Roman"/>
                      <w:color w:val="auto"/>
                      <w:kern w:val="2"/>
                      <w:sz w:val="21"/>
                      <w:szCs w:val="21"/>
                      <w:vertAlign w:val="superscript"/>
                    </w:rPr>
                    <w:t>-10</w:t>
                  </w:r>
                  <w:r>
                    <w:rPr>
                      <w:rFonts w:hint="default" w:ascii="Times New Roman" w:hAnsi="Times New Roman"/>
                      <w:color w:val="auto"/>
                      <w:kern w:val="2"/>
                      <w:sz w:val="21"/>
                      <w:szCs w:val="21"/>
                    </w:rPr>
                    <w:t>cm/s</w:t>
                  </w:r>
                </w:p>
              </w:tc>
              <w:tc>
                <w:tcPr>
                  <w:tcW w:w="780" w:type="pct"/>
                  <w:tcBorders>
                    <w:top w:val="single" w:color="auto" w:sz="4" w:space="0"/>
                    <w:left w:val="nil"/>
                    <w:bottom w:val="single" w:color="auto" w:sz="4" w:space="0"/>
                    <w:right w:val="single" w:color="auto" w:sz="4" w:space="0"/>
                  </w:tcBorders>
                  <w:vAlign w:val="center"/>
                </w:tcPr>
                <w:p w14:paraId="2FC3B944">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s="Times New Roman"/>
                      <w:color w:val="auto"/>
                      <w:kern w:val="2"/>
                      <w:sz w:val="21"/>
                      <w:szCs w:val="21"/>
                    </w:rPr>
                    <w:t>防渗混凝土</w:t>
                  </w:r>
                  <w:r>
                    <w:rPr>
                      <w:rFonts w:hint="eastAsia" w:ascii="Times New Roman" w:hAnsi="Times New Roman" w:cs="Times New Roman"/>
                      <w:color w:val="auto"/>
                      <w:kern w:val="2"/>
                      <w:sz w:val="21"/>
                      <w:szCs w:val="21"/>
                    </w:rPr>
                    <w:t>+环氧地坪</w:t>
                  </w:r>
                </w:p>
              </w:tc>
              <w:tc>
                <w:tcPr>
                  <w:tcW w:w="780" w:type="pct"/>
                  <w:tcBorders>
                    <w:top w:val="single" w:color="auto" w:sz="4" w:space="0"/>
                    <w:left w:val="single" w:color="auto" w:sz="4" w:space="0"/>
                    <w:bottom w:val="single" w:color="auto" w:sz="4" w:space="0"/>
                    <w:right w:val="nil"/>
                  </w:tcBorders>
                  <w:vAlign w:val="center"/>
                </w:tcPr>
                <w:p w14:paraId="564828CA">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color w:val="auto"/>
                      <w:kern w:val="2"/>
                      <w:sz w:val="21"/>
                      <w:szCs w:val="21"/>
                      <w:lang w:eastAsia="zh-CN"/>
                    </w:rPr>
                  </w:pPr>
                  <w:r>
                    <w:rPr>
                      <w:rFonts w:hint="eastAsia" w:ascii="Times New Roman" w:hAnsi="Times New Roman"/>
                      <w:color w:val="auto"/>
                      <w:kern w:val="2"/>
                      <w:sz w:val="21"/>
                      <w:szCs w:val="21"/>
                      <w:lang w:val="en-US" w:eastAsia="zh-CN"/>
                    </w:rPr>
                    <w:t>/</w:t>
                  </w:r>
                </w:p>
              </w:tc>
            </w:tr>
            <w:tr w14:paraId="541C7C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27" w:type="pct"/>
                  <w:tcBorders>
                    <w:top w:val="single" w:color="auto" w:sz="6" w:space="0"/>
                    <w:left w:val="nil"/>
                    <w:bottom w:val="single" w:color="auto" w:sz="6" w:space="0"/>
                    <w:right w:val="single" w:color="auto" w:sz="6" w:space="0"/>
                  </w:tcBorders>
                  <w:vAlign w:val="center"/>
                </w:tcPr>
                <w:p w14:paraId="2865D6B3">
                  <w:pPr>
                    <w:keepNext w:val="0"/>
                    <w:keepLines w:val="0"/>
                    <w:widowControl/>
                    <w:suppressLineNumbers w:val="0"/>
                    <w:autoSpaceDE w:val="0"/>
                    <w:autoSpaceDN w:val="0"/>
                    <w:spacing w:before="0" w:beforeAutospacing="0" w:after="0" w:afterAutospacing="0" w:line="276" w:lineRule="auto"/>
                    <w:ind w:left="0" w:right="0"/>
                    <w:jc w:val="center"/>
                    <w:rPr>
                      <w:rFonts w:hint="eastAsia" w:ascii="Times New Roman" w:hAnsi="Times New Roman" w:eastAsia="宋体" w:cs="Times New Roman"/>
                      <w:color w:val="auto"/>
                      <w:kern w:val="2"/>
                      <w:sz w:val="21"/>
                      <w:szCs w:val="21"/>
                      <w:lang w:val="en-US" w:eastAsia="zh-CN" w:bidi="ar"/>
                    </w:rPr>
                  </w:pPr>
                  <w:r>
                    <w:rPr>
                      <w:rFonts w:hint="eastAsia" w:ascii="Times New Roman" w:hAnsi="Times New Roman" w:eastAsia="宋体" w:cs="Times New Roman"/>
                      <w:color w:val="auto"/>
                      <w:kern w:val="2"/>
                      <w:sz w:val="21"/>
                      <w:szCs w:val="21"/>
                      <w:lang w:val="en-US" w:eastAsia="zh-CN" w:bidi="ar"/>
                    </w:rPr>
                    <w:t>34#、36#厂房抽油加油车间、清洗区、化学品仓库</w:t>
                  </w:r>
                </w:p>
              </w:tc>
              <w:tc>
                <w:tcPr>
                  <w:tcW w:w="450" w:type="pct"/>
                  <w:vMerge w:val="continue"/>
                  <w:tcBorders>
                    <w:left w:val="nil"/>
                    <w:right w:val="single" w:color="auto" w:sz="6" w:space="0"/>
                  </w:tcBorders>
                  <w:vAlign w:val="center"/>
                </w:tcPr>
                <w:p w14:paraId="68180B2D">
                  <w:pPr>
                    <w:keepNext w:val="0"/>
                    <w:keepLines w:val="0"/>
                    <w:widowControl/>
                    <w:suppressLineNumbers w:val="0"/>
                    <w:autoSpaceDE w:val="0"/>
                    <w:autoSpaceDN w:val="0"/>
                    <w:spacing w:before="0" w:beforeAutospacing="0" w:after="0" w:afterAutospacing="0" w:line="276" w:lineRule="auto"/>
                    <w:ind w:left="0" w:right="0"/>
                    <w:jc w:val="center"/>
                    <w:rPr>
                      <w:rFonts w:hint="eastAsia" w:ascii="Times New Roman" w:hAnsi="Times New Roman"/>
                      <w:color w:val="auto"/>
                      <w:kern w:val="2"/>
                      <w:sz w:val="21"/>
                      <w:szCs w:val="21"/>
                      <w:lang w:val="en-US" w:eastAsia="zh-CN"/>
                    </w:rPr>
                  </w:pPr>
                </w:p>
              </w:tc>
              <w:tc>
                <w:tcPr>
                  <w:tcW w:w="1961" w:type="pct"/>
                  <w:tcBorders>
                    <w:top w:val="single" w:color="auto" w:sz="6" w:space="0"/>
                    <w:left w:val="nil"/>
                    <w:bottom w:val="single" w:color="auto" w:sz="6" w:space="0"/>
                    <w:right w:val="single" w:color="auto" w:sz="6" w:space="0"/>
                  </w:tcBorders>
                  <w:vAlign w:val="center"/>
                </w:tcPr>
                <w:p w14:paraId="694697B3">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等效黏土防渗层Mb≥</w:t>
                  </w:r>
                  <w:r>
                    <w:rPr>
                      <w:rFonts w:hint="eastAsia" w:ascii="Times New Roman" w:hAnsi="Times New Roman"/>
                      <w:color w:val="auto"/>
                      <w:kern w:val="2"/>
                      <w:sz w:val="21"/>
                      <w:szCs w:val="21"/>
                    </w:rPr>
                    <w:t>6.0</w:t>
                  </w:r>
                  <w:r>
                    <w:rPr>
                      <w:rFonts w:hint="default" w:ascii="Times New Roman" w:hAnsi="Times New Roman"/>
                      <w:color w:val="auto"/>
                      <w:kern w:val="2"/>
                      <w:sz w:val="21"/>
                      <w:szCs w:val="21"/>
                    </w:rPr>
                    <w:t>m，K≤1×10</w:t>
                  </w:r>
                  <w:r>
                    <w:rPr>
                      <w:rFonts w:hint="default" w:ascii="Times New Roman" w:hAnsi="Times New Roman"/>
                      <w:color w:val="auto"/>
                      <w:kern w:val="2"/>
                      <w:sz w:val="21"/>
                      <w:szCs w:val="21"/>
                      <w:vertAlign w:val="superscript"/>
                    </w:rPr>
                    <w:t>-7</w:t>
                  </w:r>
                  <w:r>
                    <w:rPr>
                      <w:rFonts w:hint="default" w:ascii="Times New Roman" w:hAnsi="Times New Roman"/>
                      <w:color w:val="auto"/>
                      <w:kern w:val="2"/>
                      <w:sz w:val="21"/>
                      <w:szCs w:val="21"/>
                    </w:rPr>
                    <w:t>cm/s</w:t>
                  </w:r>
                </w:p>
              </w:tc>
              <w:tc>
                <w:tcPr>
                  <w:tcW w:w="780" w:type="pct"/>
                  <w:tcBorders>
                    <w:top w:val="single" w:color="auto" w:sz="4" w:space="0"/>
                    <w:left w:val="nil"/>
                    <w:bottom w:val="single" w:color="auto" w:sz="4" w:space="0"/>
                    <w:right w:val="single" w:color="auto" w:sz="4" w:space="0"/>
                  </w:tcBorders>
                  <w:vAlign w:val="center"/>
                </w:tcPr>
                <w:p w14:paraId="27364F37">
                  <w:pPr>
                    <w:keepNext w:val="0"/>
                    <w:keepLines w:val="0"/>
                    <w:widowControl/>
                    <w:suppressLineNumbers w:val="0"/>
                    <w:spacing w:before="0" w:beforeAutospacing="0" w:after="0" w:afterAutospacing="0" w:line="276" w:lineRule="auto"/>
                    <w:ind w:left="0" w:right="0"/>
                    <w:jc w:val="center"/>
                    <w:rPr>
                      <w:rFonts w:hint="eastAsia" w:ascii="Times New Roman" w:hAnsi="Times New Roman"/>
                      <w:color w:val="auto"/>
                      <w:kern w:val="2"/>
                      <w:sz w:val="21"/>
                      <w:szCs w:val="21"/>
                      <w:lang w:val="en-US" w:eastAsia="zh-CN"/>
                    </w:rPr>
                  </w:pPr>
                  <w:r>
                    <w:rPr>
                      <w:rFonts w:hint="default" w:ascii="Times New Roman" w:hAnsi="Times New Roman" w:cs="Times New Roman"/>
                      <w:color w:val="auto"/>
                      <w:kern w:val="2"/>
                      <w:sz w:val="21"/>
                      <w:szCs w:val="21"/>
                    </w:rPr>
                    <w:t>防渗混凝土</w:t>
                  </w:r>
                  <w:r>
                    <w:rPr>
                      <w:rFonts w:hint="eastAsia" w:ascii="Times New Roman" w:hAnsi="Times New Roman" w:cs="Times New Roman"/>
                      <w:color w:val="auto"/>
                      <w:kern w:val="2"/>
                      <w:sz w:val="21"/>
                      <w:szCs w:val="21"/>
                    </w:rPr>
                    <w:t>+环氧地坪</w:t>
                  </w:r>
                </w:p>
              </w:tc>
              <w:tc>
                <w:tcPr>
                  <w:tcW w:w="780" w:type="pct"/>
                  <w:tcBorders>
                    <w:top w:val="single" w:color="auto" w:sz="4" w:space="0"/>
                    <w:left w:val="single" w:color="auto" w:sz="4" w:space="0"/>
                    <w:bottom w:val="single" w:color="auto" w:sz="4" w:space="0"/>
                    <w:right w:val="nil"/>
                  </w:tcBorders>
                  <w:vAlign w:val="center"/>
                </w:tcPr>
                <w:p w14:paraId="5521510E">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w:t>
                  </w:r>
                </w:p>
              </w:tc>
            </w:tr>
            <w:tr w14:paraId="48FCA7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27" w:type="pct"/>
                  <w:vMerge w:val="restart"/>
                  <w:tcBorders>
                    <w:top w:val="single" w:color="auto" w:sz="6" w:space="0"/>
                    <w:left w:val="nil"/>
                    <w:right w:val="single" w:color="auto" w:sz="6" w:space="0"/>
                  </w:tcBorders>
                  <w:shd w:val="clear" w:color="auto" w:fill="auto"/>
                  <w:vAlign w:val="center"/>
                </w:tcPr>
                <w:p w14:paraId="3F16A3C5">
                  <w:pPr>
                    <w:keepNext w:val="0"/>
                    <w:keepLines w:val="0"/>
                    <w:widowControl/>
                    <w:suppressLineNumbers w:val="0"/>
                    <w:autoSpaceDE w:val="0"/>
                    <w:autoSpaceDN w:val="0"/>
                    <w:spacing w:before="0" w:beforeAutospacing="0" w:after="0" w:afterAutospacing="0" w:line="276" w:lineRule="auto"/>
                    <w:ind w:left="0" w:right="0"/>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
                    </w:rPr>
                    <w:t>29#-32#厂房</w:t>
                  </w:r>
                  <w:r>
                    <w:rPr>
                      <w:rFonts w:hint="eastAsia" w:ascii="Times New Roman" w:hAnsi="Times New Roman"/>
                      <w:color w:val="auto"/>
                      <w:kern w:val="2"/>
                      <w:sz w:val="21"/>
                      <w:szCs w:val="21"/>
                    </w:rPr>
                    <w:t>生产车间</w:t>
                  </w:r>
                </w:p>
              </w:tc>
              <w:tc>
                <w:tcPr>
                  <w:tcW w:w="450" w:type="pct"/>
                  <w:vMerge w:val="restart"/>
                  <w:tcBorders>
                    <w:left w:val="nil"/>
                    <w:right w:val="single" w:color="auto" w:sz="6" w:space="0"/>
                  </w:tcBorders>
                  <w:shd w:val="clear" w:color="auto" w:fill="auto"/>
                  <w:vAlign w:val="center"/>
                </w:tcPr>
                <w:p w14:paraId="36411F09">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eastAsia="宋体" w:cs="宋体"/>
                      <w:color w:val="auto"/>
                      <w:kern w:val="2"/>
                      <w:sz w:val="21"/>
                      <w:szCs w:val="21"/>
                      <w:lang w:val="en-US" w:eastAsia="zh-CN" w:bidi="ar-SA"/>
                    </w:rPr>
                  </w:pPr>
                  <w:r>
                    <w:rPr>
                      <w:rFonts w:hint="default" w:ascii="Times New Roman" w:hAnsi="Times New Roman"/>
                      <w:color w:val="auto"/>
                      <w:kern w:val="2"/>
                      <w:sz w:val="21"/>
                      <w:szCs w:val="21"/>
                    </w:rPr>
                    <w:t>一般防渗区</w:t>
                  </w:r>
                </w:p>
              </w:tc>
              <w:tc>
                <w:tcPr>
                  <w:tcW w:w="1961" w:type="pct"/>
                  <w:vMerge w:val="restart"/>
                  <w:tcBorders>
                    <w:top w:val="single" w:color="auto" w:sz="6" w:space="0"/>
                    <w:left w:val="nil"/>
                    <w:right w:val="single" w:color="auto" w:sz="6" w:space="0"/>
                  </w:tcBorders>
                  <w:shd w:val="clear" w:color="auto" w:fill="auto"/>
                  <w:vAlign w:val="center"/>
                </w:tcPr>
                <w:p w14:paraId="79FD615E">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s="宋体"/>
                      <w:color w:val="auto"/>
                      <w:kern w:val="2"/>
                      <w:sz w:val="21"/>
                      <w:szCs w:val="21"/>
                      <w:lang w:val="en-US" w:eastAsia="zh-CN" w:bidi="ar-SA"/>
                    </w:rPr>
                  </w:pPr>
                  <w:r>
                    <w:rPr>
                      <w:rFonts w:hint="default" w:ascii="Times New Roman" w:hAnsi="Times New Roman"/>
                      <w:color w:val="auto"/>
                      <w:kern w:val="2"/>
                      <w:sz w:val="21"/>
                      <w:szCs w:val="21"/>
                    </w:rPr>
                    <w:t>等效黏土防渗层Mb≥1.5m，K≤1×10</w:t>
                  </w:r>
                  <w:r>
                    <w:rPr>
                      <w:rFonts w:hint="default" w:ascii="Times New Roman" w:hAnsi="Times New Roman"/>
                      <w:color w:val="auto"/>
                      <w:kern w:val="2"/>
                      <w:sz w:val="21"/>
                      <w:szCs w:val="21"/>
                      <w:vertAlign w:val="superscript"/>
                    </w:rPr>
                    <w:t>-</w:t>
                  </w:r>
                  <w:r>
                    <w:rPr>
                      <w:rFonts w:hint="eastAsia" w:ascii="Times New Roman" w:hAnsi="Times New Roman"/>
                      <w:color w:val="auto"/>
                      <w:kern w:val="2"/>
                      <w:sz w:val="21"/>
                      <w:szCs w:val="21"/>
                      <w:vertAlign w:val="superscript"/>
                    </w:rPr>
                    <w:t>5</w:t>
                  </w:r>
                  <w:r>
                    <w:rPr>
                      <w:rFonts w:hint="default" w:ascii="Times New Roman" w:hAnsi="Times New Roman"/>
                      <w:color w:val="auto"/>
                      <w:kern w:val="2"/>
                      <w:sz w:val="21"/>
                      <w:szCs w:val="21"/>
                    </w:rPr>
                    <w:t>cm/s</w:t>
                  </w:r>
                </w:p>
              </w:tc>
              <w:tc>
                <w:tcPr>
                  <w:tcW w:w="780" w:type="pct"/>
                  <w:vMerge w:val="restart"/>
                  <w:tcBorders>
                    <w:top w:val="single" w:color="auto" w:sz="4" w:space="0"/>
                    <w:left w:val="nil"/>
                    <w:right w:val="single" w:color="auto" w:sz="4" w:space="0"/>
                  </w:tcBorders>
                  <w:shd w:val="clear" w:color="auto" w:fill="auto"/>
                  <w:vAlign w:val="center"/>
                </w:tcPr>
                <w:p w14:paraId="37D67104">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s="宋体"/>
                      <w:color w:val="auto"/>
                      <w:kern w:val="2"/>
                      <w:sz w:val="21"/>
                      <w:szCs w:val="21"/>
                      <w:lang w:val="en-US" w:eastAsia="zh-CN" w:bidi="ar-SA"/>
                    </w:rPr>
                  </w:pPr>
                  <w:r>
                    <w:rPr>
                      <w:rFonts w:hint="eastAsia" w:ascii="Times New Roman" w:hAnsi="Times New Roman" w:cs="宋体"/>
                      <w:color w:val="auto"/>
                      <w:kern w:val="2"/>
                      <w:sz w:val="21"/>
                      <w:szCs w:val="21"/>
                      <w:lang w:val="en-US" w:eastAsia="zh-CN" w:bidi="ar-SA"/>
                    </w:rPr>
                    <w:t>/</w:t>
                  </w:r>
                </w:p>
              </w:tc>
              <w:tc>
                <w:tcPr>
                  <w:tcW w:w="780" w:type="pct"/>
                  <w:tcBorders>
                    <w:top w:val="single" w:color="auto" w:sz="4" w:space="0"/>
                    <w:left w:val="single" w:color="auto" w:sz="4" w:space="0"/>
                    <w:bottom w:val="single" w:color="auto" w:sz="4" w:space="0"/>
                    <w:right w:val="nil"/>
                  </w:tcBorders>
                  <w:shd w:val="clear" w:color="auto" w:fill="auto"/>
                  <w:vAlign w:val="center"/>
                </w:tcPr>
                <w:p w14:paraId="1DFF9F52">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s="宋体"/>
                      <w:color w:val="auto"/>
                      <w:kern w:val="2"/>
                      <w:sz w:val="21"/>
                      <w:szCs w:val="21"/>
                      <w:lang w:val="en-US" w:eastAsia="zh-CN" w:bidi="ar-SA"/>
                    </w:rPr>
                  </w:pPr>
                  <w:r>
                    <w:rPr>
                      <w:rFonts w:hint="default" w:ascii="Times New Roman" w:hAnsi="Times New Roman"/>
                      <w:color w:val="auto"/>
                      <w:kern w:val="2"/>
                      <w:sz w:val="21"/>
                      <w:szCs w:val="21"/>
                    </w:rPr>
                    <w:t>10~15cm厚抗渗混凝土</w:t>
                  </w:r>
                </w:p>
              </w:tc>
            </w:tr>
            <w:tr w14:paraId="36A5B2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27" w:type="pct"/>
                  <w:vMerge w:val="continue"/>
                  <w:tcBorders>
                    <w:left w:val="nil"/>
                    <w:bottom w:val="single" w:color="auto" w:sz="6" w:space="0"/>
                    <w:right w:val="single" w:color="auto" w:sz="6" w:space="0"/>
                  </w:tcBorders>
                  <w:vAlign w:val="center"/>
                </w:tcPr>
                <w:p w14:paraId="70A4724D">
                  <w:pPr>
                    <w:keepNext w:val="0"/>
                    <w:keepLines w:val="0"/>
                    <w:widowControl/>
                    <w:suppressLineNumbers w:val="0"/>
                    <w:autoSpaceDE w:val="0"/>
                    <w:autoSpaceDN w:val="0"/>
                    <w:spacing w:before="0" w:beforeAutospacing="0" w:after="0" w:afterAutospacing="0" w:line="276" w:lineRule="auto"/>
                    <w:ind w:left="0" w:right="0"/>
                    <w:jc w:val="center"/>
                    <w:rPr>
                      <w:rFonts w:hint="eastAsia" w:ascii="Times New Roman" w:hAnsi="Times New Roman"/>
                      <w:color w:val="auto"/>
                      <w:kern w:val="2"/>
                      <w:sz w:val="21"/>
                      <w:szCs w:val="21"/>
                    </w:rPr>
                  </w:pPr>
                </w:p>
              </w:tc>
              <w:tc>
                <w:tcPr>
                  <w:tcW w:w="450" w:type="pct"/>
                  <w:vMerge w:val="continue"/>
                  <w:tcBorders>
                    <w:left w:val="nil"/>
                    <w:bottom w:val="single" w:color="auto" w:sz="6" w:space="0"/>
                    <w:right w:val="single" w:color="auto" w:sz="6" w:space="0"/>
                  </w:tcBorders>
                  <w:vAlign w:val="center"/>
                </w:tcPr>
                <w:p w14:paraId="0FFAC46E">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p>
              </w:tc>
              <w:tc>
                <w:tcPr>
                  <w:tcW w:w="1961" w:type="pct"/>
                  <w:vMerge w:val="continue"/>
                  <w:tcBorders>
                    <w:left w:val="nil"/>
                    <w:bottom w:val="single" w:color="auto" w:sz="6" w:space="0"/>
                    <w:right w:val="single" w:color="auto" w:sz="6" w:space="0"/>
                  </w:tcBorders>
                  <w:vAlign w:val="center"/>
                </w:tcPr>
                <w:p w14:paraId="4A9AA431">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p>
              </w:tc>
              <w:tc>
                <w:tcPr>
                  <w:tcW w:w="780" w:type="pct"/>
                  <w:vMerge w:val="continue"/>
                  <w:tcBorders>
                    <w:left w:val="nil"/>
                    <w:bottom w:val="single" w:color="auto" w:sz="4" w:space="0"/>
                    <w:right w:val="single" w:color="auto" w:sz="4" w:space="0"/>
                  </w:tcBorders>
                  <w:vAlign w:val="center"/>
                </w:tcPr>
                <w:p w14:paraId="193B2A07">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p>
              </w:tc>
              <w:tc>
                <w:tcPr>
                  <w:tcW w:w="780" w:type="pct"/>
                  <w:tcBorders>
                    <w:top w:val="single" w:color="auto" w:sz="4" w:space="0"/>
                    <w:left w:val="single" w:color="auto" w:sz="4" w:space="0"/>
                    <w:bottom w:val="single" w:color="auto" w:sz="4" w:space="0"/>
                    <w:right w:val="nil"/>
                  </w:tcBorders>
                  <w:vAlign w:val="center"/>
                </w:tcPr>
                <w:p w14:paraId="543F9321">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10~15cm厚抗渗混凝土</w:t>
                  </w:r>
                </w:p>
              </w:tc>
            </w:tr>
            <w:tr w14:paraId="0EDC60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27" w:type="pct"/>
                  <w:tcBorders>
                    <w:top w:val="single" w:color="auto" w:sz="6" w:space="0"/>
                    <w:left w:val="nil"/>
                    <w:bottom w:val="single" w:color="auto" w:sz="6" w:space="0"/>
                    <w:right w:val="single" w:color="auto" w:sz="6" w:space="0"/>
                  </w:tcBorders>
                  <w:vAlign w:val="center"/>
                </w:tcPr>
                <w:p w14:paraId="13768A2E">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29#-32#厂房</w:t>
                  </w:r>
                  <w:r>
                    <w:rPr>
                      <w:rFonts w:hint="default" w:ascii="Times New Roman" w:hAnsi="Times New Roman"/>
                      <w:color w:val="auto"/>
                      <w:kern w:val="2"/>
                      <w:sz w:val="21"/>
                      <w:szCs w:val="21"/>
                    </w:rPr>
                    <w:t>办公</w:t>
                  </w:r>
                  <w:r>
                    <w:rPr>
                      <w:rFonts w:hint="eastAsia" w:ascii="Times New Roman" w:hAnsi="Times New Roman"/>
                      <w:color w:val="auto"/>
                      <w:kern w:val="2"/>
                      <w:sz w:val="21"/>
                      <w:szCs w:val="21"/>
                    </w:rPr>
                    <w:t>区</w:t>
                  </w:r>
                  <w:r>
                    <w:rPr>
                      <w:rFonts w:hint="default" w:ascii="Times New Roman" w:hAnsi="Times New Roman"/>
                      <w:color w:val="auto"/>
                      <w:kern w:val="2"/>
                      <w:sz w:val="21"/>
                      <w:szCs w:val="21"/>
                    </w:rPr>
                    <w:t>等</w:t>
                  </w:r>
                </w:p>
              </w:tc>
              <w:tc>
                <w:tcPr>
                  <w:tcW w:w="450" w:type="pct"/>
                  <w:vMerge w:val="restart"/>
                  <w:tcBorders>
                    <w:top w:val="single" w:color="auto" w:sz="6" w:space="0"/>
                    <w:left w:val="nil"/>
                    <w:right w:val="single" w:color="auto" w:sz="6" w:space="0"/>
                  </w:tcBorders>
                  <w:vAlign w:val="center"/>
                </w:tcPr>
                <w:p w14:paraId="2BCFF906">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简单防渗区</w:t>
                  </w:r>
                </w:p>
              </w:tc>
              <w:tc>
                <w:tcPr>
                  <w:tcW w:w="1961" w:type="pct"/>
                  <w:vMerge w:val="restart"/>
                  <w:tcBorders>
                    <w:top w:val="single" w:color="auto" w:sz="6" w:space="0"/>
                    <w:left w:val="nil"/>
                    <w:right w:val="single" w:color="auto" w:sz="6" w:space="0"/>
                  </w:tcBorders>
                  <w:vAlign w:val="center"/>
                </w:tcPr>
                <w:p w14:paraId="0C53EF71">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一般地面硬化</w:t>
                  </w:r>
                </w:p>
              </w:tc>
              <w:tc>
                <w:tcPr>
                  <w:tcW w:w="780" w:type="pct"/>
                  <w:tcBorders>
                    <w:top w:val="single" w:color="auto" w:sz="4" w:space="0"/>
                    <w:left w:val="nil"/>
                    <w:bottom w:val="single" w:color="auto" w:sz="4" w:space="0"/>
                    <w:right w:val="single" w:color="auto" w:sz="4" w:space="0"/>
                  </w:tcBorders>
                  <w:vAlign w:val="center"/>
                </w:tcPr>
                <w:p w14:paraId="69CFF4DD">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color w:val="auto"/>
                      <w:kern w:val="2"/>
                      <w:sz w:val="21"/>
                      <w:szCs w:val="21"/>
                      <w:lang w:eastAsia="zh-CN"/>
                    </w:rPr>
                  </w:pPr>
                  <w:r>
                    <w:rPr>
                      <w:rFonts w:hint="eastAsia" w:ascii="Times New Roman" w:hAnsi="Times New Roman"/>
                      <w:color w:val="auto"/>
                      <w:kern w:val="2"/>
                      <w:sz w:val="21"/>
                      <w:szCs w:val="21"/>
                      <w:lang w:val="en-US" w:eastAsia="zh-CN"/>
                    </w:rPr>
                    <w:t>/</w:t>
                  </w:r>
                </w:p>
              </w:tc>
              <w:tc>
                <w:tcPr>
                  <w:tcW w:w="780" w:type="pct"/>
                  <w:tcBorders>
                    <w:top w:val="single" w:color="auto" w:sz="4" w:space="0"/>
                    <w:left w:val="single" w:color="auto" w:sz="4" w:space="0"/>
                    <w:bottom w:val="single" w:color="auto" w:sz="4" w:space="0"/>
                    <w:right w:val="nil"/>
                  </w:tcBorders>
                  <w:vAlign w:val="center"/>
                </w:tcPr>
                <w:p w14:paraId="1A1E6D0D">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水泥地面硬化</w:t>
                  </w:r>
                </w:p>
              </w:tc>
            </w:tr>
            <w:tr w14:paraId="4128D77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27" w:type="pct"/>
                  <w:tcBorders>
                    <w:top w:val="single" w:color="auto" w:sz="6" w:space="0"/>
                    <w:left w:val="nil"/>
                    <w:bottom w:val="single" w:color="auto" w:sz="12" w:space="0"/>
                    <w:right w:val="single" w:color="auto" w:sz="6" w:space="0"/>
                  </w:tcBorders>
                  <w:vAlign w:val="center"/>
                </w:tcPr>
                <w:p w14:paraId="045382C8">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eastAsia="宋体" w:cs="Times New Roman"/>
                      <w:color w:val="auto"/>
                      <w:kern w:val="2"/>
                      <w:sz w:val="21"/>
                      <w:szCs w:val="21"/>
                      <w:lang w:val="en-US" w:eastAsia="zh-CN" w:bidi="ar"/>
                    </w:rPr>
                    <w:t>34#、36#厂房一般固废暂存场所、其他生产车间、办公区等其他区域</w:t>
                  </w:r>
                </w:p>
              </w:tc>
              <w:tc>
                <w:tcPr>
                  <w:tcW w:w="450" w:type="pct"/>
                  <w:vMerge w:val="continue"/>
                  <w:tcBorders>
                    <w:left w:val="nil"/>
                    <w:bottom w:val="single" w:color="auto" w:sz="12" w:space="0"/>
                    <w:right w:val="single" w:color="auto" w:sz="6" w:space="0"/>
                  </w:tcBorders>
                  <w:vAlign w:val="center"/>
                </w:tcPr>
                <w:p w14:paraId="55D4DC94">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p>
              </w:tc>
              <w:tc>
                <w:tcPr>
                  <w:tcW w:w="1961" w:type="pct"/>
                  <w:vMerge w:val="continue"/>
                  <w:tcBorders>
                    <w:left w:val="nil"/>
                    <w:bottom w:val="single" w:color="auto" w:sz="12" w:space="0"/>
                    <w:right w:val="single" w:color="auto" w:sz="6" w:space="0"/>
                  </w:tcBorders>
                  <w:vAlign w:val="center"/>
                </w:tcPr>
                <w:p w14:paraId="5681EAD4">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p>
              </w:tc>
              <w:tc>
                <w:tcPr>
                  <w:tcW w:w="780" w:type="pct"/>
                  <w:tcBorders>
                    <w:top w:val="single" w:color="auto" w:sz="4" w:space="0"/>
                    <w:left w:val="nil"/>
                    <w:bottom w:val="single" w:color="auto" w:sz="12" w:space="0"/>
                    <w:right w:val="single" w:color="auto" w:sz="4" w:space="0"/>
                  </w:tcBorders>
                  <w:vAlign w:val="center"/>
                </w:tcPr>
                <w:p w14:paraId="0D38B971">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水泥地面硬化</w:t>
                  </w:r>
                </w:p>
              </w:tc>
              <w:tc>
                <w:tcPr>
                  <w:tcW w:w="780" w:type="pct"/>
                  <w:tcBorders>
                    <w:top w:val="single" w:color="auto" w:sz="4" w:space="0"/>
                    <w:left w:val="single" w:color="auto" w:sz="4" w:space="0"/>
                    <w:bottom w:val="single" w:color="auto" w:sz="12" w:space="0"/>
                    <w:right w:val="nil"/>
                  </w:tcBorders>
                  <w:vAlign w:val="center"/>
                </w:tcPr>
                <w:p w14:paraId="49189498">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color w:val="auto"/>
                      <w:kern w:val="2"/>
                      <w:sz w:val="21"/>
                      <w:szCs w:val="21"/>
                      <w:lang w:eastAsia="zh-CN"/>
                    </w:rPr>
                  </w:pPr>
                  <w:r>
                    <w:rPr>
                      <w:rFonts w:hint="eastAsia" w:ascii="Times New Roman" w:hAnsi="Times New Roman"/>
                      <w:color w:val="auto"/>
                      <w:kern w:val="2"/>
                      <w:sz w:val="21"/>
                      <w:szCs w:val="21"/>
                      <w:lang w:val="en-US" w:eastAsia="zh-CN"/>
                    </w:rPr>
                    <w:t>/</w:t>
                  </w:r>
                </w:p>
              </w:tc>
            </w:tr>
          </w:tbl>
          <w:p w14:paraId="7359496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eastAsia="黑体"/>
                <w:color w:val="auto"/>
                <w:kern w:val="2"/>
              </w:rPr>
            </w:pPr>
            <w:r>
              <w:rPr>
                <w:rFonts w:hint="default" w:ascii="Times New Roman" w:hAnsi="Times New Roman"/>
                <w:color w:val="auto"/>
                <w:kern w:val="2"/>
              </w:rPr>
              <w:t>因此，在落实各项防渗措施后，项目不会对区域地下水、土壤环境产生明显影响。</w:t>
            </w:r>
          </w:p>
          <w:p w14:paraId="31846A07">
            <w:pPr>
              <w:keepNext w:val="0"/>
              <w:keepLines w:val="0"/>
              <w:widowControl/>
              <w:suppressLineNumbers w:val="0"/>
              <w:spacing w:before="0" w:beforeAutospacing="0" w:after="0" w:afterAutospacing="0" w:line="440" w:lineRule="exact"/>
              <w:ind w:left="0" w:right="0" w:firstLine="472" w:firstLineChars="196"/>
              <w:rPr>
                <w:rFonts w:hint="default" w:ascii="Times New Roman" w:hAnsi="Times New Roman"/>
                <w:b/>
                <w:color w:val="auto"/>
                <w:kern w:val="2"/>
              </w:rPr>
            </w:pPr>
            <w:r>
              <w:rPr>
                <w:rFonts w:hint="default" w:ascii="Times New Roman" w:hAnsi="Times New Roman"/>
                <w:b/>
                <w:color w:val="auto"/>
                <w:kern w:val="2"/>
              </w:rPr>
              <w:t>六、环境风险评价</w:t>
            </w:r>
          </w:p>
          <w:p w14:paraId="5A179ADE">
            <w:pPr>
              <w:pStyle w:val="95"/>
              <w:keepNext w:val="0"/>
              <w:keepLines w:val="0"/>
              <w:widowControl/>
              <w:suppressLineNumbers w:val="0"/>
              <w:spacing w:before="0" w:beforeAutospacing="0" w:after="0" w:afterAutospacing="0"/>
              <w:ind w:left="0" w:right="0" w:firstLine="482"/>
              <w:rPr>
                <w:rFonts w:hint="default"/>
                <w:b/>
                <w:color w:val="auto"/>
                <w:kern w:val="2"/>
              </w:rPr>
            </w:pPr>
            <w:r>
              <w:rPr>
                <w:rFonts w:hint="default"/>
                <w:b/>
                <w:color w:val="auto"/>
                <w:kern w:val="2"/>
              </w:rPr>
              <w:t>1、风险识别</w:t>
            </w:r>
          </w:p>
          <w:p w14:paraId="6C6C1957">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bCs/>
                <w:color w:val="auto"/>
                <w:kern w:val="2"/>
                <w:lang w:val="en-US"/>
              </w:rPr>
            </w:pPr>
            <w:r>
              <w:rPr>
                <w:rFonts w:hint="default" w:ascii="Times New Roman" w:hAnsi="Times New Roman" w:eastAsia="宋体" w:cs="Times New Roman"/>
                <w:bCs/>
                <w:color w:val="auto"/>
                <w:kern w:val="0"/>
                <w:sz w:val="24"/>
                <w:szCs w:val="24"/>
                <w:lang w:val="en-US" w:eastAsia="zh-CN" w:bidi="ar"/>
              </w:rPr>
              <w:t>①</w:t>
            </w:r>
            <w:r>
              <w:rPr>
                <w:rFonts w:hint="eastAsia" w:ascii="Times New Roman" w:hAnsi="Times New Roman" w:eastAsia="宋体" w:cs="Times New Roman"/>
                <w:bCs/>
                <w:color w:val="auto"/>
                <w:kern w:val="0"/>
                <w:sz w:val="24"/>
                <w:szCs w:val="24"/>
                <w:lang w:val="en-US" w:eastAsia="zh-CN" w:bidi="ar"/>
              </w:rPr>
              <w:t>现有工程环境风险调查</w:t>
            </w:r>
          </w:p>
          <w:p w14:paraId="71BD9743">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color w:val="auto"/>
                <w:kern w:val="0"/>
                <w:sz w:val="21"/>
                <w:szCs w:val="21"/>
                <w:lang w:val="en-US" w:eastAsia="zh-CN" w:bidi="ar"/>
              </w:rPr>
            </w:pPr>
            <w:r>
              <w:rPr>
                <w:rFonts w:hint="eastAsia" w:ascii="Times New Roman" w:hAnsi="Times New Roman" w:eastAsia="宋体" w:cs="Times New Roman"/>
                <w:bCs/>
                <w:color w:val="auto"/>
                <w:kern w:val="0"/>
                <w:sz w:val="24"/>
                <w:szCs w:val="24"/>
                <w:lang w:val="en-US" w:eastAsia="zh-CN" w:bidi="ar"/>
              </w:rPr>
              <w:t>根据调查，企业现有工程存在的危险物质主要为</w:t>
            </w:r>
            <w:r>
              <w:rPr>
                <w:rFonts w:hint="default" w:ascii="Times New Roman" w:hAnsi="Times New Roman" w:cs="Times New Roman"/>
                <w:color w:val="auto"/>
                <w:kern w:val="2"/>
              </w:rPr>
              <w:t>密封胶、清洗剂、液压油、润滑油、变速箱油、</w:t>
            </w:r>
            <w:r>
              <w:rPr>
                <w:rFonts w:hint="eastAsia" w:ascii="Times New Roman" w:hAnsi="Times New Roman" w:cs="Times New Roman"/>
                <w:color w:val="auto"/>
                <w:kern w:val="2"/>
              </w:rPr>
              <w:t>废包装桶</w:t>
            </w:r>
            <w:r>
              <w:rPr>
                <w:rFonts w:hint="eastAsia" w:ascii="Times New Roman" w:hAnsi="Times New Roman" w:cs="Times New Roman"/>
                <w:color w:val="auto"/>
                <w:kern w:val="2"/>
                <w:lang w:eastAsia="zh-CN"/>
              </w:rPr>
              <w:t>、</w:t>
            </w:r>
            <w:r>
              <w:rPr>
                <w:rFonts w:hint="default" w:ascii="Times New Roman" w:hAnsi="Times New Roman" w:cs="Times New Roman"/>
                <w:color w:val="auto"/>
                <w:kern w:val="2"/>
              </w:rPr>
              <w:t>废润滑油、</w:t>
            </w:r>
            <w:r>
              <w:rPr>
                <w:rFonts w:hint="eastAsia" w:ascii="Times New Roman" w:hAnsi="Times New Roman" w:cs="Times New Roman"/>
                <w:color w:val="auto"/>
                <w:kern w:val="2"/>
              </w:rPr>
              <w:t>含油抹布、废胶管、废活性炭</w:t>
            </w:r>
            <w:r>
              <w:rPr>
                <w:rFonts w:hint="eastAsia" w:ascii="Times New Roman" w:hAnsi="Times New Roman" w:cs="Times New Roman"/>
                <w:color w:val="auto"/>
                <w:kern w:val="2"/>
                <w:lang w:eastAsia="zh-CN"/>
              </w:rPr>
              <w:t>、</w:t>
            </w:r>
            <w:r>
              <w:rPr>
                <w:rFonts w:hint="default" w:ascii="Times New Roman" w:hAnsi="Times New Roman" w:cs="Times New Roman"/>
                <w:color w:val="auto"/>
                <w:kern w:val="2"/>
              </w:rPr>
              <w:t>碳氢清洗蒸馏废液</w:t>
            </w:r>
            <w:r>
              <w:rPr>
                <w:rFonts w:hint="eastAsia" w:ascii="Times New Roman" w:hAnsi="Times New Roman" w:cs="Times New Roman"/>
                <w:color w:val="auto"/>
                <w:kern w:val="2"/>
                <w:lang w:eastAsia="zh-CN"/>
              </w:rPr>
              <w:t>、</w:t>
            </w:r>
            <w:r>
              <w:rPr>
                <w:rFonts w:hint="default" w:ascii="Times New Roman" w:hAnsi="Times New Roman" w:cs="Times New Roman"/>
                <w:color w:val="auto"/>
                <w:kern w:val="2"/>
              </w:rPr>
              <w:t>废槽液</w:t>
            </w:r>
            <w:r>
              <w:rPr>
                <w:rFonts w:hint="eastAsia" w:ascii="Times New Roman" w:hAnsi="Times New Roman" w:cs="Times New Roman"/>
                <w:color w:val="auto"/>
                <w:kern w:val="2"/>
                <w:lang w:eastAsia="zh-CN"/>
              </w:rPr>
              <w:t>、废</w:t>
            </w:r>
            <w:r>
              <w:rPr>
                <w:rFonts w:hint="eastAsia" w:ascii="Times New Roman" w:hAnsi="Times New Roman" w:cs="Times New Roman"/>
                <w:color w:val="auto"/>
                <w:kern w:val="2"/>
                <w:lang w:val="en-US" w:eastAsia="zh-CN"/>
              </w:rPr>
              <w:t>滤芯</w:t>
            </w:r>
            <w:r>
              <w:rPr>
                <w:rFonts w:hint="eastAsia" w:ascii="Times New Roman" w:hAnsi="Times New Roman" w:eastAsia="宋体" w:cs="Times New Roman"/>
                <w:bCs/>
                <w:color w:val="auto"/>
                <w:kern w:val="0"/>
                <w:sz w:val="24"/>
                <w:szCs w:val="24"/>
                <w:lang w:val="en-US" w:eastAsia="zh-CN" w:bidi="ar"/>
              </w:rPr>
              <w:t>，现有工程主要危险物质数量及分布情况详见下表</w:t>
            </w:r>
            <w:r>
              <w:rPr>
                <w:rFonts w:hint="eastAsia" w:ascii="宋体" w:hAnsi="宋体" w:eastAsia="宋体" w:cs="宋体"/>
                <w:color w:val="auto"/>
                <w:kern w:val="0"/>
                <w:sz w:val="21"/>
                <w:szCs w:val="21"/>
                <w:lang w:val="en-US" w:eastAsia="zh-CN" w:bidi="ar"/>
              </w:rPr>
              <w:t>。</w:t>
            </w:r>
          </w:p>
          <w:p w14:paraId="7289AD48">
            <w:pPr>
              <w:pStyle w:val="12"/>
              <w:keepNext w:val="0"/>
              <w:keepLines w:val="0"/>
              <w:widowControl/>
              <w:suppressLineNumbers w:val="0"/>
              <w:spacing w:before="0" w:beforeAutospacing="0" w:after="0" w:afterAutospacing="0"/>
              <w:ind w:left="0" w:right="0"/>
              <w:rPr>
                <w:rFonts w:hint="eastAsia" w:ascii="宋体" w:hAnsi="宋体" w:eastAsia="宋体" w:cs="宋体"/>
                <w:color w:val="auto"/>
                <w:kern w:val="0"/>
                <w:sz w:val="21"/>
                <w:szCs w:val="21"/>
                <w:lang w:val="en-US" w:eastAsia="zh-CN" w:bidi="ar"/>
              </w:rPr>
            </w:pPr>
          </w:p>
          <w:p w14:paraId="7A141579">
            <w:pPr>
              <w:keepNext w:val="0"/>
              <w:keepLines w:val="0"/>
              <w:widowControl/>
              <w:suppressLineNumbers w:val="0"/>
              <w:spacing w:before="0" w:beforeAutospacing="0" w:after="0" w:afterAutospacing="0"/>
              <w:ind w:left="0" w:right="0"/>
              <w:rPr>
                <w:rFonts w:hint="eastAsia" w:ascii="宋体" w:hAnsi="宋体" w:eastAsia="宋体" w:cs="宋体"/>
                <w:color w:val="auto"/>
                <w:kern w:val="0"/>
                <w:sz w:val="21"/>
                <w:szCs w:val="21"/>
                <w:lang w:val="en-US" w:eastAsia="zh-CN" w:bidi="ar"/>
              </w:rPr>
            </w:pPr>
          </w:p>
          <w:p w14:paraId="496200B6">
            <w:pPr>
              <w:pStyle w:val="12"/>
              <w:keepNext w:val="0"/>
              <w:keepLines w:val="0"/>
              <w:widowControl/>
              <w:suppressLineNumbers w:val="0"/>
              <w:spacing w:before="0" w:beforeAutospacing="0" w:after="0" w:afterAutospacing="0"/>
              <w:ind w:left="0" w:right="0"/>
              <w:rPr>
                <w:rFonts w:hint="eastAsia" w:ascii="宋体" w:hAnsi="宋体" w:eastAsia="宋体" w:cs="宋体"/>
                <w:color w:val="auto"/>
                <w:kern w:val="0"/>
                <w:sz w:val="21"/>
                <w:szCs w:val="21"/>
                <w:lang w:val="en-US" w:eastAsia="zh-CN" w:bidi="ar"/>
              </w:rPr>
            </w:pPr>
          </w:p>
          <w:p w14:paraId="67BCC192">
            <w:pPr>
              <w:pStyle w:val="12"/>
              <w:keepNext w:val="0"/>
              <w:keepLines w:val="0"/>
              <w:widowControl/>
              <w:suppressLineNumbers w:val="0"/>
              <w:spacing w:before="0" w:beforeAutospacing="0" w:after="0" w:afterAutospacing="0"/>
              <w:ind w:left="0" w:leftChars="0" w:right="0" w:firstLine="0" w:firstLineChars="0"/>
              <w:rPr>
                <w:rFonts w:hint="eastAsia" w:ascii="宋体" w:hAnsi="宋体" w:eastAsia="宋体" w:cs="宋体"/>
                <w:color w:val="auto"/>
                <w:kern w:val="0"/>
                <w:sz w:val="21"/>
                <w:szCs w:val="21"/>
                <w:lang w:val="en-US" w:eastAsia="zh-CN" w:bidi="ar"/>
              </w:rPr>
            </w:pPr>
          </w:p>
          <w:p w14:paraId="47F789AF">
            <w:pPr>
              <w:keepNext w:val="0"/>
              <w:keepLines w:val="0"/>
              <w:widowControl/>
              <w:suppressLineNumbers w:val="0"/>
              <w:spacing w:before="0" w:beforeAutospacing="0" w:after="0" w:afterAutospacing="0"/>
              <w:ind w:left="0" w:right="0"/>
              <w:rPr>
                <w:rFonts w:hint="default"/>
                <w:color w:val="auto"/>
                <w:kern w:val="2"/>
                <w:lang w:val="en-US"/>
              </w:rPr>
            </w:pPr>
          </w:p>
          <w:p w14:paraId="032812DE">
            <w:pPr>
              <w:keepNext w:val="0"/>
              <w:keepLines w:val="0"/>
              <w:widowControl/>
              <w:suppressLineNumbers w:val="0"/>
              <w:autoSpaceDE w:val="0"/>
              <w:autoSpaceDN w:val="0"/>
              <w:spacing w:before="0" w:beforeAutospacing="0" w:after="0" w:afterAutospacing="0" w:line="360" w:lineRule="auto"/>
              <w:ind w:left="0" w:right="0"/>
              <w:jc w:val="center"/>
              <w:rPr>
                <w:rFonts w:hint="default" w:ascii="Times New Roman" w:hAnsi="Times New Roman" w:eastAsia="黑体" w:cs="Times New Roman"/>
                <w:color w:val="auto"/>
                <w:kern w:val="2"/>
                <w:lang w:val="en-US"/>
              </w:rPr>
            </w:pPr>
            <w:r>
              <w:rPr>
                <w:rFonts w:hint="eastAsia" w:ascii="Times New Roman" w:hAnsi="宋体" w:eastAsia="黑体" w:cs="Times New Roman"/>
                <w:bCs/>
                <w:color w:val="auto"/>
                <w:kern w:val="0"/>
                <w:sz w:val="24"/>
                <w:szCs w:val="24"/>
                <w:lang w:val="en-US" w:eastAsia="zh-CN" w:bidi="ar"/>
              </w:rPr>
              <w:t>表</w:t>
            </w:r>
            <w:r>
              <w:rPr>
                <w:rFonts w:hint="default" w:ascii="Times New Roman" w:hAnsi="Times New Roman" w:eastAsia="黑体" w:cs="Times New Roman"/>
                <w:bCs/>
                <w:color w:val="auto"/>
                <w:kern w:val="0"/>
                <w:sz w:val="24"/>
                <w:szCs w:val="24"/>
                <w:lang w:val="en-US" w:eastAsia="zh-CN" w:bidi="ar"/>
              </w:rPr>
              <w:t>4-1</w:t>
            </w:r>
            <w:r>
              <w:rPr>
                <w:rFonts w:hint="eastAsia" w:ascii="Times New Roman" w:hAnsi="Times New Roman" w:eastAsia="黑体" w:cs="Times New Roman"/>
                <w:bCs/>
                <w:color w:val="auto"/>
                <w:kern w:val="0"/>
                <w:sz w:val="24"/>
                <w:szCs w:val="24"/>
                <w:lang w:val="en-US" w:eastAsia="zh-CN" w:bidi="ar"/>
              </w:rPr>
              <w:t>3</w:t>
            </w:r>
            <w:r>
              <w:rPr>
                <w:rFonts w:hint="default" w:ascii="Times New Roman" w:hAnsi="Times New Roman" w:eastAsia="黑体" w:cs="Times New Roman"/>
                <w:bCs/>
                <w:color w:val="auto"/>
                <w:kern w:val="0"/>
                <w:sz w:val="24"/>
                <w:szCs w:val="24"/>
                <w:lang w:val="en-US" w:eastAsia="zh-CN" w:bidi="ar"/>
              </w:rPr>
              <w:t xml:space="preserve">  </w:t>
            </w:r>
            <w:r>
              <w:rPr>
                <w:rFonts w:hint="eastAsia" w:ascii="Times New Roman" w:hAnsi="Times New Roman" w:eastAsia="黑体" w:cs="Times New Roman"/>
                <w:bCs/>
                <w:color w:val="auto"/>
                <w:kern w:val="0"/>
                <w:sz w:val="24"/>
                <w:szCs w:val="24"/>
                <w:lang w:val="en-US" w:eastAsia="zh-CN" w:bidi="ar"/>
              </w:rPr>
              <w:t>项目危险物质最大存在量与临界量的比值（</w:t>
            </w:r>
            <w:r>
              <w:rPr>
                <w:rFonts w:hint="default" w:ascii="Times New Roman" w:hAnsi="Times New Roman" w:eastAsia="黑体" w:cs="Times New Roman"/>
                <w:bCs/>
                <w:color w:val="auto"/>
                <w:kern w:val="0"/>
                <w:sz w:val="24"/>
                <w:szCs w:val="24"/>
                <w:lang w:val="en-US" w:eastAsia="zh-CN" w:bidi="ar"/>
              </w:rPr>
              <w:t>Q</w:t>
            </w:r>
            <w:r>
              <w:rPr>
                <w:rFonts w:hint="eastAsia" w:ascii="Times New Roman" w:hAnsi="Times New Roman" w:eastAsia="黑体" w:cs="Times New Roman"/>
                <w:bCs/>
                <w:color w:val="auto"/>
                <w:kern w:val="0"/>
                <w:sz w:val="24"/>
                <w:szCs w:val="24"/>
                <w:lang w:val="en-US" w:eastAsia="zh-CN" w:bidi="ar"/>
              </w:rPr>
              <w:t>）</w:t>
            </w:r>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57"/>
              <w:gridCol w:w="707"/>
              <w:gridCol w:w="1282"/>
              <w:gridCol w:w="1675"/>
              <w:gridCol w:w="1026"/>
              <w:gridCol w:w="1156"/>
              <w:gridCol w:w="969"/>
            </w:tblGrid>
            <w:tr w14:paraId="495EE0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00" w:type="pct"/>
                  <w:vAlign w:val="center"/>
                </w:tcPr>
                <w:p w14:paraId="0393A6D6">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物质名称</w:t>
                  </w:r>
                </w:p>
              </w:tc>
              <w:tc>
                <w:tcPr>
                  <w:tcW w:w="467" w:type="pct"/>
                  <w:vAlign w:val="center"/>
                </w:tcPr>
                <w:p w14:paraId="20D29445">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最大储存量（t）</w:t>
                  </w:r>
                </w:p>
              </w:tc>
              <w:tc>
                <w:tcPr>
                  <w:tcW w:w="846" w:type="pct"/>
                  <w:vAlign w:val="center"/>
                </w:tcPr>
                <w:p w14:paraId="4DE1CB94">
                  <w:pPr>
                    <w:keepNext w:val="0"/>
                    <w:keepLines w:val="0"/>
                    <w:widowControl/>
                    <w:suppressLineNumbers w:val="0"/>
                    <w:autoSpaceDE w:val="0"/>
                    <w:autoSpaceDN w:val="0"/>
                    <w:spacing w:before="0" w:beforeAutospacing="0" w:after="0" w:afterAutospacing="0" w:line="276" w:lineRule="auto"/>
                    <w:ind w:left="0" w:right="0"/>
                    <w:jc w:val="center"/>
                    <w:rPr>
                      <w:rFonts w:hint="eastAsia" w:ascii="Times New Roman" w:hAnsi="Times New Roman" w:eastAsia="宋体"/>
                      <w:b/>
                      <w:bCs/>
                      <w:color w:val="auto"/>
                      <w:kern w:val="2"/>
                      <w:sz w:val="21"/>
                      <w:szCs w:val="21"/>
                      <w:lang w:val="en-US" w:eastAsia="zh-CN"/>
                    </w:rPr>
                  </w:pPr>
                  <w:r>
                    <w:rPr>
                      <w:rFonts w:hint="eastAsia" w:ascii="Times New Roman" w:hAnsi="Times New Roman"/>
                      <w:b/>
                      <w:bCs/>
                      <w:color w:val="auto"/>
                      <w:kern w:val="2"/>
                      <w:sz w:val="21"/>
                      <w:szCs w:val="21"/>
                      <w:lang w:val="en-US" w:eastAsia="zh-CN"/>
                    </w:rPr>
                    <w:t>在线量</w:t>
                  </w:r>
                  <w:r>
                    <w:rPr>
                      <w:rFonts w:hint="default" w:ascii="Times New Roman" w:hAnsi="Times New Roman"/>
                      <w:b/>
                      <w:bCs/>
                      <w:color w:val="auto"/>
                      <w:kern w:val="2"/>
                      <w:sz w:val="21"/>
                      <w:szCs w:val="21"/>
                    </w:rPr>
                    <w:t>（t）</w:t>
                  </w:r>
                </w:p>
              </w:tc>
              <w:tc>
                <w:tcPr>
                  <w:tcW w:w="1106" w:type="pct"/>
                  <w:vAlign w:val="center"/>
                </w:tcPr>
                <w:p w14:paraId="47A01049">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临界量依据</w:t>
                  </w:r>
                </w:p>
              </w:tc>
              <w:tc>
                <w:tcPr>
                  <w:tcW w:w="676" w:type="pct"/>
                  <w:vAlign w:val="center"/>
                </w:tcPr>
                <w:p w14:paraId="25217516">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color w:val="auto"/>
                      <w:kern w:val="2"/>
                      <w:sz w:val="21"/>
                      <w:szCs w:val="21"/>
                    </w:rPr>
                    <w:t>临界量</w:t>
                  </w:r>
                  <w:r>
                    <w:rPr>
                      <w:rFonts w:hint="default" w:ascii="Times New Roman" w:hAnsi="Times New Roman"/>
                      <w:b/>
                      <w:bCs/>
                      <w:color w:val="auto"/>
                      <w:kern w:val="2"/>
                      <w:sz w:val="21"/>
                      <w:szCs w:val="21"/>
                    </w:rPr>
                    <w:t>（t）</w:t>
                  </w:r>
                </w:p>
              </w:tc>
              <w:tc>
                <w:tcPr>
                  <w:tcW w:w="763" w:type="pct"/>
                  <w:vAlign w:val="center"/>
                </w:tcPr>
                <w:p w14:paraId="45CB8428">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Q值</w:t>
                  </w:r>
                </w:p>
              </w:tc>
              <w:tc>
                <w:tcPr>
                  <w:tcW w:w="639" w:type="pct"/>
                  <w:vAlign w:val="center"/>
                </w:tcPr>
                <w:p w14:paraId="613A964F">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贮存位置</w:t>
                  </w:r>
                </w:p>
              </w:tc>
            </w:tr>
            <w:tr w14:paraId="6A0209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00" w:type="pct"/>
                  <w:vAlign w:val="center"/>
                </w:tcPr>
                <w:p w14:paraId="5911A4CD">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N，N-二甲基邻甲苯胺（密封胶含量1%）</w:t>
                  </w:r>
                </w:p>
              </w:tc>
              <w:tc>
                <w:tcPr>
                  <w:tcW w:w="467" w:type="pct"/>
                  <w:vAlign w:val="center"/>
                </w:tcPr>
                <w:p w14:paraId="3801C2B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bCs/>
                      <w:color w:val="auto"/>
                      <w:kern w:val="2"/>
                      <w:sz w:val="21"/>
                      <w:szCs w:val="21"/>
                    </w:rPr>
                  </w:pPr>
                  <w:r>
                    <w:rPr>
                      <w:rFonts w:hint="default" w:ascii="Times New Roman" w:hAnsi="Times New Roman" w:cs="Times New Roman"/>
                      <w:color w:val="auto"/>
                      <w:kern w:val="2"/>
                      <w:sz w:val="21"/>
                      <w:szCs w:val="21"/>
                    </w:rPr>
                    <w:t>0.002</w:t>
                  </w:r>
                </w:p>
              </w:tc>
              <w:tc>
                <w:tcPr>
                  <w:tcW w:w="846" w:type="pct"/>
                  <w:vAlign w:val="center"/>
                </w:tcPr>
                <w:p w14:paraId="6D6A8460">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w:t>
                  </w:r>
                </w:p>
              </w:tc>
              <w:tc>
                <w:tcPr>
                  <w:tcW w:w="1106" w:type="pct"/>
                  <w:vMerge w:val="restart"/>
                  <w:vAlign w:val="center"/>
                </w:tcPr>
                <w:p w14:paraId="3BB24AFB">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bCs/>
                      <w:color w:val="auto"/>
                      <w:kern w:val="2"/>
                      <w:sz w:val="21"/>
                      <w:szCs w:val="21"/>
                    </w:rPr>
                    <w:t>《建设项目环境风险评价技术导则》（HJ169-2018）附录B.1</w:t>
                  </w:r>
                </w:p>
              </w:tc>
              <w:tc>
                <w:tcPr>
                  <w:tcW w:w="676" w:type="pct"/>
                  <w:vAlign w:val="center"/>
                </w:tcPr>
                <w:p w14:paraId="4F25600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b/>
                      <w:color w:val="auto"/>
                      <w:kern w:val="2"/>
                      <w:sz w:val="21"/>
                      <w:szCs w:val="21"/>
                    </w:rPr>
                  </w:pPr>
                  <w:r>
                    <w:rPr>
                      <w:rFonts w:hint="default" w:ascii="Times New Roman" w:hAnsi="Times New Roman" w:cs="Times New Roman"/>
                      <w:color w:val="auto"/>
                      <w:kern w:val="2"/>
                      <w:sz w:val="21"/>
                      <w:szCs w:val="21"/>
                    </w:rPr>
                    <w:t>7.5</w:t>
                  </w:r>
                </w:p>
              </w:tc>
              <w:tc>
                <w:tcPr>
                  <w:tcW w:w="763" w:type="pct"/>
                  <w:vAlign w:val="center"/>
                </w:tcPr>
                <w:p w14:paraId="6B32E2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bCs/>
                      <w:color w:val="auto"/>
                      <w:kern w:val="2"/>
                      <w:sz w:val="21"/>
                      <w:szCs w:val="21"/>
                    </w:rPr>
                  </w:pPr>
                  <w:r>
                    <w:rPr>
                      <w:rFonts w:hint="default" w:ascii="Times New Roman" w:hAnsi="Times New Roman" w:cs="Times New Roman"/>
                      <w:color w:val="auto"/>
                      <w:kern w:val="2"/>
                      <w:sz w:val="21"/>
                      <w:szCs w:val="21"/>
                    </w:rPr>
                    <w:t>0.000267</w:t>
                  </w:r>
                </w:p>
              </w:tc>
              <w:tc>
                <w:tcPr>
                  <w:tcW w:w="639" w:type="pct"/>
                  <w:vMerge w:val="restart"/>
                  <w:vAlign w:val="center"/>
                </w:tcPr>
                <w:p w14:paraId="51683D0E">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eastAsia" w:ascii="Times New Roman" w:hAnsi="Times New Roman"/>
                      <w:bCs/>
                      <w:color w:val="auto"/>
                      <w:kern w:val="2"/>
                      <w:sz w:val="21"/>
                      <w:szCs w:val="21"/>
                    </w:rPr>
                    <w:t>化学品仓库</w:t>
                  </w:r>
                </w:p>
              </w:tc>
            </w:tr>
            <w:tr w14:paraId="41E09B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55" w:hRule="atLeast"/>
                <w:jc w:val="center"/>
              </w:trPr>
              <w:tc>
                <w:tcPr>
                  <w:tcW w:w="500" w:type="pct"/>
                  <w:vAlign w:val="center"/>
                </w:tcPr>
                <w:p w14:paraId="01BBDB7C">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碳氢清洗剂</w:t>
                  </w:r>
                </w:p>
              </w:tc>
              <w:tc>
                <w:tcPr>
                  <w:tcW w:w="467" w:type="pct"/>
                  <w:vAlign w:val="center"/>
                </w:tcPr>
                <w:p w14:paraId="4017D59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s="Times New Roman"/>
                      <w:color w:val="auto"/>
                      <w:kern w:val="2"/>
                      <w:sz w:val="21"/>
                      <w:szCs w:val="21"/>
                    </w:rPr>
                    <w:t>0.5</w:t>
                  </w:r>
                </w:p>
              </w:tc>
              <w:tc>
                <w:tcPr>
                  <w:tcW w:w="846" w:type="pct"/>
                  <w:vAlign w:val="center"/>
                </w:tcPr>
                <w:p w14:paraId="27E7768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2"/>
                      <w:sz w:val="21"/>
                      <w:szCs w:val="21"/>
                    </w:rPr>
                  </w:pPr>
                  <w:r>
                    <w:rPr>
                      <w:rFonts w:hint="eastAsia" w:ascii="Times New Roman" w:hAnsi="Times New Roman" w:cs="Times New Roman"/>
                      <w:color w:val="auto"/>
                      <w:kern w:val="2"/>
                      <w:sz w:val="21"/>
                      <w:szCs w:val="21"/>
                      <w:lang w:val="en-US" w:eastAsia="zh-CN"/>
                    </w:rPr>
                    <w:t>3个清洗槽</w:t>
                  </w:r>
                  <w:r>
                    <w:rPr>
                      <w:rFonts w:hint="default" w:ascii="Times New Roman" w:hAnsi="Times New Roman" w:cs="Times New Roman"/>
                      <w:color w:val="auto"/>
                      <w:kern w:val="2"/>
                      <w:sz w:val="21"/>
                      <w:szCs w:val="21"/>
                    </w:rPr>
                    <w:t>容积</w:t>
                  </w:r>
                  <w:r>
                    <w:rPr>
                      <w:rFonts w:hint="eastAsia" w:ascii="Times New Roman" w:hAnsi="Times New Roman" w:cs="Times New Roman"/>
                      <w:color w:val="auto"/>
                      <w:kern w:val="2"/>
                      <w:sz w:val="21"/>
                      <w:szCs w:val="21"/>
                      <w:lang w:val="en-US" w:eastAsia="zh-CN"/>
                    </w:rPr>
                    <w:t>均</w:t>
                  </w:r>
                  <w:r>
                    <w:rPr>
                      <w:rFonts w:hint="default" w:ascii="Times New Roman" w:hAnsi="Times New Roman" w:cs="Times New Roman"/>
                      <w:color w:val="auto"/>
                      <w:kern w:val="2"/>
                      <w:sz w:val="21"/>
                      <w:szCs w:val="21"/>
                    </w:rPr>
                    <w:t>为0.5</w:t>
                  </w:r>
                  <w:r>
                    <w:rPr>
                      <w:rFonts w:hint="eastAsia" w:ascii="Times New Roman" w:hAnsi="Times New Roman" w:cs="Times New Roman"/>
                      <w:color w:val="auto"/>
                      <w:kern w:val="2"/>
                      <w:sz w:val="21"/>
                      <w:szCs w:val="21"/>
                      <w:lang w:val="en-US" w:eastAsia="zh-CN"/>
                    </w:rPr>
                    <w:t>4</w:t>
                  </w:r>
                  <w:r>
                    <w:rPr>
                      <w:rFonts w:hint="default" w:ascii="Times New Roman" w:hAnsi="Times New Roman" w:cs="Times New Roman"/>
                      <w:color w:val="auto"/>
                      <w:kern w:val="2"/>
                      <w:sz w:val="21"/>
                      <w:szCs w:val="21"/>
                    </w:rPr>
                    <w:t>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，全为</w:t>
                  </w:r>
                  <w:r>
                    <w:rPr>
                      <w:rFonts w:hint="default" w:ascii="Times New Roman" w:hAnsi="Times New Roman"/>
                      <w:color w:val="auto"/>
                      <w:kern w:val="2"/>
                      <w:sz w:val="21"/>
                      <w:szCs w:val="21"/>
                    </w:rPr>
                    <w:t>碳氢清洗剂</w:t>
                  </w:r>
                  <w:r>
                    <w:rPr>
                      <w:rFonts w:hint="default" w:ascii="Times New Roman" w:hAnsi="Times New Roman" w:cs="Times New Roman"/>
                      <w:color w:val="auto"/>
                      <w:kern w:val="2"/>
                      <w:sz w:val="21"/>
                      <w:szCs w:val="21"/>
                    </w:rPr>
                    <w:t>，</w:t>
                  </w:r>
                  <w:r>
                    <w:rPr>
                      <w:rFonts w:hint="default" w:ascii="Times New Roman" w:hAnsi="Times New Roman"/>
                      <w:color w:val="auto"/>
                      <w:kern w:val="2"/>
                      <w:sz w:val="21"/>
                      <w:szCs w:val="21"/>
                    </w:rPr>
                    <w:t>碳氢清洗剂</w:t>
                  </w:r>
                  <w:r>
                    <w:rPr>
                      <w:rFonts w:hint="default" w:ascii="Times New Roman" w:hAnsi="Times New Roman" w:cs="Times New Roman"/>
                      <w:color w:val="auto"/>
                      <w:kern w:val="2"/>
                      <w:sz w:val="21"/>
                      <w:szCs w:val="21"/>
                    </w:rPr>
                    <w:t>密度为0.</w:t>
                  </w:r>
                  <w:r>
                    <w:rPr>
                      <w:rFonts w:hint="eastAsia" w:ascii="Times New Roman" w:hAnsi="Times New Roman" w:cs="Times New Roman"/>
                      <w:color w:val="auto"/>
                      <w:kern w:val="2"/>
                      <w:sz w:val="21"/>
                      <w:szCs w:val="21"/>
                      <w:lang w:val="en-US" w:eastAsia="zh-CN"/>
                    </w:rPr>
                    <w:t>65</w:t>
                  </w:r>
                  <w:r>
                    <w:rPr>
                      <w:rFonts w:hint="default" w:ascii="Times New Roman" w:hAnsi="Times New Roman" w:cs="Times New Roman"/>
                      <w:color w:val="auto"/>
                      <w:kern w:val="2"/>
                      <w:sz w:val="21"/>
                      <w:szCs w:val="21"/>
                    </w:rPr>
                    <w:t>g/cm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color w:val="auto"/>
                      <w:kern w:val="2"/>
                      <w:sz w:val="21"/>
                      <w:szCs w:val="21"/>
                    </w:rPr>
                    <w:t>，在线量为</w:t>
                  </w:r>
                  <w:r>
                    <w:rPr>
                      <w:rFonts w:hint="eastAsia" w:ascii="Times New Roman" w:hAnsi="Times New Roman" w:cs="Times New Roman"/>
                      <w:color w:val="auto"/>
                      <w:kern w:val="2"/>
                      <w:sz w:val="21"/>
                      <w:szCs w:val="21"/>
                      <w:lang w:val="en-US" w:eastAsia="zh-CN"/>
                    </w:rPr>
                    <w:t>1.053</w:t>
                  </w:r>
                  <w:r>
                    <w:rPr>
                      <w:rFonts w:hint="default" w:ascii="Times New Roman" w:hAnsi="Times New Roman" w:cs="Times New Roman"/>
                      <w:color w:val="auto"/>
                      <w:kern w:val="2"/>
                      <w:sz w:val="21"/>
                      <w:szCs w:val="21"/>
                    </w:rPr>
                    <w:t>t</w:t>
                  </w:r>
                </w:p>
              </w:tc>
              <w:tc>
                <w:tcPr>
                  <w:tcW w:w="1106" w:type="pct"/>
                  <w:vMerge w:val="continue"/>
                  <w:vAlign w:val="center"/>
                </w:tcPr>
                <w:p w14:paraId="6B739988">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c>
                <w:tcPr>
                  <w:tcW w:w="676" w:type="pct"/>
                  <w:vAlign w:val="center"/>
                </w:tcPr>
                <w:p w14:paraId="318CBFE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bCs/>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10</w:t>
                  </w:r>
                </w:p>
              </w:tc>
              <w:tc>
                <w:tcPr>
                  <w:tcW w:w="763" w:type="pct"/>
                  <w:vAlign w:val="center"/>
                </w:tcPr>
                <w:p w14:paraId="079D887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bCs/>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0.05</w:t>
                  </w:r>
                </w:p>
              </w:tc>
              <w:tc>
                <w:tcPr>
                  <w:tcW w:w="639" w:type="pct"/>
                  <w:vMerge w:val="continue"/>
                  <w:vAlign w:val="center"/>
                </w:tcPr>
                <w:p w14:paraId="0806EA51">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r>
            <w:tr w14:paraId="4969E9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00" w:type="pct"/>
                  <w:vAlign w:val="center"/>
                </w:tcPr>
                <w:p w14:paraId="6A7A696D">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液压油</w:t>
                  </w:r>
                </w:p>
              </w:tc>
              <w:tc>
                <w:tcPr>
                  <w:tcW w:w="467" w:type="pct"/>
                  <w:vAlign w:val="center"/>
                </w:tcPr>
                <w:p w14:paraId="23D442A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s="Times New Roman"/>
                      <w:color w:val="auto"/>
                      <w:kern w:val="2"/>
                      <w:sz w:val="21"/>
                      <w:szCs w:val="21"/>
                    </w:rPr>
                    <w:t>0.03</w:t>
                  </w:r>
                </w:p>
              </w:tc>
              <w:tc>
                <w:tcPr>
                  <w:tcW w:w="846" w:type="pct"/>
                  <w:vAlign w:val="center"/>
                </w:tcPr>
                <w:p w14:paraId="769165C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w:t>
                  </w:r>
                </w:p>
              </w:tc>
              <w:tc>
                <w:tcPr>
                  <w:tcW w:w="1106" w:type="pct"/>
                  <w:vMerge w:val="continue"/>
                  <w:vAlign w:val="center"/>
                </w:tcPr>
                <w:p w14:paraId="2A662BF9">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c>
                <w:tcPr>
                  <w:tcW w:w="676" w:type="pct"/>
                  <w:vAlign w:val="center"/>
                </w:tcPr>
                <w:p w14:paraId="13BDD2F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bCs/>
                      <w:color w:val="auto"/>
                      <w:kern w:val="2"/>
                      <w:sz w:val="21"/>
                      <w:szCs w:val="21"/>
                    </w:rPr>
                  </w:pPr>
                  <w:r>
                    <w:rPr>
                      <w:rFonts w:hint="default" w:ascii="Times New Roman" w:hAnsi="Times New Roman" w:cs="Times New Roman"/>
                      <w:color w:val="auto"/>
                      <w:kern w:val="2"/>
                      <w:sz w:val="21"/>
                      <w:szCs w:val="21"/>
                    </w:rPr>
                    <w:t>2500</w:t>
                  </w:r>
                </w:p>
              </w:tc>
              <w:tc>
                <w:tcPr>
                  <w:tcW w:w="763" w:type="pct"/>
                  <w:vAlign w:val="center"/>
                </w:tcPr>
                <w:p w14:paraId="0307FB1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bCs/>
                      <w:color w:val="auto"/>
                      <w:kern w:val="2"/>
                      <w:sz w:val="21"/>
                      <w:szCs w:val="21"/>
                    </w:rPr>
                  </w:pPr>
                  <w:r>
                    <w:rPr>
                      <w:rFonts w:hint="default" w:ascii="Times New Roman" w:hAnsi="Times New Roman" w:cs="Times New Roman"/>
                      <w:color w:val="auto"/>
                      <w:kern w:val="2"/>
                      <w:sz w:val="21"/>
                      <w:szCs w:val="21"/>
                    </w:rPr>
                    <w:t>0.000012</w:t>
                  </w:r>
                </w:p>
              </w:tc>
              <w:tc>
                <w:tcPr>
                  <w:tcW w:w="639" w:type="pct"/>
                  <w:vMerge w:val="continue"/>
                  <w:vAlign w:val="center"/>
                </w:tcPr>
                <w:p w14:paraId="1E7AD3BD">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r>
            <w:tr w14:paraId="0E2E79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00" w:type="pct"/>
                  <w:vAlign w:val="center"/>
                </w:tcPr>
                <w:p w14:paraId="476C3E7A">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变速箱油</w:t>
                  </w:r>
                </w:p>
              </w:tc>
              <w:tc>
                <w:tcPr>
                  <w:tcW w:w="467" w:type="pct"/>
                  <w:vAlign w:val="center"/>
                </w:tcPr>
                <w:p w14:paraId="783DDAE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s="Times New Roman"/>
                      <w:color w:val="auto"/>
                      <w:kern w:val="2"/>
                      <w:sz w:val="21"/>
                      <w:szCs w:val="21"/>
                    </w:rPr>
                    <w:t>1.5</w:t>
                  </w:r>
                </w:p>
              </w:tc>
              <w:tc>
                <w:tcPr>
                  <w:tcW w:w="846" w:type="pct"/>
                  <w:vAlign w:val="center"/>
                </w:tcPr>
                <w:p w14:paraId="1F07C6BA">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w:t>
                  </w:r>
                </w:p>
              </w:tc>
              <w:tc>
                <w:tcPr>
                  <w:tcW w:w="1106" w:type="pct"/>
                  <w:vMerge w:val="continue"/>
                  <w:vAlign w:val="center"/>
                </w:tcPr>
                <w:p w14:paraId="468FF8EC">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c>
                <w:tcPr>
                  <w:tcW w:w="676" w:type="pct"/>
                  <w:vAlign w:val="center"/>
                </w:tcPr>
                <w:p w14:paraId="52E0886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bCs/>
                      <w:color w:val="auto"/>
                      <w:kern w:val="2"/>
                      <w:sz w:val="21"/>
                      <w:szCs w:val="21"/>
                    </w:rPr>
                  </w:pPr>
                  <w:r>
                    <w:rPr>
                      <w:rFonts w:hint="default" w:ascii="Times New Roman" w:hAnsi="Times New Roman" w:cs="Times New Roman"/>
                      <w:color w:val="auto"/>
                      <w:kern w:val="2"/>
                      <w:sz w:val="21"/>
                      <w:szCs w:val="21"/>
                    </w:rPr>
                    <w:t>2500</w:t>
                  </w:r>
                </w:p>
              </w:tc>
              <w:tc>
                <w:tcPr>
                  <w:tcW w:w="763" w:type="pct"/>
                  <w:vAlign w:val="center"/>
                </w:tcPr>
                <w:p w14:paraId="7DA9D95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bCs/>
                      <w:color w:val="auto"/>
                      <w:kern w:val="2"/>
                      <w:sz w:val="21"/>
                      <w:szCs w:val="21"/>
                    </w:rPr>
                  </w:pPr>
                  <w:r>
                    <w:rPr>
                      <w:rFonts w:hint="default" w:ascii="Times New Roman" w:hAnsi="Times New Roman" w:cs="Times New Roman"/>
                      <w:color w:val="auto"/>
                      <w:kern w:val="2"/>
                      <w:sz w:val="21"/>
                      <w:szCs w:val="21"/>
                    </w:rPr>
                    <w:t>0.006</w:t>
                  </w:r>
                </w:p>
              </w:tc>
              <w:tc>
                <w:tcPr>
                  <w:tcW w:w="639" w:type="pct"/>
                  <w:vMerge w:val="continue"/>
                  <w:vAlign w:val="center"/>
                </w:tcPr>
                <w:p w14:paraId="596FF296">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r>
            <w:tr w14:paraId="6FE2B4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00" w:type="pct"/>
                  <w:vAlign w:val="center"/>
                </w:tcPr>
                <w:p w14:paraId="5031F613">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润滑油</w:t>
                  </w:r>
                </w:p>
              </w:tc>
              <w:tc>
                <w:tcPr>
                  <w:tcW w:w="467" w:type="pct"/>
                  <w:vAlign w:val="center"/>
                </w:tcPr>
                <w:p w14:paraId="40ADC57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s="Times New Roman"/>
                      <w:color w:val="auto"/>
                      <w:kern w:val="2"/>
                      <w:sz w:val="21"/>
                      <w:szCs w:val="21"/>
                    </w:rPr>
                    <w:t>0.03</w:t>
                  </w:r>
                </w:p>
              </w:tc>
              <w:tc>
                <w:tcPr>
                  <w:tcW w:w="846" w:type="pct"/>
                  <w:vAlign w:val="center"/>
                </w:tcPr>
                <w:p w14:paraId="09762734">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w:t>
                  </w:r>
                </w:p>
              </w:tc>
              <w:tc>
                <w:tcPr>
                  <w:tcW w:w="1106" w:type="pct"/>
                  <w:vMerge w:val="continue"/>
                  <w:vAlign w:val="center"/>
                </w:tcPr>
                <w:p w14:paraId="42C3DF91">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c>
                <w:tcPr>
                  <w:tcW w:w="676" w:type="pct"/>
                  <w:vAlign w:val="center"/>
                </w:tcPr>
                <w:p w14:paraId="21C8C58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bCs/>
                      <w:color w:val="auto"/>
                      <w:kern w:val="2"/>
                      <w:sz w:val="21"/>
                      <w:szCs w:val="21"/>
                    </w:rPr>
                  </w:pPr>
                  <w:r>
                    <w:rPr>
                      <w:rFonts w:hint="default" w:ascii="Times New Roman" w:hAnsi="Times New Roman" w:cs="Times New Roman"/>
                      <w:color w:val="auto"/>
                      <w:kern w:val="2"/>
                      <w:sz w:val="21"/>
                      <w:szCs w:val="21"/>
                    </w:rPr>
                    <w:t>2500</w:t>
                  </w:r>
                </w:p>
              </w:tc>
              <w:tc>
                <w:tcPr>
                  <w:tcW w:w="763" w:type="pct"/>
                  <w:vAlign w:val="center"/>
                </w:tcPr>
                <w:p w14:paraId="7D68653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bCs/>
                      <w:color w:val="auto"/>
                      <w:kern w:val="2"/>
                      <w:sz w:val="21"/>
                      <w:szCs w:val="21"/>
                    </w:rPr>
                  </w:pPr>
                  <w:r>
                    <w:rPr>
                      <w:rFonts w:hint="default" w:ascii="Times New Roman" w:hAnsi="Times New Roman" w:cs="Times New Roman"/>
                      <w:color w:val="auto"/>
                      <w:kern w:val="2"/>
                      <w:sz w:val="21"/>
                      <w:szCs w:val="21"/>
                    </w:rPr>
                    <w:t>0.000012</w:t>
                  </w:r>
                </w:p>
              </w:tc>
              <w:tc>
                <w:tcPr>
                  <w:tcW w:w="639" w:type="pct"/>
                  <w:vMerge w:val="continue"/>
                  <w:vAlign w:val="center"/>
                </w:tcPr>
                <w:p w14:paraId="074204DB">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r>
            <w:tr w14:paraId="566DBE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00" w:type="pct"/>
                  <w:shd w:val="clear" w:color="auto" w:fill="auto"/>
                  <w:vAlign w:val="center"/>
                </w:tcPr>
                <w:p w14:paraId="1C3D3871">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碳氢清洗蒸馏废液</w:t>
                  </w:r>
                </w:p>
              </w:tc>
              <w:tc>
                <w:tcPr>
                  <w:tcW w:w="467" w:type="pct"/>
                  <w:shd w:val="clear" w:color="auto" w:fill="auto"/>
                  <w:vAlign w:val="center"/>
                </w:tcPr>
                <w:p w14:paraId="65776D68">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0.575</w:t>
                  </w:r>
                </w:p>
              </w:tc>
              <w:tc>
                <w:tcPr>
                  <w:tcW w:w="846" w:type="pct"/>
                  <w:shd w:val="clear" w:color="auto" w:fill="auto"/>
                  <w:vAlign w:val="center"/>
                </w:tcPr>
                <w:p w14:paraId="6F7B015F">
                  <w:pPr>
                    <w:keepNext w:val="0"/>
                    <w:keepLines w:val="0"/>
                    <w:widowControl/>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rPr>
                    <w:t>/</w:t>
                  </w:r>
                </w:p>
              </w:tc>
              <w:tc>
                <w:tcPr>
                  <w:tcW w:w="1106" w:type="pct"/>
                  <w:vMerge w:val="continue"/>
                  <w:vAlign w:val="center"/>
                </w:tcPr>
                <w:p w14:paraId="06C152AD">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c>
                <w:tcPr>
                  <w:tcW w:w="676" w:type="pct"/>
                  <w:vAlign w:val="center"/>
                </w:tcPr>
                <w:p w14:paraId="4C347D1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10</w:t>
                  </w:r>
                </w:p>
              </w:tc>
              <w:tc>
                <w:tcPr>
                  <w:tcW w:w="763" w:type="pct"/>
                  <w:vAlign w:val="center"/>
                </w:tcPr>
                <w:p w14:paraId="5BD969F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0.0575</w:t>
                  </w:r>
                </w:p>
              </w:tc>
              <w:tc>
                <w:tcPr>
                  <w:tcW w:w="639" w:type="pct"/>
                  <w:vMerge w:val="restart"/>
                  <w:vAlign w:val="center"/>
                </w:tcPr>
                <w:p w14:paraId="4766B50C">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危废暂存间</w:t>
                  </w:r>
                </w:p>
              </w:tc>
            </w:tr>
            <w:tr w14:paraId="3BCA3B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00" w:type="pct"/>
                  <w:shd w:val="clear" w:color="auto" w:fill="auto"/>
                  <w:vAlign w:val="center"/>
                </w:tcPr>
                <w:p w14:paraId="2E72366C">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废槽液</w:t>
                  </w:r>
                </w:p>
              </w:tc>
              <w:tc>
                <w:tcPr>
                  <w:tcW w:w="467" w:type="pct"/>
                  <w:shd w:val="clear" w:color="auto" w:fill="auto"/>
                  <w:vAlign w:val="center"/>
                </w:tcPr>
                <w:p w14:paraId="61E915B0">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rPr>
                    <w:t>1.08</w:t>
                  </w:r>
                </w:p>
              </w:tc>
              <w:tc>
                <w:tcPr>
                  <w:tcW w:w="846" w:type="pct"/>
                  <w:shd w:val="clear" w:color="auto" w:fill="auto"/>
                  <w:vAlign w:val="center"/>
                </w:tcPr>
                <w:p w14:paraId="6E6621E5">
                  <w:pPr>
                    <w:keepNext w:val="0"/>
                    <w:keepLines w:val="0"/>
                    <w:widowControl/>
                    <w:suppressLineNumbers w:val="0"/>
                    <w:adjustRightInd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rPr>
                    <w:t>/</w:t>
                  </w:r>
                </w:p>
              </w:tc>
              <w:tc>
                <w:tcPr>
                  <w:tcW w:w="1106" w:type="pct"/>
                  <w:vMerge w:val="continue"/>
                  <w:vAlign w:val="center"/>
                </w:tcPr>
                <w:p w14:paraId="28D8492B">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c>
                <w:tcPr>
                  <w:tcW w:w="676" w:type="pct"/>
                  <w:vAlign w:val="center"/>
                </w:tcPr>
                <w:p w14:paraId="7E7EC22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10</w:t>
                  </w:r>
                </w:p>
              </w:tc>
              <w:tc>
                <w:tcPr>
                  <w:tcW w:w="763" w:type="pct"/>
                  <w:vAlign w:val="center"/>
                </w:tcPr>
                <w:p w14:paraId="2F2F7B4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0.108</w:t>
                  </w:r>
                </w:p>
              </w:tc>
              <w:tc>
                <w:tcPr>
                  <w:tcW w:w="639" w:type="pct"/>
                  <w:vMerge w:val="continue"/>
                  <w:vAlign w:val="center"/>
                </w:tcPr>
                <w:p w14:paraId="3F585582">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r>
            <w:tr w14:paraId="083D78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500" w:type="pct"/>
                  <w:vAlign w:val="center"/>
                </w:tcPr>
                <w:p w14:paraId="169E4B63">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olor w:val="auto"/>
                      <w:kern w:val="2"/>
                      <w:sz w:val="21"/>
                      <w:szCs w:val="21"/>
                    </w:rPr>
                    <w:t>废</w:t>
                  </w:r>
                  <w:r>
                    <w:rPr>
                      <w:rFonts w:hint="eastAsia" w:ascii="Times New Roman" w:hAnsi="Times New Roman"/>
                      <w:color w:val="auto"/>
                      <w:kern w:val="2"/>
                      <w:sz w:val="21"/>
                      <w:szCs w:val="21"/>
                    </w:rPr>
                    <w:t>包装</w:t>
                  </w:r>
                  <w:r>
                    <w:rPr>
                      <w:rFonts w:hint="default" w:ascii="Times New Roman" w:hAnsi="Times New Roman"/>
                      <w:color w:val="auto"/>
                      <w:kern w:val="2"/>
                      <w:sz w:val="21"/>
                      <w:szCs w:val="21"/>
                    </w:rPr>
                    <w:t>桶</w:t>
                  </w:r>
                </w:p>
              </w:tc>
              <w:tc>
                <w:tcPr>
                  <w:tcW w:w="467" w:type="pct"/>
                  <w:vAlign w:val="center"/>
                </w:tcPr>
                <w:p w14:paraId="7E9AA6E3">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olor w:val="auto"/>
                      <w:kern w:val="2"/>
                      <w:sz w:val="21"/>
                      <w:szCs w:val="21"/>
                    </w:rPr>
                    <w:t>0.</w:t>
                  </w:r>
                  <w:r>
                    <w:rPr>
                      <w:rFonts w:hint="eastAsia" w:ascii="Times New Roman" w:hAnsi="Times New Roman"/>
                      <w:color w:val="auto"/>
                      <w:kern w:val="2"/>
                      <w:sz w:val="21"/>
                      <w:szCs w:val="21"/>
                    </w:rPr>
                    <w:t>15</w:t>
                  </w:r>
                </w:p>
              </w:tc>
              <w:tc>
                <w:tcPr>
                  <w:tcW w:w="846" w:type="pct"/>
                  <w:vAlign w:val="center"/>
                </w:tcPr>
                <w:p w14:paraId="1B74E632">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w:t>
                  </w:r>
                </w:p>
              </w:tc>
              <w:tc>
                <w:tcPr>
                  <w:tcW w:w="1106" w:type="pct"/>
                  <w:vMerge w:val="restart"/>
                  <w:vAlign w:val="center"/>
                </w:tcPr>
                <w:p w14:paraId="0014EA99">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《建设项目环境风险评价技术导则》（HJ169-2018）附录B.2中的健康危险急性毒性物质（类别2，类别3）</w:t>
                  </w:r>
                </w:p>
              </w:tc>
              <w:tc>
                <w:tcPr>
                  <w:tcW w:w="676" w:type="pct"/>
                  <w:vAlign w:val="center"/>
                </w:tcPr>
                <w:p w14:paraId="6B834A70">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50</w:t>
                  </w:r>
                </w:p>
              </w:tc>
              <w:tc>
                <w:tcPr>
                  <w:tcW w:w="763" w:type="pct"/>
                  <w:vAlign w:val="center"/>
                </w:tcPr>
                <w:p w14:paraId="57E4A27E">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0.003</w:t>
                  </w:r>
                </w:p>
              </w:tc>
              <w:tc>
                <w:tcPr>
                  <w:tcW w:w="639" w:type="pct"/>
                  <w:vMerge w:val="continue"/>
                  <w:vAlign w:val="center"/>
                </w:tcPr>
                <w:p w14:paraId="7B1DF18A">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r>
            <w:tr w14:paraId="35D986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2" w:hRule="atLeast"/>
                <w:jc w:val="center"/>
              </w:trPr>
              <w:tc>
                <w:tcPr>
                  <w:tcW w:w="500" w:type="pct"/>
                  <w:vAlign w:val="center"/>
                </w:tcPr>
                <w:p w14:paraId="48660FD4">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废</w:t>
                  </w:r>
                  <w:r>
                    <w:rPr>
                      <w:rFonts w:hint="eastAsia" w:ascii="Times New Roman" w:hAnsi="Times New Roman"/>
                      <w:color w:val="auto"/>
                      <w:kern w:val="2"/>
                      <w:sz w:val="21"/>
                      <w:szCs w:val="21"/>
                    </w:rPr>
                    <w:t>润滑</w:t>
                  </w:r>
                  <w:r>
                    <w:rPr>
                      <w:rFonts w:hint="default" w:ascii="Times New Roman" w:hAnsi="Times New Roman"/>
                      <w:color w:val="auto"/>
                      <w:kern w:val="2"/>
                      <w:sz w:val="21"/>
                      <w:szCs w:val="21"/>
                    </w:rPr>
                    <w:t>油</w:t>
                  </w:r>
                </w:p>
              </w:tc>
              <w:tc>
                <w:tcPr>
                  <w:tcW w:w="467" w:type="pct"/>
                  <w:shd w:val="clear" w:color="auto" w:fill="auto"/>
                  <w:vAlign w:val="center"/>
                </w:tcPr>
                <w:p w14:paraId="0213F1F7">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olor w:val="auto"/>
                      <w:kern w:val="2"/>
                      <w:sz w:val="21"/>
                      <w:szCs w:val="21"/>
                    </w:rPr>
                    <w:t>0.0</w:t>
                  </w:r>
                  <w:r>
                    <w:rPr>
                      <w:rFonts w:hint="eastAsia" w:ascii="Times New Roman" w:hAnsi="Times New Roman"/>
                      <w:color w:val="auto"/>
                      <w:kern w:val="2"/>
                      <w:sz w:val="21"/>
                      <w:szCs w:val="21"/>
                    </w:rPr>
                    <w:t>05</w:t>
                  </w:r>
                </w:p>
              </w:tc>
              <w:tc>
                <w:tcPr>
                  <w:tcW w:w="846" w:type="pct"/>
                  <w:vAlign w:val="center"/>
                </w:tcPr>
                <w:p w14:paraId="235ACED1">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w:t>
                  </w:r>
                </w:p>
              </w:tc>
              <w:tc>
                <w:tcPr>
                  <w:tcW w:w="1106" w:type="pct"/>
                  <w:vMerge w:val="continue"/>
                  <w:vAlign w:val="center"/>
                </w:tcPr>
                <w:p w14:paraId="65E7E561">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c>
                <w:tcPr>
                  <w:tcW w:w="676" w:type="pct"/>
                  <w:vAlign w:val="center"/>
                </w:tcPr>
                <w:p w14:paraId="4AD9ADB2">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50</w:t>
                  </w:r>
                </w:p>
              </w:tc>
              <w:tc>
                <w:tcPr>
                  <w:tcW w:w="763" w:type="pct"/>
                  <w:vAlign w:val="center"/>
                </w:tcPr>
                <w:p w14:paraId="4C05A714">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0.00</w:t>
                  </w:r>
                  <w:r>
                    <w:rPr>
                      <w:rFonts w:hint="eastAsia" w:ascii="Times New Roman" w:hAnsi="Times New Roman"/>
                      <w:bCs/>
                      <w:color w:val="auto"/>
                      <w:kern w:val="2"/>
                      <w:sz w:val="21"/>
                      <w:szCs w:val="21"/>
                    </w:rPr>
                    <w:t>01</w:t>
                  </w:r>
                </w:p>
              </w:tc>
              <w:tc>
                <w:tcPr>
                  <w:tcW w:w="639" w:type="pct"/>
                  <w:vMerge w:val="continue"/>
                  <w:vAlign w:val="center"/>
                </w:tcPr>
                <w:p w14:paraId="7BA75001">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r>
            <w:tr w14:paraId="5BDD0F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2" w:hRule="atLeast"/>
                <w:jc w:val="center"/>
              </w:trPr>
              <w:tc>
                <w:tcPr>
                  <w:tcW w:w="500" w:type="pct"/>
                  <w:vAlign w:val="center"/>
                </w:tcPr>
                <w:p w14:paraId="43A63D2D">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含油抹布</w:t>
                  </w:r>
                </w:p>
              </w:tc>
              <w:tc>
                <w:tcPr>
                  <w:tcW w:w="467" w:type="pct"/>
                  <w:shd w:val="clear" w:color="auto" w:fill="auto"/>
                  <w:vAlign w:val="center"/>
                </w:tcPr>
                <w:p w14:paraId="72DADCA2">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cs="Times New Roman"/>
                      <w:color w:val="auto"/>
                      <w:kern w:val="2"/>
                      <w:sz w:val="21"/>
                      <w:szCs w:val="21"/>
                      <w:lang w:eastAsia="zh-CN"/>
                    </w:rPr>
                  </w:pPr>
                  <w:r>
                    <w:rPr>
                      <w:rFonts w:hint="eastAsia" w:ascii="Times New Roman" w:hAnsi="Times New Roman"/>
                      <w:color w:val="auto"/>
                      <w:kern w:val="2"/>
                      <w:sz w:val="21"/>
                      <w:szCs w:val="21"/>
                      <w:lang w:val="en-US" w:eastAsia="zh-CN"/>
                    </w:rPr>
                    <w:t>1</w:t>
                  </w:r>
                </w:p>
              </w:tc>
              <w:tc>
                <w:tcPr>
                  <w:tcW w:w="846" w:type="pct"/>
                  <w:vAlign w:val="center"/>
                </w:tcPr>
                <w:p w14:paraId="5653824E">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w:t>
                  </w:r>
                </w:p>
              </w:tc>
              <w:tc>
                <w:tcPr>
                  <w:tcW w:w="1106" w:type="pct"/>
                  <w:vMerge w:val="continue"/>
                  <w:vAlign w:val="center"/>
                </w:tcPr>
                <w:p w14:paraId="184C98F7">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c>
                <w:tcPr>
                  <w:tcW w:w="676" w:type="pct"/>
                  <w:vAlign w:val="center"/>
                </w:tcPr>
                <w:p w14:paraId="0A63D756">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50</w:t>
                  </w:r>
                </w:p>
              </w:tc>
              <w:tc>
                <w:tcPr>
                  <w:tcW w:w="763" w:type="pct"/>
                  <w:vAlign w:val="center"/>
                </w:tcPr>
                <w:p w14:paraId="5120802A">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0.002</w:t>
                  </w:r>
                </w:p>
              </w:tc>
              <w:tc>
                <w:tcPr>
                  <w:tcW w:w="639" w:type="pct"/>
                  <w:vMerge w:val="continue"/>
                  <w:vAlign w:val="center"/>
                </w:tcPr>
                <w:p w14:paraId="3EAF2081">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r>
            <w:tr w14:paraId="3998E5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500" w:type="pct"/>
                  <w:shd w:val="clear" w:color="auto" w:fill="auto"/>
                  <w:vAlign w:val="center"/>
                </w:tcPr>
                <w:p w14:paraId="6A38E4B9">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废胶管</w:t>
                  </w:r>
                </w:p>
              </w:tc>
              <w:tc>
                <w:tcPr>
                  <w:tcW w:w="467" w:type="pct"/>
                  <w:vAlign w:val="center"/>
                </w:tcPr>
                <w:p w14:paraId="1F9CC71C">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0.03</w:t>
                  </w:r>
                </w:p>
              </w:tc>
              <w:tc>
                <w:tcPr>
                  <w:tcW w:w="846" w:type="pct"/>
                  <w:vAlign w:val="center"/>
                </w:tcPr>
                <w:p w14:paraId="71E44004">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w:t>
                  </w:r>
                </w:p>
              </w:tc>
              <w:tc>
                <w:tcPr>
                  <w:tcW w:w="1106" w:type="pct"/>
                  <w:vMerge w:val="continue"/>
                  <w:vAlign w:val="center"/>
                </w:tcPr>
                <w:p w14:paraId="6AE81C9B">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c>
                <w:tcPr>
                  <w:tcW w:w="676" w:type="pct"/>
                  <w:vAlign w:val="center"/>
                </w:tcPr>
                <w:p w14:paraId="67420924">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50</w:t>
                  </w:r>
                </w:p>
              </w:tc>
              <w:tc>
                <w:tcPr>
                  <w:tcW w:w="763" w:type="pct"/>
                  <w:vAlign w:val="center"/>
                </w:tcPr>
                <w:p w14:paraId="19D05A0C">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0.00</w:t>
                  </w:r>
                  <w:r>
                    <w:rPr>
                      <w:rFonts w:hint="eastAsia" w:ascii="Times New Roman" w:hAnsi="Times New Roman"/>
                      <w:bCs/>
                      <w:color w:val="auto"/>
                      <w:kern w:val="2"/>
                      <w:sz w:val="21"/>
                      <w:szCs w:val="21"/>
                    </w:rPr>
                    <w:t>06</w:t>
                  </w:r>
                </w:p>
              </w:tc>
              <w:tc>
                <w:tcPr>
                  <w:tcW w:w="639" w:type="pct"/>
                  <w:vMerge w:val="continue"/>
                  <w:vAlign w:val="center"/>
                </w:tcPr>
                <w:p w14:paraId="37BDD894">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r>
            <w:tr w14:paraId="61E303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500" w:type="pct"/>
                  <w:shd w:val="clear" w:color="auto" w:fill="auto"/>
                  <w:vAlign w:val="center"/>
                </w:tcPr>
                <w:p w14:paraId="3A69AF02">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废活性炭</w:t>
                  </w:r>
                </w:p>
              </w:tc>
              <w:tc>
                <w:tcPr>
                  <w:tcW w:w="467" w:type="pct"/>
                  <w:vAlign w:val="center"/>
                </w:tcPr>
                <w:p w14:paraId="5481BA24">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0.1</w:t>
                  </w:r>
                </w:p>
              </w:tc>
              <w:tc>
                <w:tcPr>
                  <w:tcW w:w="846" w:type="pct"/>
                  <w:vAlign w:val="center"/>
                </w:tcPr>
                <w:p w14:paraId="3D2AE0C2">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w:t>
                  </w:r>
                </w:p>
              </w:tc>
              <w:tc>
                <w:tcPr>
                  <w:tcW w:w="1106" w:type="pct"/>
                  <w:vMerge w:val="continue"/>
                  <w:vAlign w:val="center"/>
                </w:tcPr>
                <w:p w14:paraId="1790164D">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c>
                <w:tcPr>
                  <w:tcW w:w="676" w:type="pct"/>
                  <w:vAlign w:val="center"/>
                </w:tcPr>
                <w:p w14:paraId="11C188EC">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50</w:t>
                  </w:r>
                </w:p>
              </w:tc>
              <w:tc>
                <w:tcPr>
                  <w:tcW w:w="763" w:type="pct"/>
                  <w:vAlign w:val="center"/>
                </w:tcPr>
                <w:p w14:paraId="4C3D98F2">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eastAsia="宋体"/>
                      <w:bCs/>
                      <w:color w:val="auto"/>
                      <w:kern w:val="2"/>
                      <w:sz w:val="21"/>
                      <w:szCs w:val="21"/>
                      <w:lang w:val="en-US" w:eastAsia="zh-CN"/>
                    </w:rPr>
                  </w:pPr>
                  <w:r>
                    <w:rPr>
                      <w:rFonts w:hint="eastAsia" w:ascii="Times New Roman" w:hAnsi="Times New Roman"/>
                      <w:bCs/>
                      <w:color w:val="auto"/>
                      <w:kern w:val="2"/>
                      <w:sz w:val="21"/>
                      <w:szCs w:val="21"/>
                    </w:rPr>
                    <w:t>0.0</w:t>
                  </w:r>
                  <w:r>
                    <w:rPr>
                      <w:rFonts w:hint="eastAsia" w:ascii="Times New Roman" w:hAnsi="Times New Roman"/>
                      <w:bCs/>
                      <w:color w:val="auto"/>
                      <w:kern w:val="2"/>
                      <w:sz w:val="21"/>
                      <w:szCs w:val="21"/>
                      <w:lang w:val="en-US" w:eastAsia="zh-CN"/>
                    </w:rPr>
                    <w:t>02</w:t>
                  </w:r>
                </w:p>
              </w:tc>
              <w:tc>
                <w:tcPr>
                  <w:tcW w:w="639" w:type="pct"/>
                  <w:vMerge w:val="continue"/>
                  <w:vAlign w:val="center"/>
                </w:tcPr>
                <w:p w14:paraId="2D2760DF">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r>
            <w:tr w14:paraId="1816E4C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500" w:type="pct"/>
                  <w:shd w:val="clear" w:color="auto" w:fill="auto"/>
                  <w:vAlign w:val="center"/>
                </w:tcPr>
                <w:p w14:paraId="1DCF888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eastAsia="zh-CN"/>
                    </w:rPr>
                    <w:t>废</w:t>
                  </w:r>
                  <w:r>
                    <w:rPr>
                      <w:rFonts w:hint="eastAsia" w:ascii="Times New Roman" w:hAnsi="Times New Roman" w:cs="Times New Roman"/>
                      <w:color w:val="auto"/>
                      <w:kern w:val="2"/>
                      <w:sz w:val="21"/>
                      <w:szCs w:val="21"/>
                      <w:lang w:val="en-US" w:eastAsia="zh-CN"/>
                    </w:rPr>
                    <w:t>滤芯</w:t>
                  </w:r>
                </w:p>
              </w:tc>
              <w:tc>
                <w:tcPr>
                  <w:tcW w:w="467" w:type="pct"/>
                  <w:vAlign w:val="center"/>
                </w:tcPr>
                <w:p w14:paraId="5D70FDDC">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0.3</w:t>
                  </w:r>
                </w:p>
              </w:tc>
              <w:tc>
                <w:tcPr>
                  <w:tcW w:w="846" w:type="pct"/>
                  <w:vAlign w:val="center"/>
                </w:tcPr>
                <w:p w14:paraId="15C0DAC1">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lang w:val="en-US" w:eastAsia="zh-CN"/>
                    </w:rPr>
                  </w:pPr>
                  <w:r>
                    <w:rPr>
                      <w:rFonts w:hint="eastAsia" w:ascii="Times New Roman" w:hAnsi="Times New Roman"/>
                      <w:color w:val="auto"/>
                      <w:kern w:val="2"/>
                      <w:sz w:val="21"/>
                      <w:szCs w:val="21"/>
                      <w:lang w:val="en-US" w:eastAsia="zh-CN"/>
                    </w:rPr>
                    <w:t>/</w:t>
                  </w:r>
                </w:p>
              </w:tc>
              <w:tc>
                <w:tcPr>
                  <w:tcW w:w="1106" w:type="pct"/>
                  <w:vMerge w:val="continue"/>
                  <w:vAlign w:val="center"/>
                </w:tcPr>
                <w:p w14:paraId="46CFAD84">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c>
                <w:tcPr>
                  <w:tcW w:w="676" w:type="pct"/>
                  <w:vAlign w:val="center"/>
                </w:tcPr>
                <w:p w14:paraId="6B2780A4">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eastAsia="宋体"/>
                      <w:bCs/>
                      <w:color w:val="auto"/>
                      <w:kern w:val="2"/>
                      <w:sz w:val="21"/>
                      <w:szCs w:val="21"/>
                      <w:lang w:val="en-US" w:eastAsia="zh-CN"/>
                    </w:rPr>
                  </w:pPr>
                  <w:r>
                    <w:rPr>
                      <w:rFonts w:hint="eastAsia" w:ascii="Times New Roman" w:hAnsi="Times New Roman"/>
                      <w:bCs/>
                      <w:color w:val="auto"/>
                      <w:kern w:val="2"/>
                      <w:sz w:val="21"/>
                      <w:szCs w:val="21"/>
                      <w:lang w:val="en-US" w:eastAsia="zh-CN"/>
                    </w:rPr>
                    <w:t>50</w:t>
                  </w:r>
                </w:p>
              </w:tc>
              <w:tc>
                <w:tcPr>
                  <w:tcW w:w="763" w:type="pct"/>
                  <w:vAlign w:val="center"/>
                </w:tcPr>
                <w:p w14:paraId="31DF5B57">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eastAsia="宋体"/>
                      <w:bCs/>
                      <w:color w:val="auto"/>
                      <w:kern w:val="2"/>
                      <w:sz w:val="21"/>
                      <w:szCs w:val="21"/>
                      <w:lang w:val="en-US" w:eastAsia="zh-CN"/>
                    </w:rPr>
                  </w:pPr>
                  <w:r>
                    <w:rPr>
                      <w:rFonts w:hint="eastAsia" w:ascii="Times New Roman" w:hAnsi="Times New Roman"/>
                      <w:bCs/>
                      <w:color w:val="auto"/>
                      <w:kern w:val="2"/>
                      <w:sz w:val="21"/>
                      <w:szCs w:val="21"/>
                      <w:lang w:val="en-US" w:eastAsia="zh-CN"/>
                    </w:rPr>
                    <w:t>0.006</w:t>
                  </w:r>
                </w:p>
              </w:tc>
              <w:tc>
                <w:tcPr>
                  <w:tcW w:w="639" w:type="pct"/>
                  <w:vMerge w:val="continue"/>
                  <w:vAlign w:val="center"/>
                </w:tcPr>
                <w:p w14:paraId="49F48853">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r>
            <w:tr w14:paraId="7CB14C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3596" w:type="pct"/>
                  <w:gridSpan w:val="5"/>
                  <w:vAlign w:val="center"/>
                </w:tcPr>
                <w:p w14:paraId="25F0C433">
                  <w:pPr>
                    <w:keepNext w:val="0"/>
                    <w:keepLines w:val="0"/>
                    <w:widowControl/>
                    <w:suppressLineNumbers w:val="0"/>
                    <w:autoSpaceDE w:val="0"/>
                    <w:autoSpaceDN w:val="0"/>
                    <w:spacing w:before="0" w:beforeAutospacing="0" w:after="0" w:afterAutospacing="0" w:line="276" w:lineRule="auto"/>
                    <w:ind w:left="0" w:right="0"/>
                    <w:jc w:val="center"/>
                    <w:rPr>
                      <w:rFonts w:hint="eastAsia" w:ascii="Times New Roman" w:hAnsi="Times New Roman"/>
                      <w:bCs/>
                      <w:color w:val="auto"/>
                      <w:kern w:val="2"/>
                      <w:sz w:val="21"/>
                      <w:szCs w:val="21"/>
                    </w:rPr>
                  </w:pPr>
                  <w:r>
                    <w:rPr>
                      <w:rFonts w:hint="eastAsia" w:ascii="Times New Roman" w:hAnsi="Times New Roman"/>
                      <w:bCs/>
                      <w:color w:val="auto"/>
                      <w:kern w:val="2"/>
                      <w:sz w:val="21"/>
                      <w:szCs w:val="21"/>
                    </w:rPr>
                    <w:t>合计</w:t>
                  </w:r>
                </w:p>
              </w:tc>
              <w:tc>
                <w:tcPr>
                  <w:tcW w:w="1403" w:type="pct"/>
                  <w:gridSpan w:val="2"/>
                  <w:vAlign w:val="center"/>
                </w:tcPr>
                <w:p w14:paraId="4E9B0141">
                  <w:pPr>
                    <w:keepNext w:val="0"/>
                    <w:keepLines w:val="0"/>
                    <w:widowControl/>
                    <w:suppressLineNumbers w:val="0"/>
                    <w:spacing w:before="0" w:beforeAutospacing="0" w:after="0" w:afterAutospacing="0" w:line="276" w:lineRule="auto"/>
                    <w:ind w:left="0" w:right="0"/>
                    <w:rPr>
                      <w:rFonts w:hint="default" w:ascii="Times New Roman" w:hAnsi="Times New Roman" w:eastAsia="宋体"/>
                      <w:bCs/>
                      <w:color w:val="auto"/>
                      <w:kern w:val="2"/>
                      <w:sz w:val="21"/>
                      <w:szCs w:val="21"/>
                      <w:lang w:val="en-US" w:eastAsia="zh-CN"/>
                    </w:rPr>
                  </w:pPr>
                  <w:r>
                    <w:rPr>
                      <w:rFonts w:hint="eastAsia" w:ascii="Times New Roman" w:hAnsi="Times New Roman"/>
                      <w:bCs/>
                      <w:color w:val="auto"/>
                      <w:kern w:val="2"/>
                      <w:sz w:val="21"/>
                      <w:szCs w:val="21"/>
                    </w:rPr>
                    <w:t>0.</w:t>
                  </w:r>
                  <w:r>
                    <w:rPr>
                      <w:rFonts w:hint="eastAsia" w:ascii="Times New Roman" w:hAnsi="Times New Roman"/>
                      <w:bCs/>
                      <w:color w:val="auto"/>
                      <w:kern w:val="2"/>
                      <w:sz w:val="21"/>
                      <w:szCs w:val="21"/>
                      <w:lang w:val="en-US" w:eastAsia="zh-CN"/>
                    </w:rPr>
                    <w:t>24</w:t>
                  </w:r>
                </w:p>
              </w:tc>
            </w:tr>
          </w:tbl>
          <w:p w14:paraId="1AED5E67">
            <w:pPr>
              <w:keepNext w:val="0"/>
              <w:keepLines w:val="0"/>
              <w:widowControl/>
              <w:suppressLineNumbers w:val="0"/>
              <w:spacing w:before="0" w:beforeAutospacing="0" w:after="0" w:afterAutospacing="0" w:line="360" w:lineRule="auto"/>
              <w:ind w:left="0" w:right="0" w:firstLine="480" w:firstLineChars="200"/>
              <w:jc w:val="left"/>
              <w:rPr>
                <w:rStyle w:val="28"/>
                <w:rFonts w:hint="default" w:ascii="宋体" w:hAnsi="宋体"/>
                <w:color w:val="auto"/>
                <w:kern w:val="2"/>
              </w:rPr>
            </w:pPr>
            <w:r>
              <w:rPr>
                <w:rFonts w:hint="eastAsia" w:ascii="Times New Roman" w:hAnsi="Times New Roman" w:eastAsia="宋体" w:cs="Times New Roman"/>
                <w:bCs/>
                <w:color w:val="auto"/>
                <w:kern w:val="0"/>
                <w:sz w:val="24"/>
                <w:szCs w:val="24"/>
                <w:lang w:val="en-US" w:eastAsia="zh-CN" w:bidi="ar"/>
              </w:rPr>
              <w:t>②</w:t>
            </w:r>
            <w:r>
              <w:rPr>
                <w:rFonts w:hint="eastAsia" w:eastAsia="宋体"/>
                <w:color w:val="auto"/>
                <w:kern w:val="2"/>
                <w:lang w:val="en-US" w:eastAsia="zh-CN"/>
              </w:rPr>
              <w:t>本项目</w:t>
            </w:r>
            <w:r>
              <w:rPr>
                <w:rFonts w:hint="eastAsia" w:ascii="Times New Roman" w:hAnsi="Times New Roman" w:eastAsia="宋体" w:cs="Times New Roman"/>
                <w:bCs/>
                <w:color w:val="auto"/>
                <w:kern w:val="0"/>
                <w:sz w:val="24"/>
                <w:szCs w:val="24"/>
                <w:lang w:val="en-US" w:eastAsia="zh-CN" w:bidi="ar"/>
              </w:rPr>
              <w:t>环境风险调查</w:t>
            </w:r>
          </w:p>
          <w:p w14:paraId="206E67B4">
            <w:pPr>
              <w:pStyle w:val="95"/>
              <w:keepNext w:val="0"/>
              <w:keepLines w:val="0"/>
              <w:widowControl/>
              <w:suppressLineNumbers w:val="0"/>
              <w:spacing w:before="0" w:beforeAutospacing="0" w:after="0" w:afterAutospacing="0"/>
              <w:ind w:left="0" w:right="0" w:firstLine="420"/>
              <w:rPr>
                <w:rFonts w:hint="default"/>
                <w:color w:val="auto"/>
                <w:kern w:val="2"/>
              </w:rPr>
            </w:pPr>
            <w:r>
              <w:rPr>
                <w:rFonts w:hint="default"/>
                <w:color w:val="auto"/>
                <w:kern w:val="2"/>
              </w:rPr>
              <w:t>拟建项目使用的原辅料主要为密封胶、碳氢清洗剂、液压油、变速箱油、润滑油；涉及的固体废物有</w:t>
            </w:r>
            <w:r>
              <w:rPr>
                <w:rFonts w:hint="default"/>
                <w:bCs/>
                <w:color w:val="auto"/>
                <w:kern w:val="2"/>
              </w:rPr>
              <w:t>废</w:t>
            </w:r>
            <w:r>
              <w:rPr>
                <w:rFonts w:hint="eastAsia"/>
                <w:bCs/>
                <w:color w:val="auto"/>
                <w:kern w:val="2"/>
              </w:rPr>
              <w:t>包装</w:t>
            </w:r>
            <w:r>
              <w:rPr>
                <w:rFonts w:hint="default"/>
                <w:bCs/>
                <w:color w:val="auto"/>
                <w:kern w:val="2"/>
              </w:rPr>
              <w:t>桶、废</w:t>
            </w:r>
            <w:r>
              <w:rPr>
                <w:rFonts w:hint="eastAsia"/>
                <w:bCs/>
                <w:color w:val="auto"/>
                <w:kern w:val="2"/>
              </w:rPr>
              <w:t>润滑</w:t>
            </w:r>
            <w:r>
              <w:rPr>
                <w:rFonts w:hint="default"/>
                <w:bCs/>
                <w:color w:val="auto"/>
                <w:kern w:val="2"/>
              </w:rPr>
              <w:t>油、含油抹布、</w:t>
            </w:r>
            <w:r>
              <w:rPr>
                <w:rFonts w:hint="eastAsia"/>
                <w:bCs/>
                <w:color w:val="auto"/>
                <w:kern w:val="2"/>
              </w:rPr>
              <w:t>废胶管、</w:t>
            </w:r>
            <w:r>
              <w:rPr>
                <w:rFonts w:hint="default"/>
                <w:bCs/>
                <w:color w:val="auto"/>
                <w:kern w:val="2"/>
              </w:rPr>
              <w:t>废</w:t>
            </w:r>
            <w:r>
              <w:rPr>
                <w:rFonts w:hint="eastAsia"/>
                <w:bCs/>
                <w:color w:val="auto"/>
                <w:kern w:val="2"/>
              </w:rPr>
              <w:t>活性炭</w:t>
            </w:r>
            <w:r>
              <w:rPr>
                <w:rFonts w:hint="eastAsia"/>
                <w:bCs/>
                <w:color w:val="auto"/>
                <w:kern w:val="2"/>
                <w:lang w:eastAsia="zh-CN"/>
              </w:rPr>
              <w:t>、</w:t>
            </w:r>
            <w:r>
              <w:rPr>
                <w:rFonts w:hint="default" w:ascii="Times New Roman" w:hAnsi="Times New Roman" w:cs="Times New Roman"/>
                <w:color w:val="auto"/>
                <w:kern w:val="2"/>
              </w:rPr>
              <w:t>碳氢清洗蒸馏废液</w:t>
            </w:r>
            <w:r>
              <w:rPr>
                <w:rFonts w:hint="eastAsia" w:ascii="Times New Roman" w:hAnsi="Times New Roman" w:cs="Times New Roman"/>
                <w:color w:val="auto"/>
                <w:kern w:val="2"/>
                <w:lang w:eastAsia="zh-CN"/>
              </w:rPr>
              <w:t>、</w:t>
            </w:r>
            <w:r>
              <w:rPr>
                <w:rFonts w:hint="default" w:ascii="Times New Roman" w:hAnsi="Times New Roman" w:cs="Times New Roman"/>
                <w:color w:val="auto"/>
                <w:kern w:val="2"/>
              </w:rPr>
              <w:t>废槽液</w:t>
            </w:r>
            <w:r>
              <w:rPr>
                <w:rFonts w:hint="eastAsia" w:ascii="Times New Roman" w:hAnsi="Times New Roman" w:cs="Times New Roman"/>
                <w:color w:val="auto"/>
                <w:kern w:val="2"/>
                <w:lang w:eastAsia="zh-CN"/>
              </w:rPr>
              <w:t>、废</w:t>
            </w:r>
            <w:r>
              <w:rPr>
                <w:rFonts w:hint="eastAsia" w:ascii="Times New Roman" w:hAnsi="Times New Roman" w:cs="Times New Roman"/>
                <w:color w:val="auto"/>
                <w:kern w:val="2"/>
                <w:lang w:val="en-US" w:eastAsia="zh-CN"/>
              </w:rPr>
              <w:t>滤芯</w:t>
            </w:r>
            <w:r>
              <w:rPr>
                <w:rFonts w:hint="default"/>
                <w:color w:val="auto"/>
                <w:kern w:val="2"/>
              </w:rPr>
              <w:t>等。根据《危险化学品名录》《建设项目环境风险评价技术导则》（HJ169-2018）附录B中突发环境事件风险物质及其他危险物质分类，本项目N，N-二甲基邻甲苯胺（密封胶含量1%）</w:t>
            </w:r>
            <w:r>
              <w:rPr>
                <w:rFonts w:hint="eastAsia"/>
                <w:color w:val="auto"/>
                <w:kern w:val="2"/>
              </w:rPr>
              <w:t>、</w:t>
            </w:r>
            <w:r>
              <w:rPr>
                <w:rFonts w:hint="default"/>
                <w:color w:val="auto"/>
                <w:kern w:val="2"/>
              </w:rPr>
              <w:t>碳氢清洗剂、液压油、变速箱油、润滑油</w:t>
            </w:r>
            <w:r>
              <w:rPr>
                <w:rFonts w:hint="eastAsia"/>
                <w:color w:val="auto"/>
                <w:kern w:val="2"/>
              </w:rPr>
              <w:t>、碳氢清洗蒸馏废液</w:t>
            </w:r>
            <w:r>
              <w:rPr>
                <w:rFonts w:hint="eastAsia" w:ascii="Times New Roman" w:hAnsi="Times New Roman" w:cs="Times New Roman"/>
                <w:color w:val="auto"/>
                <w:kern w:val="2"/>
                <w:lang w:eastAsia="zh-CN"/>
              </w:rPr>
              <w:t>、</w:t>
            </w:r>
            <w:r>
              <w:rPr>
                <w:rFonts w:hint="default" w:ascii="Times New Roman" w:hAnsi="Times New Roman" w:cs="Times New Roman"/>
                <w:color w:val="auto"/>
                <w:kern w:val="2"/>
              </w:rPr>
              <w:t>废槽液</w:t>
            </w:r>
            <w:r>
              <w:rPr>
                <w:rFonts w:hint="eastAsia" w:ascii="Times New Roman" w:hAnsi="Times New Roman" w:cs="Times New Roman"/>
                <w:color w:val="auto"/>
                <w:kern w:val="2"/>
                <w:lang w:eastAsia="zh-CN"/>
              </w:rPr>
              <w:t>、废</w:t>
            </w:r>
            <w:r>
              <w:rPr>
                <w:rFonts w:hint="eastAsia" w:ascii="Times New Roman" w:hAnsi="Times New Roman" w:cs="Times New Roman"/>
                <w:color w:val="auto"/>
                <w:kern w:val="2"/>
                <w:lang w:val="en-US" w:eastAsia="zh-CN"/>
              </w:rPr>
              <w:t>滤芯</w:t>
            </w:r>
            <w:r>
              <w:rPr>
                <w:rFonts w:hint="eastAsia"/>
                <w:color w:val="auto"/>
                <w:kern w:val="2"/>
              </w:rPr>
              <w:t>、</w:t>
            </w:r>
            <w:r>
              <w:rPr>
                <w:rFonts w:hint="default"/>
                <w:bCs/>
                <w:color w:val="auto"/>
                <w:kern w:val="2"/>
              </w:rPr>
              <w:t>废</w:t>
            </w:r>
            <w:r>
              <w:rPr>
                <w:rFonts w:hint="eastAsia"/>
                <w:bCs/>
                <w:color w:val="auto"/>
                <w:kern w:val="2"/>
              </w:rPr>
              <w:t>包装</w:t>
            </w:r>
            <w:r>
              <w:rPr>
                <w:rFonts w:hint="default"/>
                <w:bCs/>
                <w:color w:val="auto"/>
                <w:kern w:val="2"/>
              </w:rPr>
              <w:t>桶、废</w:t>
            </w:r>
            <w:r>
              <w:rPr>
                <w:rFonts w:hint="eastAsia"/>
                <w:bCs/>
                <w:color w:val="auto"/>
                <w:kern w:val="2"/>
              </w:rPr>
              <w:t>润滑</w:t>
            </w:r>
            <w:r>
              <w:rPr>
                <w:rFonts w:hint="default"/>
                <w:bCs/>
                <w:color w:val="auto"/>
                <w:kern w:val="2"/>
              </w:rPr>
              <w:t>油、含油抹布、</w:t>
            </w:r>
            <w:r>
              <w:rPr>
                <w:rFonts w:hint="eastAsia"/>
                <w:bCs/>
                <w:color w:val="auto"/>
                <w:kern w:val="2"/>
              </w:rPr>
              <w:t>废胶管、</w:t>
            </w:r>
            <w:r>
              <w:rPr>
                <w:rFonts w:hint="default"/>
                <w:bCs/>
                <w:color w:val="auto"/>
                <w:kern w:val="2"/>
              </w:rPr>
              <w:t>废</w:t>
            </w:r>
            <w:r>
              <w:rPr>
                <w:rFonts w:hint="eastAsia"/>
                <w:bCs/>
                <w:color w:val="auto"/>
                <w:kern w:val="2"/>
              </w:rPr>
              <w:t>活性炭</w:t>
            </w:r>
            <w:r>
              <w:rPr>
                <w:rFonts w:hint="default"/>
                <w:color w:val="auto"/>
                <w:kern w:val="2"/>
              </w:rPr>
              <w:t>为危险物质。N，N-二甲基邻甲苯胺（密封胶含量1%）</w:t>
            </w:r>
            <w:r>
              <w:rPr>
                <w:rFonts w:hint="eastAsia"/>
                <w:color w:val="auto"/>
                <w:kern w:val="2"/>
              </w:rPr>
              <w:t>、</w:t>
            </w:r>
            <w:r>
              <w:rPr>
                <w:rFonts w:hint="default"/>
                <w:color w:val="auto"/>
                <w:kern w:val="2"/>
              </w:rPr>
              <w:t>碳氢清洗剂、液压油、变速箱油、润滑油参照《建设项目环境风险评价技术导则》（HJ169-2018）表B.1</w:t>
            </w:r>
            <w:r>
              <w:rPr>
                <w:rFonts w:hint="eastAsia"/>
                <w:color w:val="auto"/>
                <w:kern w:val="2"/>
              </w:rPr>
              <w:t>，</w:t>
            </w:r>
            <w:r>
              <w:rPr>
                <w:rFonts w:hint="default"/>
                <w:bCs/>
                <w:color w:val="auto"/>
                <w:kern w:val="2"/>
              </w:rPr>
              <w:t>废</w:t>
            </w:r>
            <w:r>
              <w:rPr>
                <w:rFonts w:hint="eastAsia"/>
                <w:bCs/>
                <w:color w:val="auto"/>
                <w:kern w:val="2"/>
              </w:rPr>
              <w:t>包装</w:t>
            </w:r>
            <w:r>
              <w:rPr>
                <w:rFonts w:hint="default"/>
                <w:bCs/>
                <w:color w:val="auto"/>
                <w:kern w:val="2"/>
              </w:rPr>
              <w:t>桶、废</w:t>
            </w:r>
            <w:r>
              <w:rPr>
                <w:rFonts w:hint="eastAsia"/>
                <w:bCs/>
                <w:color w:val="auto"/>
                <w:kern w:val="2"/>
              </w:rPr>
              <w:t>润滑</w:t>
            </w:r>
            <w:r>
              <w:rPr>
                <w:rFonts w:hint="default"/>
                <w:bCs/>
                <w:color w:val="auto"/>
                <w:kern w:val="2"/>
              </w:rPr>
              <w:t>油、含油抹布、</w:t>
            </w:r>
            <w:r>
              <w:rPr>
                <w:rFonts w:hint="eastAsia"/>
                <w:bCs/>
                <w:color w:val="auto"/>
                <w:kern w:val="2"/>
              </w:rPr>
              <w:t>废胶管、</w:t>
            </w:r>
            <w:r>
              <w:rPr>
                <w:rFonts w:hint="default"/>
                <w:bCs/>
                <w:color w:val="auto"/>
                <w:kern w:val="2"/>
              </w:rPr>
              <w:t>废</w:t>
            </w:r>
            <w:r>
              <w:rPr>
                <w:rFonts w:hint="eastAsia"/>
                <w:bCs/>
                <w:color w:val="auto"/>
                <w:kern w:val="2"/>
              </w:rPr>
              <w:t>活性炭</w:t>
            </w:r>
            <w:r>
              <w:rPr>
                <w:rFonts w:hint="eastAsia"/>
                <w:bCs/>
                <w:color w:val="auto"/>
                <w:kern w:val="2"/>
                <w:lang w:eastAsia="zh-CN"/>
              </w:rPr>
              <w:t>、</w:t>
            </w:r>
            <w:r>
              <w:rPr>
                <w:rFonts w:hint="eastAsia"/>
                <w:color w:val="auto"/>
                <w:kern w:val="2"/>
              </w:rPr>
              <w:t>碳氢清洗蒸馏废液</w:t>
            </w:r>
            <w:r>
              <w:rPr>
                <w:rFonts w:hint="eastAsia" w:ascii="Times New Roman" w:hAnsi="Times New Roman" w:cs="Times New Roman"/>
                <w:color w:val="auto"/>
                <w:kern w:val="2"/>
                <w:lang w:eastAsia="zh-CN"/>
              </w:rPr>
              <w:t>、</w:t>
            </w:r>
            <w:r>
              <w:rPr>
                <w:rFonts w:hint="default" w:ascii="Times New Roman" w:hAnsi="Times New Roman" w:cs="Times New Roman"/>
                <w:color w:val="auto"/>
                <w:kern w:val="2"/>
              </w:rPr>
              <w:t>废槽液</w:t>
            </w:r>
            <w:r>
              <w:rPr>
                <w:rFonts w:hint="eastAsia" w:ascii="Times New Roman" w:hAnsi="Times New Roman" w:cs="Times New Roman"/>
                <w:color w:val="auto"/>
                <w:kern w:val="2"/>
                <w:lang w:eastAsia="zh-CN"/>
              </w:rPr>
              <w:t>、废</w:t>
            </w:r>
            <w:r>
              <w:rPr>
                <w:rFonts w:hint="eastAsia" w:ascii="Times New Roman" w:hAnsi="Times New Roman" w:cs="Times New Roman"/>
                <w:color w:val="auto"/>
                <w:kern w:val="2"/>
                <w:lang w:val="en-US" w:eastAsia="zh-CN"/>
              </w:rPr>
              <w:t>滤芯</w:t>
            </w:r>
            <w:r>
              <w:rPr>
                <w:rFonts w:hint="default"/>
                <w:color w:val="auto"/>
                <w:kern w:val="2"/>
              </w:rPr>
              <w:t>参照</w:t>
            </w:r>
            <w:r>
              <w:rPr>
                <w:rFonts w:hint="default"/>
                <w:bCs/>
                <w:color w:val="auto"/>
                <w:kern w:val="2"/>
              </w:rPr>
              <w:t>附录B.2中的健康危险急性毒性物质（类别2，类别3）</w:t>
            </w:r>
            <w:r>
              <w:rPr>
                <w:rFonts w:hint="default"/>
                <w:color w:val="auto"/>
                <w:kern w:val="2"/>
              </w:rPr>
              <w:t>。</w:t>
            </w:r>
          </w:p>
          <w:p w14:paraId="7C120217">
            <w:pPr>
              <w:pStyle w:val="95"/>
              <w:keepNext w:val="0"/>
              <w:keepLines w:val="0"/>
              <w:widowControl/>
              <w:suppressLineNumbers w:val="0"/>
              <w:spacing w:before="0" w:beforeAutospacing="0" w:after="0" w:afterAutospacing="0"/>
              <w:ind w:left="0" w:right="0"/>
              <w:rPr>
                <w:rFonts w:hint="default"/>
                <w:color w:val="auto"/>
                <w:kern w:val="2"/>
              </w:rPr>
            </w:pPr>
            <w:r>
              <w:rPr>
                <w:rFonts w:hint="default"/>
                <w:color w:val="auto"/>
                <w:kern w:val="2"/>
              </w:rPr>
              <w:t>本项目主要危险物质数量及分布情况详见下表。</w:t>
            </w:r>
          </w:p>
          <w:p w14:paraId="11CFAD2A">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bCs/>
                <w:color w:val="auto"/>
                <w:kern w:val="2"/>
              </w:rPr>
            </w:pPr>
            <w:r>
              <w:rPr>
                <w:rFonts w:hint="default" w:ascii="Times New Roman" w:hAnsi="Times New Roman" w:eastAsia="黑体"/>
                <w:bCs/>
                <w:color w:val="auto"/>
                <w:kern w:val="2"/>
              </w:rPr>
              <w:t>表4-</w:t>
            </w:r>
            <w:r>
              <w:rPr>
                <w:rFonts w:hint="eastAsia" w:ascii="Times New Roman" w:hAnsi="Times New Roman" w:eastAsia="黑体"/>
                <w:bCs/>
                <w:color w:val="auto"/>
                <w:kern w:val="2"/>
                <w:lang w:val="en-US" w:eastAsia="zh-CN"/>
              </w:rPr>
              <w:t>14</w:t>
            </w:r>
            <w:r>
              <w:rPr>
                <w:rFonts w:hint="default" w:ascii="Times New Roman" w:hAnsi="Times New Roman" w:eastAsia="黑体"/>
                <w:bCs/>
                <w:color w:val="auto"/>
                <w:kern w:val="2"/>
              </w:rPr>
              <w:t xml:space="preserve">  本项目涉及的</w:t>
            </w:r>
            <w:r>
              <w:rPr>
                <w:rFonts w:hint="default" w:ascii="Times New Roman" w:hAnsi="Times New Roman" w:eastAsia="黑体"/>
                <w:color w:val="auto"/>
                <w:kern w:val="2"/>
              </w:rPr>
              <w:t>危险物质</w:t>
            </w:r>
            <w:r>
              <w:rPr>
                <w:rFonts w:hint="default" w:ascii="Times New Roman" w:hAnsi="Times New Roman" w:eastAsia="黑体"/>
                <w:bCs/>
                <w:color w:val="auto"/>
                <w:kern w:val="2"/>
              </w:rPr>
              <w:t>存在情况</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83"/>
              <w:gridCol w:w="1111"/>
              <w:gridCol w:w="2267"/>
              <w:gridCol w:w="956"/>
              <w:gridCol w:w="1208"/>
              <w:gridCol w:w="550"/>
            </w:tblGrid>
            <w:tr w14:paraId="7DF2D9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79" w:type="pct"/>
                  <w:vAlign w:val="center"/>
                </w:tcPr>
                <w:p w14:paraId="4D0678F2">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物质名称</w:t>
                  </w:r>
                </w:p>
              </w:tc>
              <w:tc>
                <w:tcPr>
                  <w:tcW w:w="733" w:type="pct"/>
                  <w:vAlign w:val="center"/>
                </w:tcPr>
                <w:p w14:paraId="56EA8A76">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最大储存量（t）</w:t>
                  </w:r>
                </w:p>
              </w:tc>
              <w:tc>
                <w:tcPr>
                  <w:tcW w:w="1496" w:type="pct"/>
                  <w:vAlign w:val="center"/>
                </w:tcPr>
                <w:p w14:paraId="588B652A">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临界量依据</w:t>
                  </w:r>
                </w:p>
              </w:tc>
              <w:tc>
                <w:tcPr>
                  <w:tcW w:w="630" w:type="pct"/>
                  <w:vAlign w:val="center"/>
                </w:tcPr>
                <w:p w14:paraId="2C2CF1AC">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color w:val="auto"/>
                      <w:kern w:val="2"/>
                      <w:sz w:val="21"/>
                      <w:szCs w:val="21"/>
                    </w:rPr>
                    <w:t>临界量</w:t>
                  </w:r>
                  <w:r>
                    <w:rPr>
                      <w:rFonts w:hint="default" w:ascii="Times New Roman" w:hAnsi="Times New Roman"/>
                      <w:b/>
                      <w:bCs/>
                      <w:color w:val="auto"/>
                      <w:kern w:val="2"/>
                      <w:sz w:val="21"/>
                      <w:szCs w:val="21"/>
                    </w:rPr>
                    <w:t>（t）</w:t>
                  </w:r>
                </w:p>
              </w:tc>
              <w:tc>
                <w:tcPr>
                  <w:tcW w:w="797" w:type="pct"/>
                  <w:vAlign w:val="center"/>
                </w:tcPr>
                <w:p w14:paraId="09DC8A4C">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Q值</w:t>
                  </w:r>
                </w:p>
              </w:tc>
              <w:tc>
                <w:tcPr>
                  <w:tcW w:w="363" w:type="pct"/>
                  <w:vAlign w:val="center"/>
                </w:tcPr>
                <w:p w14:paraId="42155466">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default" w:ascii="Times New Roman" w:hAnsi="Times New Roman"/>
                      <w:b/>
                      <w:bCs/>
                      <w:color w:val="auto"/>
                      <w:kern w:val="2"/>
                      <w:sz w:val="21"/>
                      <w:szCs w:val="21"/>
                    </w:rPr>
                    <w:t>贮存位置</w:t>
                  </w:r>
                </w:p>
              </w:tc>
            </w:tr>
            <w:tr w14:paraId="3CCB3E7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79" w:type="pct"/>
                  <w:vAlign w:val="center"/>
                </w:tcPr>
                <w:p w14:paraId="673858D8">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N，N-二甲基邻甲苯胺（密封胶含量1%）</w:t>
                  </w:r>
                </w:p>
              </w:tc>
              <w:tc>
                <w:tcPr>
                  <w:tcW w:w="733" w:type="pct"/>
                  <w:vAlign w:val="center"/>
                </w:tcPr>
                <w:p w14:paraId="07F0E57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bCs/>
                      <w:color w:val="auto"/>
                      <w:kern w:val="2"/>
                      <w:sz w:val="21"/>
                      <w:szCs w:val="21"/>
                    </w:rPr>
                  </w:pPr>
                  <w:r>
                    <w:rPr>
                      <w:rFonts w:hint="default" w:ascii="Times New Roman" w:hAnsi="Times New Roman" w:cs="Times New Roman"/>
                      <w:color w:val="auto"/>
                      <w:kern w:val="2"/>
                      <w:sz w:val="21"/>
                      <w:szCs w:val="21"/>
                    </w:rPr>
                    <w:t>0.002</w:t>
                  </w:r>
                </w:p>
              </w:tc>
              <w:tc>
                <w:tcPr>
                  <w:tcW w:w="1496" w:type="pct"/>
                  <w:vMerge w:val="restart"/>
                  <w:vAlign w:val="center"/>
                </w:tcPr>
                <w:p w14:paraId="0F4E5309">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bCs/>
                      <w:color w:val="auto"/>
                      <w:kern w:val="2"/>
                      <w:sz w:val="21"/>
                      <w:szCs w:val="21"/>
                    </w:rPr>
                    <w:t>《建设项目环境风险评价技术导则》（HJ169-2018）附录B.1</w:t>
                  </w:r>
                </w:p>
              </w:tc>
              <w:tc>
                <w:tcPr>
                  <w:tcW w:w="630" w:type="pct"/>
                  <w:vAlign w:val="center"/>
                </w:tcPr>
                <w:p w14:paraId="46B5675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b/>
                      <w:color w:val="auto"/>
                      <w:kern w:val="2"/>
                      <w:sz w:val="21"/>
                      <w:szCs w:val="21"/>
                    </w:rPr>
                  </w:pPr>
                  <w:r>
                    <w:rPr>
                      <w:rFonts w:hint="default" w:ascii="Times New Roman" w:hAnsi="Times New Roman" w:cs="Times New Roman"/>
                      <w:color w:val="auto"/>
                      <w:kern w:val="2"/>
                      <w:sz w:val="21"/>
                      <w:szCs w:val="21"/>
                    </w:rPr>
                    <w:t>7.5</w:t>
                  </w:r>
                </w:p>
              </w:tc>
              <w:tc>
                <w:tcPr>
                  <w:tcW w:w="797" w:type="pct"/>
                  <w:vAlign w:val="center"/>
                </w:tcPr>
                <w:p w14:paraId="6F8507C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bCs/>
                      <w:color w:val="auto"/>
                      <w:kern w:val="2"/>
                      <w:sz w:val="21"/>
                      <w:szCs w:val="21"/>
                    </w:rPr>
                  </w:pPr>
                  <w:r>
                    <w:rPr>
                      <w:rFonts w:hint="default" w:ascii="Times New Roman" w:hAnsi="Times New Roman" w:cs="Times New Roman"/>
                      <w:color w:val="auto"/>
                      <w:kern w:val="2"/>
                      <w:sz w:val="21"/>
                      <w:szCs w:val="21"/>
                    </w:rPr>
                    <w:t>0.000267</w:t>
                  </w:r>
                </w:p>
              </w:tc>
              <w:tc>
                <w:tcPr>
                  <w:tcW w:w="363" w:type="pct"/>
                  <w:vMerge w:val="restart"/>
                  <w:vAlign w:val="center"/>
                </w:tcPr>
                <w:p w14:paraId="62871AB1">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
                      <w:bCs/>
                      <w:color w:val="auto"/>
                      <w:kern w:val="2"/>
                      <w:sz w:val="21"/>
                      <w:szCs w:val="21"/>
                    </w:rPr>
                  </w:pPr>
                  <w:r>
                    <w:rPr>
                      <w:rFonts w:hint="eastAsia" w:ascii="Times New Roman" w:hAnsi="Times New Roman"/>
                      <w:bCs/>
                      <w:color w:val="auto"/>
                      <w:kern w:val="2"/>
                      <w:sz w:val="21"/>
                      <w:szCs w:val="21"/>
                    </w:rPr>
                    <w:t>化学品仓库</w:t>
                  </w:r>
                </w:p>
              </w:tc>
            </w:tr>
            <w:tr w14:paraId="5EA322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79" w:type="pct"/>
                  <w:vAlign w:val="center"/>
                </w:tcPr>
                <w:p w14:paraId="205B8F04">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highlight w:val="none"/>
                    </w:rPr>
                  </w:pPr>
                  <w:r>
                    <w:rPr>
                      <w:rFonts w:hint="default" w:ascii="Times New Roman" w:hAnsi="Times New Roman"/>
                      <w:color w:val="auto"/>
                      <w:kern w:val="2"/>
                      <w:sz w:val="21"/>
                      <w:szCs w:val="21"/>
                      <w:highlight w:val="none"/>
                    </w:rPr>
                    <w:t>碳氢清洗剂</w:t>
                  </w:r>
                </w:p>
              </w:tc>
              <w:tc>
                <w:tcPr>
                  <w:tcW w:w="733" w:type="pct"/>
                  <w:vAlign w:val="center"/>
                </w:tcPr>
                <w:p w14:paraId="26BDA7F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2"/>
                      <w:sz w:val="21"/>
                      <w:szCs w:val="21"/>
                      <w:highlight w:val="none"/>
                    </w:rPr>
                  </w:pPr>
                  <w:r>
                    <w:rPr>
                      <w:rFonts w:hint="default" w:ascii="Times New Roman" w:hAnsi="Times New Roman" w:cs="Times New Roman"/>
                      <w:color w:val="auto"/>
                      <w:kern w:val="2"/>
                      <w:sz w:val="21"/>
                      <w:szCs w:val="21"/>
                      <w:highlight w:val="none"/>
                    </w:rPr>
                    <w:t>0.5</w:t>
                  </w:r>
                </w:p>
              </w:tc>
              <w:tc>
                <w:tcPr>
                  <w:tcW w:w="1496" w:type="pct"/>
                  <w:vMerge w:val="continue"/>
                  <w:vAlign w:val="center"/>
                </w:tcPr>
                <w:p w14:paraId="507A53F8">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c>
                <w:tcPr>
                  <w:tcW w:w="630" w:type="pct"/>
                  <w:vAlign w:val="center"/>
                </w:tcPr>
                <w:p w14:paraId="51238FF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bCs/>
                      <w:color w:val="auto"/>
                      <w:kern w:val="2"/>
                      <w:sz w:val="21"/>
                      <w:szCs w:val="21"/>
                      <w:lang w:val="en-US" w:eastAsia="zh-CN"/>
                    </w:rPr>
                  </w:pPr>
                  <w:r>
                    <w:rPr>
                      <w:rFonts w:hint="eastAsia" w:ascii="Times New Roman" w:hAnsi="Times New Roman" w:cs="Times New Roman"/>
                      <w:color w:val="auto"/>
                      <w:kern w:val="2"/>
                      <w:sz w:val="21"/>
                      <w:szCs w:val="21"/>
                      <w:lang w:val="en-US" w:eastAsia="zh-CN"/>
                    </w:rPr>
                    <w:t>10</w:t>
                  </w:r>
                </w:p>
              </w:tc>
              <w:tc>
                <w:tcPr>
                  <w:tcW w:w="797" w:type="pct"/>
                  <w:vAlign w:val="center"/>
                </w:tcPr>
                <w:p w14:paraId="3C4BFF43">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bCs/>
                      <w:color w:val="auto"/>
                      <w:kern w:val="2"/>
                      <w:sz w:val="21"/>
                      <w:szCs w:val="21"/>
                      <w:lang w:eastAsia="zh-CN"/>
                    </w:rPr>
                  </w:pPr>
                  <w:r>
                    <w:rPr>
                      <w:rFonts w:hint="default" w:ascii="Times New Roman" w:hAnsi="Times New Roman" w:cs="Times New Roman"/>
                      <w:color w:val="auto"/>
                      <w:kern w:val="2"/>
                      <w:sz w:val="21"/>
                      <w:szCs w:val="21"/>
                    </w:rPr>
                    <w:t>0.0</w:t>
                  </w:r>
                  <w:r>
                    <w:rPr>
                      <w:rFonts w:hint="eastAsia" w:ascii="Times New Roman" w:hAnsi="Times New Roman" w:cs="Times New Roman"/>
                      <w:color w:val="auto"/>
                      <w:kern w:val="2"/>
                      <w:sz w:val="21"/>
                      <w:szCs w:val="21"/>
                      <w:lang w:val="en-US" w:eastAsia="zh-CN"/>
                    </w:rPr>
                    <w:t>5</w:t>
                  </w:r>
                </w:p>
              </w:tc>
              <w:tc>
                <w:tcPr>
                  <w:tcW w:w="363" w:type="pct"/>
                  <w:vMerge w:val="continue"/>
                  <w:vAlign w:val="center"/>
                </w:tcPr>
                <w:p w14:paraId="28DA7628">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r>
            <w:tr w14:paraId="60F747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79" w:type="pct"/>
                  <w:vAlign w:val="center"/>
                </w:tcPr>
                <w:p w14:paraId="4A1A3FBC">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液压油</w:t>
                  </w:r>
                </w:p>
              </w:tc>
              <w:tc>
                <w:tcPr>
                  <w:tcW w:w="733" w:type="pct"/>
                  <w:vAlign w:val="center"/>
                </w:tcPr>
                <w:p w14:paraId="4254F44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s="Times New Roman"/>
                      <w:color w:val="auto"/>
                      <w:kern w:val="2"/>
                      <w:sz w:val="21"/>
                      <w:szCs w:val="21"/>
                    </w:rPr>
                    <w:t>0.03</w:t>
                  </w:r>
                </w:p>
              </w:tc>
              <w:tc>
                <w:tcPr>
                  <w:tcW w:w="1496" w:type="pct"/>
                  <w:vMerge w:val="continue"/>
                  <w:vAlign w:val="center"/>
                </w:tcPr>
                <w:p w14:paraId="76C4D366">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c>
                <w:tcPr>
                  <w:tcW w:w="630" w:type="pct"/>
                  <w:vAlign w:val="center"/>
                </w:tcPr>
                <w:p w14:paraId="57823E9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bCs/>
                      <w:color w:val="auto"/>
                      <w:kern w:val="2"/>
                      <w:sz w:val="21"/>
                      <w:szCs w:val="21"/>
                    </w:rPr>
                  </w:pPr>
                  <w:r>
                    <w:rPr>
                      <w:rFonts w:hint="default" w:ascii="Times New Roman" w:hAnsi="Times New Roman" w:cs="Times New Roman"/>
                      <w:color w:val="auto"/>
                      <w:kern w:val="2"/>
                      <w:sz w:val="21"/>
                      <w:szCs w:val="21"/>
                    </w:rPr>
                    <w:t>2500</w:t>
                  </w:r>
                </w:p>
              </w:tc>
              <w:tc>
                <w:tcPr>
                  <w:tcW w:w="797" w:type="pct"/>
                  <w:vAlign w:val="center"/>
                </w:tcPr>
                <w:p w14:paraId="11384B2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bCs/>
                      <w:color w:val="auto"/>
                      <w:kern w:val="2"/>
                      <w:sz w:val="21"/>
                      <w:szCs w:val="21"/>
                    </w:rPr>
                  </w:pPr>
                  <w:r>
                    <w:rPr>
                      <w:rFonts w:hint="default" w:ascii="Times New Roman" w:hAnsi="Times New Roman" w:cs="Times New Roman"/>
                      <w:color w:val="auto"/>
                      <w:kern w:val="2"/>
                      <w:sz w:val="21"/>
                      <w:szCs w:val="21"/>
                    </w:rPr>
                    <w:t>0.000012</w:t>
                  </w:r>
                </w:p>
              </w:tc>
              <w:tc>
                <w:tcPr>
                  <w:tcW w:w="363" w:type="pct"/>
                  <w:vMerge w:val="continue"/>
                  <w:vAlign w:val="center"/>
                </w:tcPr>
                <w:p w14:paraId="51101A38">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r>
            <w:tr w14:paraId="00F9B1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79" w:type="pct"/>
                  <w:vAlign w:val="center"/>
                </w:tcPr>
                <w:p w14:paraId="49185922">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变速箱油</w:t>
                  </w:r>
                </w:p>
              </w:tc>
              <w:tc>
                <w:tcPr>
                  <w:tcW w:w="733" w:type="pct"/>
                  <w:vAlign w:val="center"/>
                </w:tcPr>
                <w:p w14:paraId="33E0A8B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s="Times New Roman"/>
                      <w:color w:val="auto"/>
                      <w:kern w:val="2"/>
                      <w:sz w:val="21"/>
                      <w:szCs w:val="21"/>
                    </w:rPr>
                    <w:t>1.5</w:t>
                  </w:r>
                </w:p>
              </w:tc>
              <w:tc>
                <w:tcPr>
                  <w:tcW w:w="1496" w:type="pct"/>
                  <w:vMerge w:val="continue"/>
                  <w:vAlign w:val="center"/>
                </w:tcPr>
                <w:p w14:paraId="1BF66866">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c>
                <w:tcPr>
                  <w:tcW w:w="630" w:type="pct"/>
                  <w:vAlign w:val="center"/>
                </w:tcPr>
                <w:p w14:paraId="19F117C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bCs/>
                      <w:color w:val="auto"/>
                      <w:kern w:val="2"/>
                      <w:sz w:val="21"/>
                      <w:szCs w:val="21"/>
                    </w:rPr>
                  </w:pPr>
                  <w:r>
                    <w:rPr>
                      <w:rFonts w:hint="default" w:ascii="Times New Roman" w:hAnsi="Times New Roman" w:cs="Times New Roman"/>
                      <w:color w:val="auto"/>
                      <w:kern w:val="2"/>
                      <w:sz w:val="21"/>
                      <w:szCs w:val="21"/>
                    </w:rPr>
                    <w:t>2500</w:t>
                  </w:r>
                </w:p>
              </w:tc>
              <w:tc>
                <w:tcPr>
                  <w:tcW w:w="797" w:type="pct"/>
                  <w:vAlign w:val="center"/>
                </w:tcPr>
                <w:p w14:paraId="45807C1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bCs/>
                      <w:color w:val="auto"/>
                      <w:kern w:val="2"/>
                      <w:sz w:val="21"/>
                      <w:szCs w:val="21"/>
                    </w:rPr>
                  </w:pPr>
                  <w:r>
                    <w:rPr>
                      <w:rFonts w:hint="default" w:ascii="Times New Roman" w:hAnsi="Times New Roman" w:cs="Times New Roman"/>
                      <w:color w:val="auto"/>
                      <w:kern w:val="2"/>
                      <w:sz w:val="21"/>
                      <w:szCs w:val="21"/>
                    </w:rPr>
                    <w:t>0.006</w:t>
                  </w:r>
                </w:p>
              </w:tc>
              <w:tc>
                <w:tcPr>
                  <w:tcW w:w="363" w:type="pct"/>
                  <w:vMerge w:val="continue"/>
                  <w:vAlign w:val="center"/>
                </w:tcPr>
                <w:p w14:paraId="6C16676B">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r>
            <w:tr w14:paraId="139E89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79" w:type="pct"/>
                  <w:vAlign w:val="center"/>
                </w:tcPr>
                <w:p w14:paraId="6B4FABCF">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润滑油</w:t>
                  </w:r>
                </w:p>
              </w:tc>
              <w:tc>
                <w:tcPr>
                  <w:tcW w:w="733" w:type="pct"/>
                  <w:vAlign w:val="center"/>
                </w:tcPr>
                <w:p w14:paraId="05A2EA1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color w:val="auto"/>
                      <w:kern w:val="2"/>
                      <w:sz w:val="21"/>
                      <w:szCs w:val="21"/>
                    </w:rPr>
                  </w:pPr>
                  <w:r>
                    <w:rPr>
                      <w:rFonts w:hint="default" w:ascii="Times New Roman" w:hAnsi="Times New Roman" w:cs="Times New Roman"/>
                      <w:color w:val="auto"/>
                      <w:kern w:val="2"/>
                      <w:sz w:val="21"/>
                      <w:szCs w:val="21"/>
                    </w:rPr>
                    <w:t>0.03</w:t>
                  </w:r>
                </w:p>
              </w:tc>
              <w:tc>
                <w:tcPr>
                  <w:tcW w:w="1496" w:type="pct"/>
                  <w:vMerge w:val="continue"/>
                  <w:vAlign w:val="center"/>
                </w:tcPr>
                <w:p w14:paraId="486A1D92">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c>
                <w:tcPr>
                  <w:tcW w:w="630" w:type="pct"/>
                  <w:vAlign w:val="center"/>
                </w:tcPr>
                <w:p w14:paraId="036B9CD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bCs/>
                      <w:color w:val="auto"/>
                      <w:kern w:val="2"/>
                      <w:sz w:val="21"/>
                      <w:szCs w:val="21"/>
                    </w:rPr>
                  </w:pPr>
                  <w:r>
                    <w:rPr>
                      <w:rFonts w:hint="default" w:ascii="Times New Roman" w:hAnsi="Times New Roman" w:cs="Times New Roman"/>
                      <w:color w:val="auto"/>
                      <w:kern w:val="2"/>
                      <w:sz w:val="21"/>
                      <w:szCs w:val="21"/>
                    </w:rPr>
                    <w:t>2500</w:t>
                  </w:r>
                </w:p>
              </w:tc>
              <w:tc>
                <w:tcPr>
                  <w:tcW w:w="797" w:type="pct"/>
                  <w:vAlign w:val="center"/>
                </w:tcPr>
                <w:p w14:paraId="03DF64F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bCs/>
                      <w:color w:val="auto"/>
                      <w:kern w:val="2"/>
                      <w:sz w:val="21"/>
                      <w:szCs w:val="21"/>
                    </w:rPr>
                  </w:pPr>
                  <w:r>
                    <w:rPr>
                      <w:rFonts w:hint="default" w:ascii="Times New Roman" w:hAnsi="Times New Roman" w:cs="Times New Roman"/>
                      <w:color w:val="auto"/>
                      <w:kern w:val="2"/>
                      <w:sz w:val="21"/>
                      <w:szCs w:val="21"/>
                    </w:rPr>
                    <w:t>0.000012</w:t>
                  </w:r>
                </w:p>
              </w:tc>
              <w:tc>
                <w:tcPr>
                  <w:tcW w:w="363" w:type="pct"/>
                  <w:vMerge w:val="continue"/>
                  <w:vAlign w:val="center"/>
                </w:tcPr>
                <w:p w14:paraId="089BE6A4">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r>
            <w:tr w14:paraId="4CB6B8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79" w:type="pct"/>
                  <w:shd w:val="clear" w:color="auto" w:fill="auto"/>
                  <w:vAlign w:val="center"/>
                </w:tcPr>
                <w:p w14:paraId="0B7D72C7">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废槽液</w:t>
                  </w:r>
                </w:p>
              </w:tc>
              <w:tc>
                <w:tcPr>
                  <w:tcW w:w="733" w:type="pct"/>
                  <w:shd w:val="clear" w:color="auto" w:fill="auto"/>
                  <w:vAlign w:val="center"/>
                </w:tcPr>
                <w:p w14:paraId="53AB5468">
                  <w:pPr>
                    <w:keepNext w:val="0"/>
                    <w:keepLines w:val="0"/>
                    <w:widowControl/>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rPr>
                    <w:t>0.</w:t>
                  </w:r>
                  <w:r>
                    <w:rPr>
                      <w:rFonts w:hint="eastAsia" w:ascii="Times New Roman" w:hAnsi="Times New Roman" w:cs="Times New Roman"/>
                      <w:color w:val="auto"/>
                      <w:kern w:val="2"/>
                      <w:sz w:val="21"/>
                      <w:szCs w:val="21"/>
                      <w:highlight w:val="none"/>
                      <w:lang w:val="en-US" w:eastAsia="zh-CN"/>
                    </w:rPr>
                    <w:t>527</w:t>
                  </w:r>
                </w:p>
              </w:tc>
              <w:tc>
                <w:tcPr>
                  <w:tcW w:w="1496" w:type="pct"/>
                  <w:vMerge w:val="continue"/>
                  <w:vAlign w:val="center"/>
                </w:tcPr>
                <w:p w14:paraId="650DAEA6">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c>
                <w:tcPr>
                  <w:tcW w:w="630" w:type="pct"/>
                  <w:vAlign w:val="center"/>
                </w:tcPr>
                <w:p w14:paraId="0A212FC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10</w:t>
                  </w:r>
                </w:p>
              </w:tc>
              <w:tc>
                <w:tcPr>
                  <w:tcW w:w="797" w:type="pct"/>
                  <w:vAlign w:val="center"/>
                </w:tcPr>
                <w:p w14:paraId="4709C42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rPr>
                  </w:pPr>
                  <w:r>
                    <w:rPr>
                      <w:rFonts w:hint="eastAsia" w:ascii="Times New Roman" w:hAnsi="Times New Roman" w:cs="Times New Roman"/>
                      <w:color w:val="auto"/>
                      <w:kern w:val="2"/>
                      <w:sz w:val="21"/>
                      <w:szCs w:val="21"/>
                      <w:lang w:val="en-US" w:eastAsia="zh-CN"/>
                    </w:rPr>
                    <w:t>0.0527</w:t>
                  </w:r>
                </w:p>
              </w:tc>
              <w:tc>
                <w:tcPr>
                  <w:tcW w:w="363" w:type="pct"/>
                  <w:vMerge w:val="restart"/>
                  <w:vAlign w:val="center"/>
                </w:tcPr>
                <w:p w14:paraId="4B27C097">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危废暂存间</w:t>
                  </w:r>
                </w:p>
              </w:tc>
            </w:tr>
            <w:tr w14:paraId="2707E7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979" w:type="pct"/>
                  <w:vAlign w:val="center"/>
                </w:tcPr>
                <w:p w14:paraId="7449A72E">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olor w:val="auto"/>
                      <w:kern w:val="2"/>
                      <w:sz w:val="21"/>
                      <w:szCs w:val="21"/>
                    </w:rPr>
                    <w:t>废</w:t>
                  </w:r>
                  <w:r>
                    <w:rPr>
                      <w:rFonts w:hint="eastAsia" w:ascii="Times New Roman" w:hAnsi="Times New Roman"/>
                      <w:color w:val="auto"/>
                      <w:kern w:val="2"/>
                      <w:sz w:val="21"/>
                      <w:szCs w:val="21"/>
                    </w:rPr>
                    <w:t>包装</w:t>
                  </w:r>
                  <w:r>
                    <w:rPr>
                      <w:rFonts w:hint="default" w:ascii="Times New Roman" w:hAnsi="Times New Roman"/>
                      <w:color w:val="auto"/>
                      <w:kern w:val="2"/>
                      <w:sz w:val="21"/>
                      <w:szCs w:val="21"/>
                    </w:rPr>
                    <w:t>桶</w:t>
                  </w:r>
                </w:p>
              </w:tc>
              <w:tc>
                <w:tcPr>
                  <w:tcW w:w="733" w:type="pct"/>
                  <w:vAlign w:val="center"/>
                </w:tcPr>
                <w:p w14:paraId="2D73D927">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olor w:val="auto"/>
                      <w:kern w:val="2"/>
                      <w:sz w:val="21"/>
                      <w:szCs w:val="21"/>
                    </w:rPr>
                    <w:t>0.</w:t>
                  </w:r>
                  <w:r>
                    <w:rPr>
                      <w:rFonts w:hint="eastAsia" w:ascii="Times New Roman" w:hAnsi="Times New Roman"/>
                      <w:color w:val="auto"/>
                      <w:kern w:val="2"/>
                      <w:sz w:val="21"/>
                      <w:szCs w:val="21"/>
                    </w:rPr>
                    <w:t>15</w:t>
                  </w:r>
                </w:p>
              </w:tc>
              <w:tc>
                <w:tcPr>
                  <w:tcW w:w="1496" w:type="pct"/>
                  <w:vMerge w:val="restart"/>
                  <w:vAlign w:val="center"/>
                </w:tcPr>
                <w:p w14:paraId="097C3990">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《建设项目环境风险评价技术导则》（HJ169-2018）附录B.2中的健康危险急性毒性物质（类别2，类别3）</w:t>
                  </w:r>
                </w:p>
              </w:tc>
              <w:tc>
                <w:tcPr>
                  <w:tcW w:w="630" w:type="pct"/>
                  <w:vAlign w:val="center"/>
                </w:tcPr>
                <w:p w14:paraId="72B89662">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50</w:t>
                  </w:r>
                </w:p>
              </w:tc>
              <w:tc>
                <w:tcPr>
                  <w:tcW w:w="797" w:type="pct"/>
                  <w:vAlign w:val="center"/>
                </w:tcPr>
                <w:p w14:paraId="13FF5FC1">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0.003</w:t>
                  </w:r>
                </w:p>
              </w:tc>
              <w:tc>
                <w:tcPr>
                  <w:tcW w:w="363" w:type="pct"/>
                  <w:vMerge w:val="continue"/>
                  <w:vAlign w:val="center"/>
                </w:tcPr>
                <w:p w14:paraId="6E2C707B">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p>
              </w:tc>
            </w:tr>
            <w:tr w14:paraId="5FB2AC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2" w:hRule="atLeast"/>
                <w:jc w:val="center"/>
              </w:trPr>
              <w:tc>
                <w:tcPr>
                  <w:tcW w:w="979" w:type="pct"/>
                  <w:vAlign w:val="center"/>
                </w:tcPr>
                <w:p w14:paraId="59320A02">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废</w:t>
                  </w:r>
                  <w:r>
                    <w:rPr>
                      <w:rFonts w:hint="eastAsia" w:ascii="Times New Roman" w:hAnsi="Times New Roman"/>
                      <w:color w:val="auto"/>
                      <w:kern w:val="2"/>
                      <w:sz w:val="21"/>
                      <w:szCs w:val="21"/>
                    </w:rPr>
                    <w:t>润滑</w:t>
                  </w:r>
                  <w:r>
                    <w:rPr>
                      <w:rFonts w:hint="default" w:ascii="Times New Roman" w:hAnsi="Times New Roman"/>
                      <w:color w:val="auto"/>
                      <w:kern w:val="2"/>
                      <w:sz w:val="21"/>
                      <w:szCs w:val="21"/>
                    </w:rPr>
                    <w:t>油</w:t>
                  </w:r>
                </w:p>
              </w:tc>
              <w:tc>
                <w:tcPr>
                  <w:tcW w:w="733" w:type="pct"/>
                  <w:shd w:val="clear" w:color="auto" w:fill="auto"/>
                  <w:vAlign w:val="center"/>
                </w:tcPr>
                <w:p w14:paraId="48E83BDF">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olor w:val="auto"/>
                      <w:kern w:val="2"/>
                      <w:sz w:val="21"/>
                      <w:szCs w:val="21"/>
                    </w:rPr>
                    <w:t>0.0</w:t>
                  </w:r>
                  <w:r>
                    <w:rPr>
                      <w:rFonts w:hint="eastAsia" w:ascii="Times New Roman" w:hAnsi="Times New Roman"/>
                      <w:color w:val="auto"/>
                      <w:kern w:val="2"/>
                      <w:sz w:val="21"/>
                      <w:szCs w:val="21"/>
                    </w:rPr>
                    <w:t>05</w:t>
                  </w:r>
                </w:p>
              </w:tc>
              <w:tc>
                <w:tcPr>
                  <w:tcW w:w="1496" w:type="pct"/>
                  <w:vMerge w:val="continue"/>
                  <w:vAlign w:val="center"/>
                </w:tcPr>
                <w:p w14:paraId="06C63C09">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c>
                <w:tcPr>
                  <w:tcW w:w="630" w:type="pct"/>
                  <w:vAlign w:val="center"/>
                </w:tcPr>
                <w:p w14:paraId="317246EA">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50</w:t>
                  </w:r>
                </w:p>
              </w:tc>
              <w:tc>
                <w:tcPr>
                  <w:tcW w:w="797" w:type="pct"/>
                  <w:vAlign w:val="center"/>
                </w:tcPr>
                <w:p w14:paraId="18729BFA">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0.00</w:t>
                  </w:r>
                  <w:r>
                    <w:rPr>
                      <w:rFonts w:hint="eastAsia" w:ascii="Times New Roman" w:hAnsi="Times New Roman"/>
                      <w:bCs/>
                      <w:color w:val="auto"/>
                      <w:kern w:val="2"/>
                      <w:sz w:val="21"/>
                      <w:szCs w:val="21"/>
                    </w:rPr>
                    <w:t>01</w:t>
                  </w:r>
                </w:p>
              </w:tc>
              <w:tc>
                <w:tcPr>
                  <w:tcW w:w="363" w:type="pct"/>
                  <w:vMerge w:val="continue"/>
                  <w:vAlign w:val="center"/>
                </w:tcPr>
                <w:p w14:paraId="380085CE">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r>
            <w:tr w14:paraId="744144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2" w:hRule="atLeast"/>
                <w:jc w:val="center"/>
              </w:trPr>
              <w:tc>
                <w:tcPr>
                  <w:tcW w:w="979" w:type="pct"/>
                  <w:vAlign w:val="center"/>
                </w:tcPr>
                <w:p w14:paraId="57290621">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含油抹布</w:t>
                  </w:r>
                </w:p>
              </w:tc>
              <w:tc>
                <w:tcPr>
                  <w:tcW w:w="733" w:type="pct"/>
                  <w:shd w:val="clear" w:color="auto" w:fill="auto"/>
                  <w:vAlign w:val="center"/>
                </w:tcPr>
                <w:p w14:paraId="69863844">
                  <w:pPr>
                    <w:keepNext w:val="0"/>
                    <w:keepLines w:val="0"/>
                    <w:widowControl/>
                    <w:suppressLineNumbers w:val="0"/>
                    <w:spacing w:before="0" w:beforeAutospacing="0" w:after="0" w:afterAutospacing="0" w:line="276" w:lineRule="auto"/>
                    <w:ind w:left="0" w:right="0"/>
                    <w:jc w:val="center"/>
                    <w:rPr>
                      <w:rFonts w:hint="default" w:ascii="Times New Roman" w:hAnsi="Times New Roman" w:cs="Times New Roman"/>
                      <w:color w:val="auto"/>
                      <w:kern w:val="2"/>
                      <w:sz w:val="21"/>
                      <w:szCs w:val="21"/>
                    </w:rPr>
                  </w:pPr>
                  <w:r>
                    <w:rPr>
                      <w:rFonts w:hint="default" w:ascii="Times New Roman" w:hAnsi="Times New Roman"/>
                      <w:color w:val="auto"/>
                      <w:kern w:val="2"/>
                      <w:sz w:val="21"/>
                      <w:szCs w:val="21"/>
                    </w:rPr>
                    <w:t>0.</w:t>
                  </w:r>
                  <w:r>
                    <w:rPr>
                      <w:rFonts w:hint="eastAsia" w:ascii="Times New Roman" w:hAnsi="Times New Roman"/>
                      <w:color w:val="auto"/>
                      <w:kern w:val="2"/>
                      <w:sz w:val="21"/>
                      <w:szCs w:val="21"/>
                    </w:rPr>
                    <w:t>1</w:t>
                  </w:r>
                </w:p>
              </w:tc>
              <w:tc>
                <w:tcPr>
                  <w:tcW w:w="1496" w:type="pct"/>
                  <w:vMerge w:val="continue"/>
                  <w:vAlign w:val="center"/>
                </w:tcPr>
                <w:p w14:paraId="5723E546">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c>
                <w:tcPr>
                  <w:tcW w:w="630" w:type="pct"/>
                  <w:vAlign w:val="center"/>
                </w:tcPr>
                <w:p w14:paraId="4DA885E2">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50</w:t>
                  </w:r>
                </w:p>
              </w:tc>
              <w:tc>
                <w:tcPr>
                  <w:tcW w:w="797" w:type="pct"/>
                  <w:vAlign w:val="center"/>
                </w:tcPr>
                <w:p w14:paraId="16D60D0E">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0.002</w:t>
                  </w:r>
                </w:p>
              </w:tc>
              <w:tc>
                <w:tcPr>
                  <w:tcW w:w="363" w:type="pct"/>
                  <w:vMerge w:val="continue"/>
                  <w:vAlign w:val="center"/>
                </w:tcPr>
                <w:p w14:paraId="21B07F21">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r>
            <w:tr w14:paraId="647BCE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979" w:type="pct"/>
                  <w:shd w:val="clear" w:color="auto" w:fill="auto"/>
                  <w:vAlign w:val="center"/>
                </w:tcPr>
                <w:p w14:paraId="31F77776">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废胶管</w:t>
                  </w:r>
                </w:p>
              </w:tc>
              <w:tc>
                <w:tcPr>
                  <w:tcW w:w="733" w:type="pct"/>
                  <w:vAlign w:val="center"/>
                </w:tcPr>
                <w:p w14:paraId="0D69E37A">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0.03</w:t>
                  </w:r>
                </w:p>
              </w:tc>
              <w:tc>
                <w:tcPr>
                  <w:tcW w:w="1496" w:type="pct"/>
                  <w:vMerge w:val="continue"/>
                  <w:vAlign w:val="center"/>
                </w:tcPr>
                <w:p w14:paraId="6834DF4F">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c>
                <w:tcPr>
                  <w:tcW w:w="630" w:type="pct"/>
                  <w:vAlign w:val="center"/>
                </w:tcPr>
                <w:p w14:paraId="4BCC4614">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50</w:t>
                  </w:r>
                </w:p>
              </w:tc>
              <w:tc>
                <w:tcPr>
                  <w:tcW w:w="797" w:type="pct"/>
                  <w:vAlign w:val="center"/>
                </w:tcPr>
                <w:p w14:paraId="0286A4E9">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default" w:ascii="Times New Roman" w:hAnsi="Times New Roman"/>
                      <w:bCs/>
                      <w:color w:val="auto"/>
                      <w:kern w:val="2"/>
                      <w:sz w:val="21"/>
                      <w:szCs w:val="21"/>
                    </w:rPr>
                    <w:t>0.00</w:t>
                  </w:r>
                  <w:r>
                    <w:rPr>
                      <w:rFonts w:hint="eastAsia" w:ascii="Times New Roman" w:hAnsi="Times New Roman"/>
                      <w:bCs/>
                      <w:color w:val="auto"/>
                      <w:kern w:val="2"/>
                      <w:sz w:val="21"/>
                      <w:szCs w:val="21"/>
                    </w:rPr>
                    <w:t>06</w:t>
                  </w:r>
                </w:p>
              </w:tc>
              <w:tc>
                <w:tcPr>
                  <w:tcW w:w="363" w:type="pct"/>
                  <w:vMerge w:val="continue"/>
                  <w:vAlign w:val="center"/>
                </w:tcPr>
                <w:p w14:paraId="07B2794A">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r>
            <w:tr w14:paraId="74A1D06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979" w:type="pct"/>
                  <w:shd w:val="clear" w:color="auto" w:fill="auto"/>
                  <w:vAlign w:val="center"/>
                </w:tcPr>
                <w:p w14:paraId="74734630">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废活性炭</w:t>
                  </w:r>
                </w:p>
              </w:tc>
              <w:tc>
                <w:tcPr>
                  <w:tcW w:w="733" w:type="pct"/>
                  <w:vAlign w:val="center"/>
                </w:tcPr>
                <w:p w14:paraId="62FEA149">
                  <w:pPr>
                    <w:keepNext w:val="0"/>
                    <w:keepLines w:val="0"/>
                    <w:widowControl/>
                    <w:suppressLineNumbers w:val="0"/>
                    <w:spacing w:before="0" w:beforeAutospacing="0" w:after="0" w:afterAutospacing="0" w:line="276" w:lineRule="auto"/>
                    <w:ind w:left="0" w:right="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0.21</w:t>
                  </w:r>
                </w:p>
              </w:tc>
              <w:tc>
                <w:tcPr>
                  <w:tcW w:w="1496" w:type="pct"/>
                  <w:vMerge w:val="continue"/>
                  <w:vAlign w:val="center"/>
                </w:tcPr>
                <w:p w14:paraId="7A1E8AAA">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c>
                <w:tcPr>
                  <w:tcW w:w="630" w:type="pct"/>
                  <w:vAlign w:val="center"/>
                </w:tcPr>
                <w:p w14:paraId="52636656">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bCs/>
                      <w:color w:val="auto"/>
                      <w:kern w:val="2"/>
                      <w:sz w:val="21"/>
                      <w:szCs w:val="21"/>
                    </w:rPr>
                  </w:pPr>
                  <w:r>
                    <w:rPr>
                      <w:rFonts w:hint="eastAsia" w:ascii="Times New Roman" w:hAnsi="Times New Roman"/>
                      <w:bCs/>
                      <w:color w:val="auto"/>
                      <w:kern w:val="2"/>
                      <w:sz w:val="21"/>
                      <w:szCs w:val="21"/>
                    </w:rPr>
                    <w:t>50</w:t>
                  </w:r>
                </w:p>
              </w:tc>
              <w:tc>
                <w:tcPr>
                  <w:tcW w:w="797" w:type="pct"/>
                  <w:vAlign w:val="center"/>
                </w:tcPr>
                <w:p w14:paraId="31F75558">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eastAsia="宋体"/>
                      <w:bCs/>
                      <w:color w:val="auto"/>
                      <w:kern w:val="2"/>
                      <w:sz w:val="21"/>
                      <w:szCs w:val="21"/>
                      <w:lang w:val="en-US" w:eastAsia="zh-CN"/>
                    </w:rPr>
                  </w:pPr>
                  <w:r>
                    <w:rPr>
                      <w:rFonts w:hint="eastAsia" w:ascii="Times New Roman" w:hAnsi="Times New Roman"/>
                      <w:bCs/>
                      <w:color w:val="auto"/>
                      <w:kern w:val="2"/>
                      <w:sz w:val="21"/>
                      <w:szCs w:val="21"/>
                    </w:rPr>
                    <w:t>0.</w:t>
                  </w:r>
                  <w:r>
                    <w:rPr>
                      <w:rFonts w:hint="eastAsia" w:ascii="Times New Roman" w:hAnsi="Times New Roman"/>
                      <w:bCs/>
                      <w:color w:val="auto"/>
                      <w:kern w:val="2"/>
                      <w:sz w:val="21"/>
                      <w:szCs w:val="21"/>
                      <w:lang w:val="en-US" w:eastAsia="zh-CN"/>
                    </w:rPr>
                    <w:t>0042</w:t>
                  </w:r>
                </w:p>
              </w:tc>
              <w:tc>
                <w:tcPr>
                  <w:tcW w:w="363" w:type="pct"/>
                  <w:vMerge w:val="continue"/>
                  <w:vAlign w:val="center"/>
                </w:tcPr>
                <w:p w14:paraId="28C2A47B">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r>
            <w:tr w14:paraId="2FF1C0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979" w:type="pct"/>
                  <w:shd w:val="clear" w:color="auto" w:fill="auto"/>
                  <w:vAlign w:val="center"/>
                </w:tcPr>
                <w:p w14:paraId="628A534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eastAsia="zh-CN"/>
                    </w:rPr>
                    <w:t>废</w:t>
                  </w:r>
                  <w:r>
                    <w:rPr>
                      <w:rFonts w:hint="eastAsia" w:ascii="Times New Roman" w:hAnsi="Times New Roman" w:cs="Times New Roman"/>
                      <w:color w:val="auto"/>
                      <w:kern w:val="2"/>
                      <w:sz w:val="21"/>
                      <w:szCs w:val="21"/>
                      <w:lang w:val="en-US" w:eastAsia="zh-CN"/>
                    </w:rPr>
                    <w:t>滤芯</w:t>
                  </w:r>
                </w:p>
              </w:tc>
              <w:tc>
                <w:tcPr>
                  <w:tcW w:w="733" w:type="pct"/>
                  <w:shd w:val="clear" w:color="auto" w:fill="auto"/>
                  <w:vAlign w:val="center"/>
                </w:tcPr>
                <w:p w14:paraId="6106F013">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宋体"/>
                      <w:color w:val="auto"/>
                      <w:kern w:val="2"/>
                      <w:sz w:val="21"/>
                      <w:szCs w:val="21"/>
                      <w:lang w:val="en-US" w:eastAsia="zh-CN" w:bidi="ar-SA"/>
                    </w:rPr>
                  </w:pPr>
                  <w:r>
                    <w:rPr>
                      <w:rFonts w:hint="eastAsia" w:ascii="Times New Roman" w:hAnsi="Times New Roman"/>
                      <w:color w:val="auto"/>
                      <w:kern w:val="2"/>
                      <w:sz w:val="21"/>
                      <w:szCs w:val="21"/>
                      <w:lang w:val="en-US" w:eastAsia="zh-CN"/>
                    </w:rPr>
                    <w:t>0.075</w:t>
                  </w:r>
                </w:p>
              </w:tc>
              <w:tc>
                <w:tcPr>
                  <w:tcW w:w="1496" w:type="pct"/>
                  <w:vMerge w:val="continue"/>
                  <w:vAlign w:val="center"/>
                </w:tcPr>
                <w:p w14:paraId="6279F64B">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c>
                <w:tcPr>
                  <w:tcW w:w="630" w:type="pct"/>
                  <w:shd w:val="clear" w:color="auto" w:fill="auto"/>
                  <w:vAlign w:val="center"/>
                </w:tcPr>
                <w:p w14:paraId="7A98516B">
                  <w:pPr>
                    <w:keepNext w:val="0"/>
                    <w:keepLines w:val="0"/>
                    <w:widowControl/>
                    <w:suppressLineNumbers w:val="0"/>
                    <w:autoSpaceDE w:val="0"/>
                    <w:autoSpaceDN w:val="0"/>
                    <w:spacing w:before="0" w:beforeAutospacing="0" w:after="0" w:afterAutospacing="0" w:line="276" w:lineRule="auto"/>
                    <w:ind w:left="0" w:leftChars="0" w:right="0" w:right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bCs/>
                      <w:color w:val="auto"/>
                      <w:kern w:val="2"/>
                      <w:sz w:val="21"/>
                      <w:szCs w:val="21"/>
                    </w:rPr>
                    <w:t>50</w:t>
                  </w:r>
                </w:p>
              </w:tc>
              <w:tc>
                <w:tcPr>
                  <w:tcW w:w="797" w:type="pct"/>
                  <w:vAlign w:val="center"/>
                </w:tcPr>
                <w:p w14:paraId="06B2691C">
                  <w:pPr>
                    <w:keepNext w:val="0"/>
                    <w:keepLines w:val="0"/>
                    <w:widowControl/>
                    <w:suppressLineNumbers w:val="0"/>
                    <w:autoSpaceDE w:val="0"/>
                    <w:autoSpaceDN w:val="0"/>
                    <w:spacing w:before="0" w:beforeAutospacing="0" w:after="0" w:afterAutospacing="0" w:line="276" w:lineRule="auto"/>
                    <w:ind w:left="0" w:right="0"/>
                    <w:jc w:val="center"/>
                    <w:rPr>
                      <w:rFonts w:hint="default" w:ascii="Times New Roman" w:hAnsi="Times New Roman" w:eastAsia="宋体"/>
                      <w:bCs/>
                      <w:color w:val="auto"/>
                      <w:kern w:val="2"/>
                      <w:sz w:val="21"/>
                      <w:szCs w:val="21"/>
                      <w:lang w:val="en-US" w:eastAsia="zh-CN"/>
                    </w:rPr>
                  </w:pPr>
                  <w:r>
                    <w:rPr>
                      <w:rFonts w:hint="eastAsia" w:ascii="Times New Roman" w:hAnsi="Times New Roman"/>
                      <w:bCs/>
                      <w:color w:val="auto"/>
                      <w:kern w:val="2"/>
                      <w:sz w:val="21"/>
                      <w:szCs w:val="21"/>
                      <w:lang w:val="en-US" w:eastAsia="zh-CN"/>
                    </w:rPr>
                    <w:t>0.0015</w:t>
                  </w:r>
                </w:p>
              </w:tc>
              <w:tc>
                <w:tcPr>
                  <w:tcW w:w="363" w:type="pct"/>
                  <w:vMerge w:val="continue"/>
                  <w:vAlign w:val="center"/>
                </w:tcPr>
                <w:p w14:paraId="286993A1">
                  <w:pPr>
                    <w:keepNext w:val="0"/>
                    <w:keepLines w:val="0"/>
                    <w:widowControl/>
                    <w:suppressLineNumbers w:val="0"/>
                    <w:spacing w:before="0" w:beforeAutospacing="0" w:after="0" w:afterAutospacing="0" w:line="276" w:lineRule="auto"/>
                    <w:ind w:left="0" w:right="0"/>
                    <w:rPr>
                      <w:rFonts w:hint="default" w:ascii="Times New Roman" w:hAnsi="Times New Roman"/>
                      <w:bCs/>
                      <w:color w:val="auto"/>
                      <w:kern w:val="2"/>
                      <w:sz w:val="21"/>
                      <w:szCs w:val="21"/>
                    </w:rPr>
                  </w:pPr>
                </w:p>
              </w:tc>
            </w:tr>
            <w:tr w14:paraId="42961F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3839" w:type="pct"/>
                  <w:gridSpan w:val="4"/>
                  <w:vAlign w:val="center"/>
                </w:tcPr>
                <w:p w14:paraId="1A9446D3">
                  <w:pPr>
                    <w:keepNext w:val="0"/>
                    <w:keepLines w:val="0"/>
                    <w:widowControl/>
                    <w:suppressLineNumbers w:val="0"/>
                    <w:autoSpaceDE w:val="0"/>
                    <w:autoSpaceDN w:val="0"/>
                    <w:spacing w:before="0" w:beforeAutospacing="0" w:after="0" w:afterAutospacing="0" w:line="276" w:lineRule="auto"/>
                    <w:ind w:left="0" w:right="0"/>
                    <w:jc w:val="center"/>
                    <w:rPr>
                      <w:rFonts w:hint="eastAsia" w:ascii="Times New Roman" w:hAnsi="Times New Roman"/>
                      <w:bCs/>
                      <w:color w:val="auto"/>
                      <w:kern w:val="2"/>
                      <w:sz w:val="21"/>
                      <w:szCs w:val="21"/>
                    </w:rPr>
                  </w:pPr>
                  <w:r>
                    <w:rPr>
                      <w:rFonts w:hint="eastAsia" w:ascii="Times New Roman" w:hAnsi="Times New Roman"/>
                      <w:bCs/>
                      <w:color w:val="auto"/>
                      <w:kern w:val="2"/>
                      <w:sz w:val="21"/>
                      <w:szCs w:val="21"/>
                    </w:rPr>
                    <w:t>合计</w:t>
                  </w:r>
                </w:p>
              </w:tc>
              <w:tc>
                <w:tcPr>
                  <w:tcW w:w="1160" w:type="pct"/>
                  <w:gridSpan w:val="2"/>
                  <w:vAlign w:val="center"/>
                </w:tcPr>
                <w:p w14:paraId="02E324EF">
                  <w:pPr>
                    <w:keepNext w:val="0"/>
                    <w:keepLines w:val="0"/>
                    <w:widowControl/>
                    <w:suppressLineNumbers w:val="0"/>
                    <w:spacing w:before="0" w:beforeAutospacing="0" w:after="0" w:afterAutospacing="0" w:line="276" w:lineRule="auto"/>
                    <w:ind w:left="0" w:right="0"/>
                    <w:rPr>
                      <w:rFonts w:hint="default" w:ascii="Times New Roman" w:hAnsi="Times New Roman" w:eastAsia="宋体"/>
                      <w:bCs/>
                      <w:color w:val="auto"/>
                      <w:kern w:val="2"/>
                      <w:sz w:val="21"/>
                      <w:szCs w:val="21"/>
                      <w:lang w:val="en-US" w:eastAsia="zh-CN"/>
                    </w:rPr>
                  </w:pPr>
                  <w:r>
                    <w:rPr>
                      <w:rFonts w:hint="eastAsia" w:ascii="Times New Roman" w:hAnsi="Times New Roman"/>
                      <w:bCs/>
                      <w:color w:val="auto"/>
                      <w:kern w:val="2"/>
                      <w:sz w:val="21"/>
                      <w:szCs w:val="21"/>
                    </w:rPr>
                    <w:t>0.</w:t>
                  </w:r>
                  <w:r>
                    <w:rPr>
                      <w:rFonts w:hint="eastAsia" w:ascii="Times New Roman" w:hAnsi="Times New Roman"/>
                      <w:bCs/>
                      <w:color w:val="auto"/>
                      <w:kern w:val="2"/>
                      <w:sz w:val="21"/>
                      <w:szCs w:val="21"/>
                      <w:lang w:val="en-US" w:eastAsia="zh-CN"/>
                    </w:rPr>
                    <w:t>12</w:t>
                  </w:r>
                </w:p>
              </w:tc>
            </w:tr>
          </w:tbl>
          <w:p w14:paraId="64C2FA75">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b/>
                <w:color w:val="auto"/>
                <w:kern w:val="2"/>
              </w:rPr>
            </w:pPr>
            <w:r>
              <w:rPr>
                <w:rFonts w:hint="eastAsia" w:ascii="Times New Roman" w:hAnsi="Times New Roman" w:eastAsia="宋体" w:cs="Times New Roman"/>
                <w:bCs/>
                <w:color w:val="auto"/>
                <w:kern w:val="0"/>
                <w:sz w:val="24"/>
                <w:szCs w:val="24"/>
                <w:lang w:val="en-US" w:eastAsia="zh-CN" w:bidi="ar"/>
              </w:rPr>
              <w:t>本项目建成后全厂</w:t>
            </w:r>
            <w:r>
              <w:rPr>
                <w:rFonts w:hint="default" w:ascii="Times New Roman" w:hAnsi="Times New Roman" w:eastAsia="宋体" w:cs="Times New Roman"/>
                <w:bCs/>
                <w:color w:val="auto"/>
                <w:kern w:val="0"/>
                <w:sz w:val="24"/>
                <w:szCs w:val="24"/>
                <w:lang w:val="en-US" w:eastAsia="zh-CN" w:bidi="ar"/>
              </w:rPr>
              <w:t>Q</w:t>
            </w:r>
            <w:r>
              <w:rPr>
                <w:rFonts w:hint="eastAsia" w:ascii="Times New Roman" w:hAnsi="Times New Roman" w:eastAsia="宋体" w:cs="Times New Roman"/>
                <w:bCs/>
                <w:color w:val="auto"/>
                <w:kern w:val="0"/>
                <w:sz w:val="24"/>
                <w:szCs w:val="24"/>
                <w:lang w:val="en-US" w:eastAsia="zh-CN" w:bidi="ar"/>
              </w:rPr>
              <w:t>值为</w:t>
            </w:r>
            <w:r>
              <w:rPr>
                <w:rFonts w:hint="default" w:ascii="Times New Roman" w:hAnsi="Times New Roman" w:eastAsia="宋体" w:cs="Times New Roman"/>
                <w:bCs/>
                <w:color w:val="auto"/>
                <w:kern w:val="0"/>
                <w:sz w:val="24"/>
                <w:szCs w:val="24"/>
                <w:lang w:val="en-US" w:eastAsia="zh-CN" w:bidi="ar"/>
              </w:rPr>
              <w:t>0.</w:t>
            </w:r>
            <w:r>
              <w:rPr>
                <w:rFonts w:hint="eastAsia" w:ascii="Times New Roman" w:hAnsi="Times New Roman" w:cs="Times New Roman"/>
                <w:bCs/>
                <w:color w:val="auto"/>
                <w:kern w:val="0"/>
                <w:sz w:val="24"/>
                <w:szCs w:val="24"/>
                <w:lang w:val="en-US" w:eastAsia="zh-CN" w:bidi="ar"/>
              </w:rPr>
              <w:t>24</w:t>
            </w:r>
            <w:r>
              <w:rPr>
                <w:rFonts w:hint="default" w:ascii="Times New Roman" w:hAnsi="Times New Roman" w:eastAsia="宋体" w:cs="Times New Roman"/>
                <w:bCs/>
                <w:color w:val="auto"/>
                <w:kern w:val="0"/>
                <w:sz w:val="24"/>
                <w:szCs w:val="24"/>
                <w:lang w:val="en-US" w:eastAsia="zh-CN" w:bidi="ar"/>
              </w:rPr>
              <w:t>+0.</w:t>
            </w:r>
            <w:r>
              <w:rPr>
                <w:rFonts w:hint="eastAsia" w:ascii="Times New Roman" w:hAnsi="Times New Roman" w:cs="Times New Roman"/>
                <w:bCs/>
                <w:color w:val="auto"/>
                <w:kern w:val="0"/>
                <w:sz w:val="24"/>
                <w:szCs w:val="24"/>
                <w:lang w:val="en-US" w:eastAsia="zh-CN" w:bidi="ar"/>
              </w:rPr>
              <w:t>12</w:t>
            </w:r>
            <w:r>
              <w:rPr>
                <w:rFonts w:hint="default" w:ascii="Times New Roman" w:hAnsi="Times New Roman" w:eastAsia="宋体" w:cs="Times New Roman"/>
                <w:bCs/>
                <w:color w:val="auto"/>
                <w:kern w:val="0"/>
                <w:sz w:val="24"/>
                <w:szCs w:val="24"/>
                <w:lang w:val="en-US" w:eastAsia="zh-CN" w:bidi="ar"/>
              </w:rPr>
              <w:t>=0.</w:t>
            </w:r>
            <w:r>
              <w:rPr>
                <w:rFonts w:hint="eastAsia" w:ascii="Times New Roman" w:hAnsi="Times New Roman" w:cs="Times New Roman"/>
                <w:bCs/>
                <w:color w:val="auto"/>
                <w:kern w:val="0"/>
                <w:sz w:val="24"/>
                <w:szCs w:val="24"/>
                <w:lang w:val="en-US" w:eastAsia="zh-CN" w:bidi="ar"/>
              </w:rPr>
              <w:t>36</w:t>
            </w:r>
            <w:r>
              <w:rPr>
                <w:rFonts w:hint="eastAsia" w:ascii="Times New Roman" w:hAnsi="Times New Roman" w:eastAsia="宋体" w:cs="Times New Roman"/>
                <w:bCs/>
                <w:color w:val="auto"/>
                <w:kern w:val="0"/>
                <w:sz w:val="24"/>
                <w:szCs w:val="24"/>
                <w:lang w:val="en-US" w:eastAsia="zh-CN" w:bidi="ar"/>
              </w:rPr>
              <w:t>＜</w:t>
            </w:r>
            <w:r>
              <w:rPr>
                <w:rFonts w:hint="default" w:ascii="Times New Roman" w:hAnsi="Times New Roman" w:eastAsia="宋体" w:cs="Times New Roman"/>
                <w:bCs/>
                <w:color w:val="auto"/>
                <w:kern w:val="0"/>
                <w:sz w:val="24"/>
                <w:szCs w:val="24"/>
                <w:lang w:val="en-US" w:eastAsia="zh-CN" w:bidi="ar"/>
              </w:rPr>
              <w:t>1</w:t>
            </w:r>
            <w:r>
              <w:rPr>
                <w:rFonts w:hint="eastAsia" w:ascii="Times New Roman" w:hAnsi="Times New Roman" w:eastAsia="宋体" w:cs="Times New Roman"/>
                <w:bCs/>
                <w:color w:val="auto"/>
                <w:kern w:val="0"/>
                <w:sz w:val="24"/>
                <w:szCs w:val="24"/>
                <w:lang w:val="en-US" w:eastAsia="zh-CN" w:bidi="ar"/>
              </w:rPr>
              <w:t>。</w:t>
            </w:r>
          </w:p>
          <w:p w14:paraId="204CB5C4">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default" w:ascii="Times New Roman" w:hAnsi="Times New Roman"/>
                <w:b/>
                <w:color w:val="auto"/>
                <w:kern w:val="2"/>
              </w:rPr>
              <w:t>2、环境风险识别与分析</w:t>
            </w:r>
          </w:p>
          <w:p w14:paraId="2C356041">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根据编制指南要求，环境风险评价的风险识别范围主要包括环保设施风险识别以及生产过程中物质风险识别。建设项目运营期环境风险识别结果见下表。</w:t>
            </w:r>
          </w:p>
          <w:p w14:paraId="5616210F">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黑体"/>
                <w:color w:val="auto"/>
                <w:kern w:val="2"/>
              </w:rPr>
            </w:pPr>
            <w:r>
              <w:rPr>
                <w:rFonts w:hint="default" w:ascii="Times New Roman" w:hAnsi="Times New Roman" w:eastAsia="黑体"/>
                <w:color w:val="auto"/>
                <w:kern w:val="2"/>
              </w:rPr>
              <w:t>表4-</w:t>
            </w:r>
            <w:r>
              <w:rPr>
                <w:rFonts w:hint="eastAsia" w:ascii="Times New Roman" w:hAnsi="Times New Roman" w:eastAsia="黑体"/>
                <w:color w:val="auto"/>
                <w:kern w:val="2"/>
                <w:lang w:val="en-US" w:eastAsia="zh-CN"/>
              </w:rPr>
              <w:t>15</w:t>
            </w:r>
            <w:r>
              <w:rPr>
                <w:rFonts w:hint="default" w:ascii="Times New Roman" w:hAnsi="Times New Roman" w:eastAsia="黑体"/>
                <w:color w:val="auto"/>
                <w:kern w:val="2"/>
              </w:rPr>
              <w:t xml:space="preserve">  环境风险识别一览表</w:t>
            </w:r>
          </w:p>
          <w:tbl>
            <w:tblPr>
              <w:tblStyle w:val="23"/>
              <w:tblW w:w="50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61"/>
              <w:gridCol w:w="1049"/>
              <w:gridCol w:w="1434"/>
              <w:gridCol w:w="1096"/>
              <w:gridCol w:w="1211"/>
              <w:gridCol w:w="2027"/>
            </w:tblGrid>
            <w:tr w14:paraId="2C8A0C6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pct"/>
                  <w:tcBorders>
                    <w:top w:val="single" w:color="auto" w:sz="12" w:space="0"/>
                    <w:left w:val="nil"/>
                    <w:bottom w:val="single" w:color="000000" w:sz="4" w:space="0"/>
                    <w:right w:val="single" w:color="000000" w:sz="4" w:space="0"/>
                  </w:tcBorders>
                  <w:vAlign w:val="center"/>
                </w:tcPr>
                <w:p w14:paraId="5BC1A07D">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系统名称</w:t>
                  </w:r>
                </w:p>
              </w:tc>
              <w:tc>
                <w:tcPr>
                  <w:tcW w:w="692" w:type="pct"/>
                  <w:tcBorders>
                    <w:top w:val="single" w:color="auto" w:sz="12" w:space="0"/>
                    <w:left w:val="nil"/>
                    <w:bottom w:val="single" w:color="000000" w:sz="4" w:space="0"/>
                    <w:right w:val="single" w:color="000000" w:sz="4" w:space="0"/>
                  </w:tcBorders>
                  <w:vAlign w:val="center"/>
                </w:tcPr>
                <w:p w14:paraId="377F14D5">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危险单元</w:t>
                  </w:r>
                </w:p>
              </w:tc>
              <w:tc>
                <w:tcPr>
                  <w:tcW w:w="946" w:type="pct"/>
                  <w:tcBorders>
                    <w:top w:val="single" w:color="auto" w:sz="12" w:space="0"/>
                    <w:left w:val="nil"/>
                    <w:bottom w:val="single" w:color="000000" w:sz="4" w:space="0"/>
                    <w:right w:val="single" w:color="000000" w:sz="4" w:space="0"/>
                  </w:tcBorders>
                  <w:vAlign w:val="center"/>
                </w:tcPr>
                <w:p w14:paraId="485F8751">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主要危险物质</w:t>
                  </w:r>
                </w:p>
              </w:tc>
              <w:tc>
                <w:tcPr>
                  <w:tcW w:w="723" w:type="pct"/>
                  <w:tcBorders>
                    <w:top w:val="single" w:color="auto" w:sz="12" w:space="0"/>
                    <w:left w:val="nil"/>
                    <w:bottom w:val="single" w:color="000000" w:sz="4" w:space="0"/>
                    <w:right w:val="single" w:color="000000" w:sz="4" w:space="0"/>
                  </w:tcBorders>
                  <w:vAlign w:val="center"/>
                </w:tcPr>
                <w:p w14:paraId="054068AD">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环境风险类型</w:t>
                  </w:r>
                </w:p>
              </w:tc>
              <w:tc>
                <w:tcPr>
                  <w:tcW w:w="799" w:type="pct"/>
                  <w:tcBorders>
                    <w:top w:val="single" w:color="auto" w:sz="12" w:space="0"/>
                    <w:left w:val="nil"/>
                    <w:bottom w:val="single" w:color="000000" w:sz="4" w:space="0"/>
                    <w:right w:val="single" w:color="000000" w:sz="4" w:space="0"/>
                  </w:tcBorders>
                  <w:vAlign w:val="center"/>
                </w:tcPr>
                <w:p w14:paraId="63C038A7">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环境影响途径</w:t>
                  </w:r>
                </w:p>
              </w:tc>
              <w:tc>
                <w:tcPr>
                  <w:tcW w:w="1337" w:type="pct"/>
                  <w:tcBorders>
                    <w:top w:val="single" w:color="auto" w:sz="12" w:space="0"/>
                    <w:left w:val="nil"/>
                    <w:bottom w:val="single" w:color="000000" w:sz="4" w:space="0"/>
                    <w:right w:val="nil"/>
                  </w:tcBorders>
                  <w:vAlign w:val="center"/>
                </w:tcPr>
                <w:p w14:paraId="2461EB3C">
                  <w:pPr>
                    <w:keepNext w:val="0"/>
                    <w:keepLines w:val="0"/>
                    <w:widowControl/>
                    <w:suppressLineNumbers w:val="0"/>
                    <w:spacing w:before="0" w:beforeAutospacing="0" w:after="0" w:afterAutospacing="0" w:line="276" w:lineRule="auto"/>
                    <w:ind w:left="0" w:right="0"/>
                    <w:jc w:val="center"/>
                    <w:rPr>
                      <w:rFonts w:hint="default" w:ascii="Times New Roman" w:hAnsi="Times New Roman"/>
                      <w:b/>
                      <w:color w:val="auto"/>
                      <w:kern w:val="2"/>
                      <w:sz w:val="21"/>
                      <w:szCs w:val="21"/>
                    </w:rPr>
                  </w:pPr>
                  <w:r>
                    <w:rPr>
                      <w:rFonts w:hint="default" w:ascii="Times New Roman" w:hAnsi="Times New Roman"/>
                      <w:b/>
                      <w:color w:val="auto"/>
                      <w:kern w:val="2"/>
                      <w:sz w:val="21"/>
                      <w:szCs w:val="21"/>
                    </w:rPr>
                    <w:t>可能受影响的环境敏感目标</w:t>
                  </w:r>
                </w:p>
              </w:tc>
            </w:tr>
            <w:tr w14:paraId="01D51E1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502" w:type="pct"/>
                  <w:vMerge w:val="restart"/>
                  <w:tcBorders>
                    <w:top w:val="nil"/>
                    <w:left w:val="nil"/>
                    <w:right w:val="single" w:color="000000" w:sz="4" w:space="0"/>
                  </w:tcBorders>
                  <w:vAlign w:val="center"/>
                </w:tcPr>
                <w:p w14:paraId="09D78313">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储运工程</w:t>
                  </w:r>
                </w:p>
              </w:tc>
              <w:tc>
                <w:tcPr>
                  <w:tcW w:w="692" w:type="pct"/>
                  <w:vMerge w:val="restart"/>
                  <w:tcBorders>
                    <w:top w:val="nil"/>
                    <w:left w:val="nil"/>
                    <w:right w:val="single" w:color="000000" w:sz="4" w:space="0"/>
                  </w:tcBorders>
                  <w:vAlign w:val="center"/>
                </w:tcPr>
                <w:p w14:paraId="386FF14D">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eastAsia" w:ascii="Times New Roman" w:hAnsi="Times New Roman"/>
                      <w:color w:val="auto"/>
                      <w:kern w:val="2"/>
                      <w:sz w:val="21"/>
                      <w:szCs w:val="21"/>
                    </w:rPr>
                    <w:t>化学品仓库</w:t>
                  </w:r>
                </w:p>
              </w:tc>
              <w:tc>
                <w:tcPr>
                  <w:tcW w:w="946" w:type="pct"/>
                  <w:vMerge w:val="restart"/>
                  <w:tcBorders>
                    <w:top w:val="nil"/>
                    <w:left w:val="nil"/>
                    <w:right w:val="single" w:color="000000" w:sz="4" w:space="0"/>
                  </w:tcBorders>
                  <w:vAlign w:val="center"/>
                </w:tcPr>
                <w:p w14:paraId="7300E9E3">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N，N-二甲基邻甲苯胺（密封胶含量1%）、碳氢清洗剂、液压油、变速箱油、润滑油</w:t>
                  </w:r>
                </w:p>
              </w:tc>
              <w:tc>
                <w:tcPr>
                  <w:tcW w:w="723" w:type="pct"/>
                  <w:tcBorders>
                    <w:top w:val="single" w:color="000000" w:sz="4" w:space="0"/>
                    <w:left w:val="nil"/>
                    <w:bottom w:val="single" w:color="auto" w:sz="4" w:space="0"/>
                    <w:right w:val="single" w:color="000000" w:sz="4" w:space="0"/>
                  </w:tcBorders>
                  <w:vAlign w:val="center"/>
                </w:tcPr>
                <w:p w14:paraId="52103330">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泄漏</w:t>
                  </w:r>
                </w:p>
              </w:tc>
              <w:tc>
                <w:tcPr>
                  <w:tcW w:w="799" w:type="pct"/>
                  <w:tcBorders>
                    <w:top w:val="single" w:color="000000" w:sz="4" w:space="0"/>
                    <w:left w:val="nil"/>
                    <w:bottom w:val="single" w:color="auto" w:sz="4" w:space="0"/>
                    <w:right w:val="single" w:color="000000" w:sz="4" w:space="0"/>
                  </w:tcBorders>
                  <w:vAlign w:val="center"/>
                </w:tcPr>
                <w:p w14:paraId="61B96B46">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扩散、渗透、漫流、吸收</w:t>
                  </w:r>
                </w:p>
              </w:tc>
              <w:tc>
                <w:tcPr>
                  <w:tcW w:w="1337" w:type="pct"/>
                  <w:vMerge w:val="restart"/>
                  <w:tcBorders>
                    <w:top w:val="nil"/>
                    <w:left w:val="nil"/>
                    <w:right w:val="nil"/>
                  </w:tcBorders>
                  <w:vAlign w:val="center"/>
                </w:tcPr>
                <w:p w14:paraId="7D091C6C">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项目区域大气环境、地表水、土壤、地下水等</w:t>
                  </w:r>
                </w:p>
              </w:tc>
            </w:tr>
            <w:tr w14:paraId="180387C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502" w:type="pct"/>
                  <w:vMerge w:val="continue"/>
                  <w:tcBorders>
                    <w:left w:val="nil"/>
                    <w:right w:val="single" w:color="000000" w:sz="4" w:space="0"/>
                  </w:tcBorders>
                  <w:vAlign w:val="center"/>
                </w:tcPr>
                <w:p w14:paraId="576FBBA9">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p>
              </w:tc>
              <w:tc>
                <w:tcPr>
                  <w:tcW w:w="692" w:type="pct"/>
                  <w:vMerge w:val="continue"/>
                  <w:tcBorders>
                    <w:left w:val="nil"/>
                    <w:bottom w:val="single" w:color="000000" w:sz="4" w:space="0"/>
                    <w:right w:val="single" w:color="000000" w:sz="4" w:space="0"/>
                  </w:tcBorders>
                  <w:vAlign w:val="center"/>
                </w:tcPr>
                <w:p w14:paraId="3C2D4679">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p>
              </w:tc>
              <w:tc>
                <w:tcPr>
                  <w:tcW w:w="946" w:type="pct"/>
                  <w:vMerge w:val="continue"/>
                  <w:tcBorders>
                    <w:left w:val="nil"/>
                    <w:bottom w:val="single" w:color="000000" w:sz="4" w:space="0"/>
                    <w:right w:val="single" w:color="000000" w:sz="4" w:space="0"/>
                  </w:tcBorders>
                  <w:vAlign w:val="center"/>
                </w:tcPr>
                <w:p w14:paraId="39A27A7C">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p>
              </w:tc>
              <w:tc>
                <w:tcPr>
                  <w:tcW w:w="723" w:type="pct"/>
                  <w:tcBorders>
                    <w:top w:val="single" w:color="000000" w:sz="4" w:space="0"/>
                    <w:left w:val="nil"/>
                    <w:bottom w:val="single" w:color="auto" w:sz="4" w:space="0"/>
                    <w:right w:val="single" w:color="000000" w:sz="4" w:space="0"/>
                  </w:tcBorders>
                  <w:vAlign w:val="center"/>
                </w:tcPr>
                <w:p w14:paraId="496D2444">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火灾引发伴/次生污染物排放</w:t>
                  </w:r>
                </w:p>
              </w:tc>
              <w:tc>
                <w:tcPr>
                  <w:tcW w:w="799" w:type="pct"/>
                  <w:tcBorders>
                    <w:top w:val="single" w:color="000000" w:sz="4" w:space="0"/>
                    <w:left w:val="nil"/>
                    <w:bottom w:val="single" w:color="auto" w:sz="4" w:space="0"/>
                    <w:right w:val="single" w:color="000000" w:sz="4" w:space="0"/>
                  </w:tcBorders>
                  <w:vAlign w:val="center"/>
                </w:tcPr>
                <w:p w14:paraId="08B5CF00">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扩散、消防废水漫流、渗透、吸收</w:t>
                  </w:r>
                </w:p>
              </w:tc>
              <w:tc>
                <w:tcPr>
                  <w:tcW w:w="1337" w:type="pct"/>
                  <w:vMerge w:val="continue"/>
                  <w:tcBorders>
                    <w:left w:val="nil"/>
                    <w:bottom w:val="single" w:color="000000" w:sz="4" w:space="0"/>
                    <w:right w:val="nil"/>
                  </w:tcBorders>
                  <w:vAlign w:val="center"/>
                </w:tcPr>
                <w:p w14:paraId="2C9145CE">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p>
              </w:tc>
            </w:tr>
            <w:tr w14:paraId="6F0A0D0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5" w:hRule="atLeast"/>
                <w:jc w:val="center"/>
              </w:trPr>
              <w:tc>
                <w:tcPr>
                  <w:tcW w:w="502" w:type="pct"/>
                  <w:tcBorders>
                    <w:left w:val="nil"/>
                    <w:right w:val="single" w:color="000000" w:sz="4" w:space="0"/>
                  </w:tcBorders>
                  <w:vAlign w:val="center"/>
                </w:tcPr>
                <w:p w14:paraId="2C7F1DFB">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color w:val="auto"/>
                      <w:kern w:val="2"/>
                      <w:sz w:val="21"/>
                      <w:szCs w:val="21"/>
                      <w:lang w:val="en-US" w:eastAsia="zh-CN"/>
                    </w:rPr>
                  </w:pPr>
                  <w:r>
                    <w:rPr>
                      <w:rFonts w:hint="eastAsia" w:ascii="Times New Roman" w:hAnsi="Times New Roman"/>
                      <w:color w:val="auto"/>
                      <w:kern w:val="2"/>
                      <w:sz w:val="21"/>
                      <w:szCs w:val="21"/>
                      <w:lang w:val="en-US" w:eastAsia="zh-CN"/>
                    </w:rPr>
                    <w:t>主体工程</w:t>
                  </w:r>
                </w:p>
              </w:tc>
              <w:tc>
                <w:tcPr>
                  <w:tcW w:w="692" w:type="pct"/>
                  <w:tcBorders>
                    <w:left w:val="nil"/>
                    <w:bottom w:val="single" w:color="000000" w:sz="4" w:space="0"/>
                    <w:right w:val="single" w:color="000000" w:sz="4" w:space="0"/>
                  </w:tcBorders>
                  <w:vAlign w:val="center"/>
                </w:tcPr>
                <w:p w14:paraId="1F9A815E">
                  <w:pPr>
                    <w:keepNext w:val="0"/>
                    <w:keepLines w:val="0"/>
                    <w:widowControl/>
                    <w:suppressLineNumbers w:val="0"/>
                    <w:spacing w:before="0" w:beforeAutospacing="0" w:after="0" w:afterAutospacing="0" w:line="276" w:lineRule="auto"/>
                    <w:ind w:left="0" w:right="0"/>
                    <w:jc w:val="center"/>
                    <w:rPr>
                      <w:rFonts w:hint="eastAsia" w:ascii="Times New Roman" w:hAnsi="Times New Roman" w:eastAsia="宋体"/>
                      <w:color w:val="auto"/>
                      <w:kern w:val="2"/>
                      <w:sz w:val="21"/>
                      <w:szCs w:val="21"/>
                      <w:lang w:val="en-US" w:eastAsia="zh-CN"/>
                    </w:rPr>
                  </w:pPr>
                  <w:r>
                    <w:rPr>
                      <w:rFonts w:hint="eastAsia"/>
                      <w:color w:val="auto"/>
                      <w:kern w:val="2"/>
                      <w:sz w:val="21"/>
                      <w:szCs w:val="21"/>
                    </w:rPr>
                    <w:t>真空碳氢清洗设备</w:t>
                  </w:r>
                </w:p>
              </w:tc>
              <w:tc>
                <w:tcPr>
                  <w:tcW w:w="946" w:type="pct"/>
                  <w:tcBorders>
                    <w:left w:val="nil"/>
                    <w:bottom w:val="single" w:color="000000" w:sz="4" w:space="0"/>
                    <w:right w:val="single" w:color="000000" w:sz="4" w:space="0"/>
                  </w:tcBorders>
                  <w:vAlign w:val="center"/>
                </w:tcPr>
                <w:p w14:paraId="695900CD">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碳氢清洗剂</w:t>
                  </w:r>
                </w:p>
              </w:tc>
              <w:tc>
                <w:tcPr>
                  <w:tcW w:w="723" w:type="pct"/>
                  <w:tcBorders>
                    <w:top w:val="single" w:color="000000" w:sz="4" w:space="0"/>
                    <w:left w:val="nil"/>
                    <w:bottom w:val="single" w:color="auto" w:sz="4" w:space="0"/>
                    <w:right w:val="single" w:color="000000" w:sz="4" w:space="0"/>
                  </w:tcBorders>
                  <w:shd w:val="clear" w:color="auto" w:fill="auto"/>
                  <w:vAlign w:val="center"/>
                </w:tcPr>
                <w:p w14:paraId="08113077">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宋体"/>
                      <w:color w:val="auto"/>
                      <w:kern w:val="2"/>
                      <w:sz w:val="21"/>
                      <w:szCs w:val="21"/>
                      <w:lang w:val="en-US" w:eastAsia="zh-CN" w:bidi="ar-SA"/>
                    </w:rPr>
                  </w:pPr>
                  <w:r>
                    <w:rPr>
                      <w:rFonts w:hint="default" w:ascii="Times New Roman" w:hAnsi="Times New Roman"/>
                      <w:color w:val="auto"/>
                      <w:kern w:val="2"/>
                      <w:sz w:val="21"/>
                      <w:szCs w:val="21"/>
                    </w:rPr>
                    <w:t>泄漏</w:t>
                  </w:r>
                </w:p>
              </w:tc>
              <w:tc>
                <w:tcPr>
                  <w:tcW w:w="799" w:type="pct"/>
                  <w:tcBorders>
                    <w:top w:val="single" w:color="000000" w:sz="4" w:space="0"/>
                    <w:left w:val="nil"/>
                    <w:bottom w:val="single" w:color="auto" w:sz="4" w:space="0"/>
                    <w:right w:val="single" w:color="000000" w:sz="4" w:space="0"/>
                  </w:tcBorders>
                  <w:shd w:val="clear" w:color="auto" w:fill="auto"/>
                  <w:vAlign w:val="center"/>
                </w:tcPr>
                <w:p w14:paraId="42AB5837">
                  <w:pPr>
                    <w:keepNext w:val="0"/>
                    <w:keepLines w:val="0"/>
                    <w:widowControl/>
                    <w:suppressLineNumbers w:val="0"/>
                    <w:spacing w:before="0" w:beforeAutospacing="0" w:after="0" w:afterAutospacing="0" w:line="276" w:lineRule="auto"/>
                    <w:ind w:left="0" w:leftChars="0" w:right="0" w:rightChars="0"/>
                    <w:jc w:val="center"/>
                    <w:rPr>
                      <w:rFonts w:hint="default" w:ascii="Times New Roman" w:hAnsi="Times New Roman" w:eastAsia="宋体" w:cs="宋体"/>
                      <w:color w:val="auto"/>
                      <w:kern w:val="2"/>
                      <w:sz w:val="21"/>
                      <w:szCs w:val="21"/>
                      <w:lang w:val="en-US" w:eastAsia="zh-CN" w:bidi="ar-SA"/>
                    </w:rPr>
                  </w:pPr>
                  <w:r>
                    <w:rPr>
                      <w:rFonts w:hint="default" w:ascii="Times New Roman" w:hAnsi="Times New Roman"/>
                      <w:color w:val="auto"/>
                      <w:kern w:val="2"/>
                      <w:sz w:val="21"/>
                      <w:szCs w:val="21"/>
                    </w:rPr>
                    <w:t>扩散、渗透、漫流、吸收</w:t>
                  </w:r>
                </w:p>
              </w:tc>
              <w:tc>
                <w:tcPr>
                  <w:tcW w:w="1337" w:type="pct"/>
                  <w:tcBorders>
                    <w:left w:val="nil"/>
                    <w:bottom w:val="single" w:color="000000" w:sz="4" w:space="0"/>
                    <w:right w:val="nil"/>
                  </w:tcBorders>
                  <w:vAlign w:val="center"/>
                </w:tcPr>
                <w:p w14:paraId="19B46F77">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项目区域大气</w:t>
                  </w:r>
                  <w:r>
                    <w:rPr>
                      <w:rFonts w:hint="eastAsia" w:ascii="Times New Roman" w:hAnsi="Times New Roman"/>
                      <w:color w:val="auto"/>
                      <w:kern w:val="2"/>
                      <w:sz w:val="21"/>
                      <w:szCs w:val="21"/>
                      <w:lang w:eastAsia="zh-CN"/>
                    </w:rPr>
                    <w:t>、</w:t>
                  </w:r>
                  <w:r>
                    <w:rPr>
                      <w:rFonts w:hint="default" w:ascii="Times New Roman" w:hAnsi="Times New Roman"/>
                      <w:color w:val="auto"/>
                      <w:kern w:val="2"/>
                      <w:sz w:val="21"/>
                      <w:szCs w:val="21"/>
                    </w:rPr>
                    <w:t>地表水、土壤、地下水等</w:t>
                  </w:r>
                </w:p>
              </w:tc>
            </w:tr>
            <w:tr w14:paraId="41A3456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02" w:type="pct"/>
                  <w:tcBorders>
                    <w:top w:val="single" w:color="000000" w:sz="4" w:space="0"/>
                    <w:left w:val="nil"/>
                    <w:bottom w:val="single" w:color="auto" w:sz="12" w:space="0"/>
                    <w:right w:val="single" w:color="000000" w:sz="4" w:space="0"/>
                  </w:tcBorders>
                  <w:vAlign w:val="center"/>
                </w:tcPr>
                <w:p w14:paraId="0DD47206">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环保设施</w:t>
                  </w:r>
                </w:p>
              </w:tc>
              <w:tc>
                <w:tcPr>
                  <w:tcW w:w="692" w:type="pct"/>
                  <w:tcBorders>
                    <w:top w:val="single" w:color="000000" w:sz="4" w:space="0"/>
                    <w:left w:val="nil"/>
                    <w:bottom w:val="single" w:color="auto" w:sz="12" w:space="0"/>
                    <w:right w:val="single" w:color="000000" w:sz="4" w:space="0"/>
                  </w:tcBorders>
                  <w:vAlign w:val="center"/>
                </w:tcPr>
                <w:p w14:paraId="28082FDE">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危废暂存间</w:t>
                  </w:r>
                </w:p>
              </w:tc>
              <w:tc>
                <w:tcPr>
                  <w:tcW w:w="946" w:type="pct"/>
                  <w:tcBorders>
                    <w:top w:val="single" w:color="000000" w:sz="4" w:space="0"/>
                    <w:left w:val="nil"/>
                    <w:bottom w:val="single" w:color="auto" w:sz="12" w:space="0"/>
                    <w:right w:val="single" w:color="000000" w:sz="4" w:space="0"/>
                  </w:tcBorders>
                  <w:vAlign w:val="center"/>
                </w:tcPr>
                <w:p w14:paraId="5C17F5DB">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危险废物</w:t>
                  </w:r>
                </w:p>
              </w:tc>
              <w:tc>
                <w:tcPr>
                  <w:tcW w:w="723" w:type="pct"/>
                  <w:tcBorders>
                    <w:top w:val="single" w:color="000000" w:sz="4" w:space="0"/>
                    <w:left w:val="nil"/>
                    <w:bottom w:val="single" w:color="auto" w:sz="12" w:space="0"/>
                    <w:right w:val="single" w:color="000000" w:sz="4" w:space="0"/>
                  </w:tcBorders>
                  <w:vAlign w:val="center"/>
                </w:tcPr>
                <w:p w14:paraId="6FDB97D7">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危废流失</w:t>
                  </w:r>
                </w:p>
              </w:tc>
              <w:tc>
                <w:tcPr>
                  <w:tcW w:w="799" w:type="pct"/>
                  <w:tcBorders>
                    <w:top w:val="single" w:color="000000" w:sz="4" w:space="0"/>
                    <w:left w:val="nil"/>
                    <w:bottom w:val="single" w:color="auto" w:sz="12" w:space="0"/>
                    <w:right w:val="single" w:color="000000" w:sz="4" w:space="0"/>
                  </w:tcBorders>
                  <w:vAlign w:val="center"/>
                </w:tcPr>
                <w:p w14:paraId="39562572">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扩散、渗透、漫流、吸收</w:t>
                  </w:r>
                </w:p>
              </w:tc>
              <w:tc>
                <w:tcPr>
                  <w:tcW w:w="1337" w:type="pct"/>
                  <w:tcBorders>
                    <w:top w:val="single" w:color="000000" w:sz="4" w:space="0"/>
                    <w:left w:val="nil"/>
                    <w:bottom w:val="single" w:color="auto" w:sz="12" w:space="0"/>
                    <w:right w:val="nil"/>
                  </w:tcBorders>
                  <w:vAlign w:val="center"/>
                </w:tcPr>
                <w:p w14:paraId="40D9BF7E">
                  <w:pPr>
                    <w:keepNext w:val="0"/>
                    <w:keepLines w:val="0"/>
                    <w:widowControl/>
                    <w:suppressLineNumbers w:val="0"/>
                    <w:spacing w:before="0" w:beforeAutospacing="0" w:after="0" w:afterAutospacing="0" w:line="276" w:lineRule="auto"/>
                    <w:ind w:left="0" w:right="0"/>
                    <w:jc w:val="center"/>
                    <w:rPr>
                      <w:rFonts w:hint="default" w:ascii="Times New Roman" w:hAnsi="Times New Roman"/>
                      <w:color w:val="auto"/>
                      <w:kern w:val="2"/>
                      <w:sz w:val="21"/>
                      <w:szCs w:val="21"/>
                    </w:rPr>
                  </w:pPr>
                  <w:r>
                    <w:rPr>
                      <w:rFonts w:hint="default" w:ascii="Times New Roman" w:hAnsi="Times New Roman"/>
                      <w:color w:val="auto"/>
                      <w:kern w:val="2"/>
                      <w:sz w:val="21"/>
                      <w:szCs w:val="21"/>
                    </w:rPr>
                    <w:t>项目区域大气、地表水、土壤、地下水等</w:t>
                  </w:r>
                </w:p>
              </w:tc>
            </w:tr>
          </w:tbl>
          <w:p w14:paraId="4517131F">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default" w:ascii="Times New Roman" w:hAnsi="Times New Roman"/>
                <w:b/>
                <w:color w:val="auto"/>
                <w:kern w:val="2"/>
              </w:rPr>
              <w:t>3、环境风险防范措施</w:t>
            </w:r>
          </w:p>
          <w:p w14:paraId="2D1EEC55">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rPr>
            </w:pPr>
            <w:r>
              <w:rPr>
                <w:rFonts w:hint="default"/>
                <w:color w:val="auto"/>
                <w:sz w:val="24"/>
                <w:szCs w:val="24"/>
              </w:rPr>
              <w:t>（1）大气污染事故的环境风险防范措施</w:t>
            </w:r>
          </w:p>
          <w:p w14:paraId="52883CA2">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rPr>
            </w:pPr>
            <w:r>
              <w:rPr>
                <w:rFonts w:hint="default"/>
                <w:color w:val="auto"/>
                <w:sz w:val="24"/>
                <w:szCs w:val="24"/>
              </w:rPr>
              <w:t>项目大气污染事故风险主要是废气处理设施故障，导致废气处理效率下降或废气处理系统停止运转，大量未经处理的废气直接排入大气，对周边大气产生污染影响。当废气处理设施失效时，废气的浓度会增加，会对周围环境空气造成污染以及人员健康造成伤害。为避免废气事故性排放，环评要求加强对设备的维修管理，建立定期维护的人员编制和相关制度，制定严格的规范操作规程，以保证设备的正常运转。</w:t>
            </w:r>
          </w:p>
          <w:p w14:paraId="372542F7">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rPr>
            </w:pPr>
            <w:r>
              <w:rPr>
                <w:rFonts w:hint="default"/>
                <w:color w:val="auto"/>
                <w:sz w:val="24"/>
                <w:szCs w:val="24"/>
              </w:rPr>
              <w:t>（2）火灾事故的环境风险防范措施</w:t>
            </w:r>
          </w:p>
          <w:p w14:paraId="537E373B">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rPr>
            </w:pPr>
            <w:r>
              <w:rPr>
                <w:rFonts w:hint="default"/>
                <w:color w:val="auto"/>
                <w:sz w:val="24"/>
                <w:szCs w:val="24"/>
              </w:rPr>
              <w:t>本项目原料中有</w:t>
            </w:r>
            <w:r>
              <w:rPr>
                <w:rFonts w:hint="eastAsia"/>
                <w:color w:val="auto"/>
                <w:sz w:val="24"/>
                <w:szCs w:val="24"/>
              </w:rPr>
              <w:t>易燃物质润滑油、液压油</w:t>
            </w:r>
            <w:r>
              <w:rPr>
                <w:rFonts w:hint="eastAsia"/>
                <w:color w:val="auto"/>
                <w:sz w:val="24"/>
                <w:szCs w:val="24"/>
                <w:lang w:eastAsia="zh-CN"/>
              </w:rPr>
              <w:t>、</w:t>
            </w:r>
            <w:r>
              <w:rPr>
                <w:rFonts w:hint="eastAsia"/>
                <w:color w:val="auto"/>
                <w:sz w:val="24"/>
                <w:szCs w:val="24"/>
                <w:lang w:val="en-US" w:eastAsia="zh-CN"/>
              </w:rPr>
              <w:t>变速箱油</w:t>
            </w:r>
            <w:r>
              <w:rPr>
                <w:rFonts w:hint="eastAsia"/>
                <w:color w:val="auto"/>
                <w:sz w:val="24"/>
                <w:szCs w:val="24"/>
              </w:rPr>
              <w:t>等</w:t>
            </w:r>
            <w:r>
              <w:rPr>
                <w:rFonts w:hint="default"/>
                <w:color w:val="auto"/>
                <w:sz w:val="24"/>
                <w:szCs w:val="24"/>
              </w:rPr>
              <w:t>，因此，本项目在生产过程中对于火灾的防范不能忽视，项目运营期间，一旦发生火灾，不仅可能导致严重的人身伤亡和经济损失，产生的大量CO、烟尘等对大气环境也会产生不良的影响。因此，建设单位应做好以下措施：</w:t>
            </w:r>
          </w:p>
          <w:p w14:paraId="16ACDEB5">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rPr>
            </w:pPr>
            <w:r>
              <w:rPr>
                <w:rFonts w:hint="default"/>
                <w:color w:val="auto"/>
                <w:sz w:val="24"/>
                <w:szCs w:val="24"/>
              </w:rPr>
              <w:t>1）加强原料的储存管理，储存过程必须严格遵守安全防火规定、仓库和堆场配备防火器材，项目的原料、产品及产生的工业固废严禁与易燃易爆品混存。</w:t>
            </w:r>
          </w:p>
          <w:p w14:paraId="2E09079C">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rPr>
            </w:pPr>
            <w:r>
              <w:rPr>
                <w:rFonts w:hint="default"/>
                <w:color w:val="auto"/>
                <w:sz w:val="24"/>
                <w:szCs w:val="24"/>
              </w:rPr>
              <w:t>2）规范原料储存：原料及产品堆放区设置明显的标志；贮存场所必须为封闭设施，必须有防雨、防晒、防渗、防尘、防扬散和防火措施；对易燃物品按计划采购、分期分批入库，严格控制贮存量。</w:t>
            </w:r>
          </w:p>
          <w:p w14:paraId="75619E74">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rPr>
            </w:pPr>
            <w:r>
              <w:rPr>
                <w:rFonts w:hint="default"/>
                <w:color w:val="auto"/>
                <w:sz w:val="24"/>
                <w:szCs w:val="24"/>
              </w:rPr>
              <w:t>3）根据《建筑设计防火规范》（GB50016-2014）（2018版），原料仓库与生产车间应配置灭火器，灭火器的设置应符合《建筑灭火器配置设计规范》（GB50140-2005）的相关要求。</w:t>
            </w:r>
          </w:p>
          <w:p w14:paraId="03F048FD">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rPr>
            </w:pPr>
            <w:r>
              <w:rPr>
                <w:rFonts w:hint="default"/>
                <w:color w:val="auto"/>
                <w:sz w:val="24"/>
                <w:szCs w:val="24"/>
              </w:rPr>
              <w:t>4）加强安全教育，强化安全意识，具备相应的安全知识，仓库的安全管理人员必须增强安全意识和法制观念，掌握安全卫生基本知识，具有一定的安全管理和决策能力。</w:t>
            </w:r>
          </w:p>
          <w:p w14:paraId="5AD9A3AF">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rPr>
            </w:pPr>
            <w:r>
              <w:rPr>
                <w:rFonts w:hint="default"/>
                <w:color w:val="auto"/>
                <w:sz w:val="24"/>
                <w:szCs w:val="24"/>
              </w:rPr>
              <w:t>5）实行安全检查制度，各类安全设施、消防器材，进行各种日常的、定期的、专业的防火安全检查，并将发现的问题定人、限期落实整改。</w:t>
            </w:r>
          </w:p>
          <w:p w14:paraId="53EEE241">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rPr>
            </w:pPr>
            <w:r>
              <w:rPr>
                <w:rFonts w:hint="default"/>
                <w:color w:val="auto"/>
                <w:sz w:val="24"/>
                <w:szCs w:val="24"/>
              </w:rPr>
              <w:t>6）发生火灾时，火灾灾情轻，完全可以控制的，当事人应马上进行扑救。一旦火灾有蔓延的苗头，不能控制时，要及时切断电源，按动工艺装置区内的手动报警按钮，将信号送达控制室，再由工作人员拨打火警电话119通知消防人员灭火。</w:t>
            </w:r>
          </w:p>
          <w:p w14:paraId="6E0AE6E5">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rPr>
            </w:pPr>
            <w:r>
              <w:rPr>
                <w:rFonts w:hint="default"/>
                <w:color w:val="auto"/>
                <w:sz w:val="24"/>
                <w:szCs w:val="24"/>
              </w:rPr>
              <w:t>7）火灾出现后，接报的领导或行政值班人员要立即赶到现场指挥救灾工作，核查火灾报警是否真正落实，并组织好保安力量做好火灾现场的保护及治安秩序的维持等工作。在消防救援队伍到达之前，组织当班的义务消防员队伍第一时间到达火灾现场，进行力所能及的扑救工作；在消防救援队伍到达现场后，协助消防救援队伍展开全面扑救以及火灾原因的调查工作</w:t>
            </w:r>
            <w:r>
              <w:rPr>
                <w:rFonts w:hint="eastAsia"/>
                <w:color w:val="auto"/>
                <w:sz w:val="24"/>
                <w:szCs w:val="24"/>
              </w:rPr>
              <w:t>，事故结束后消防废水委托有资质单位处置。</w:t>
            </w:r>
          </w:p>
          <w:p w14:paraId="4552AE58">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rPr>
            </w:pPr>
            <w:r>
              <w:rPr>
                <w:rFonts w:hint="default"/>
                <w:color w:val="auto"/>
                <w:sz w:val="24"/>
                <w:szCs w:val="24"/>
              </w:rPr>
              <w:t>8）火灾扑灭后，火灾发生单位负责火灾关头善后的处理和火灾事故的责任追究工作。</w:t>
            </w:r>
          </w:p>
          <w:p w14:paraId="77181EF5">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rPr>
            </w:pPr>
            <w:r>
              <w:rPr>
                <w:rFonts w:hint="default"/>
                <w:color w:val="auto"/>
                <w:sz w:val="24"/>
                <w:szCs w:val="24"/>
              </w:rPr>
              <w:t>只要项目严格落实防火和消防措施，并加强防范意识，则项目运营期间发生火灾风险的概率较小。</w:t>
            </w:r>
          </w:p>
          <w:p w14:paraId="58E66476">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highlight w:val="none"/>
              </w:rPr>
            </w:pPr>
            <w:r>
              <w:rPr>
                <w:rFonts w:hint="default"/>
                <w:color w:val="auto"/>
                <w:sz w:val="24"/>
                <w:szCs w:val="24"/>
                <w:highlight w:val="none"/>
              </w:rPr>
              <w:t>（3）化学品泄漏的环境风险防范措施</w:t>
            </w:r>
          </w:p>
          <w:p w14:paraId="09F3EFFD">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highlight w:val="none"/>
              </w:rPr>
            </w:pPr>
            <w:r>
              <w:rPr>
                <w:rFonts w:hint="default"/>
                <w:color w:val="auto"/>
                <w:sz w:val="24"/>
                <w:szCs w:val="24"/>
                <w:highlight w:val="none"/>
              </w:rPr>
              <w:t>项目产品生产过程中使用的原料有</w:t>
            </w:r>
            <w:r>
              <w:rPr>
                <w:rFonts w:hint="eastAsia"/>
                <w:color w:val="auto"/>
                <w:sz w:val="24"/>
                <w:szCs w:val="24"/>
                <w:highlight w:val="none"/>
              </w:rPr>
              <w:t>润滑</w:t>
            </w:r>
            <w:r>
              <w:rPr>
                <w:rFonts w:hint="default"/>
                <w:color w:val="auto"/>
                <w:sz w:val="24"/>
                <w:szCs w:val="24"/>
                <w:highlight w:val="none"/>
              </w:rPr>
              <w:t>油</w:t>
            </w:r>
            <w:r>
              <w:rPr>
                <w:rFonts w:hint="eastAsia"/>
                <w:color w:val="auto"/>
                <w:sz w:val="24"/>
                <w:szCs w:val="24"/>
                <w:highlight w:val="none"/>
              </w:rPr>
              <w:t>、液压油</w:t>
            </w:r>
            <w:r>
              <w:rPr>
                <w:rFonts w:hint="eastAsia"/>
                <w:color w:val="auto"/>
                <w:sz w:val="24"/>
                <w:szCs w:val="24"/>
                <w:highlight w:val="none"/>
                <w:lang w:eastAsia="zh-CN"/>
              </w:rPr>
              <w:t>、</w:t>
            </w:r>
            <w:r>
              <w:rPr>
                <w:rFonts w:hint="eastAsia"/>
                <w:color w:val="auto"/>
                <w:sz w:val="24"/>
                <w:szCs w:val="24"/>
                <w:highlight w:val="none"/>
                <w:lang w:val="en-US" w:eastAsia="zh-CN"/>
              </w:rPr>
              <w:t>清洗剂</w:t>
            </w:r>
            <w:r>
              <w:rPr>
                <w:rFonts w:hint="default"/>
                <w:color w:val="auto"/>
                <w:sz w:val="24"/>
                <w:szCs w:val="24"/>
                <w:highlight w:val="none"/>
              </w:rPr>
              <w:t>，若存放不妥当、管理操作不当导致发生意外事故，</w:t>
            </w:r>
            <w:r>
              <w:rPr>
                <w:rFonts w:hint="eastAsia"/>
                <w:color w:val="auto"/>
                <w:sz w:val="24"/>
                <w:szCs w:val="24"/>
                <w:highlight w:val="none"/>
              </w:rPr>
              <w:t>存在</w:t>
            </w:r>
            <w:r>
              <w:rPr>
                <w:rFonts w:hint="default"/>
                <w:color w:val="auto"/>
                <w:sz w:val="24"/>
                <w:szCs w:val="24"/>
                <w:highlight w:val="none"/>
              </w:rPr>
              <w:t>泄漏和火灾等事故风险。</w:t>
            </w:r>
          </w:p>
          <w:p w14:paraId="7DCC236C">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highlight w:val="none"/>
              </w:rPr>
            </w:pPr>
            <w:r>
              <w:rPr>
                <w:rFonts w:hint="default"/>
                <w:color w:val="auto"/>
                <w:sz w:val="24"/>
                <w:szCs w:val="24"/>
                <w:highlight w:val="none"/>
              </w:rPr>
              <w:t>1）</w:t>
            </w:r>
            <w:r>
              <w:rPr>
                <w:rFonts w:hint="eastAsia"/>
                <w:color w:val="auto"/>
                <w:sz w:val="24"/>
                <w:szCs w:val="24"/>
                <w:highlight w:val="none"/>
              </w:rPr>
              <w:t>润滑油、液压油</w:t>
            </w:r>
            <w:r>
              <w:rPr>
                <w:rFonts w:hint="eastAsia"/>
                <w:color w:val="auto"/>
                <w:sz w:val="24"/>
                <w:szCs w:val="24"/>
                <w:highlight w:val="none"/>
                <w:lang w:eastAsia="zh-CN"/>
              </w:rPr>
              <w:t>、</w:t>
            </w:r>
            <w:r>
              <w:rPr>
                <w:rFonts w:hint="eastAsia"/>
                <w:color w:val="auto"/>
                <w:sz w:val="24"/>
                <w:szCs w:val="24"/>
                <w:highlight w:val="none"/>
                <w:lang w:val="en-US" w:eastAsia="zh-CN"/>
              </w:rPr>
              <w:t>清洗剂</w:t>
            </w:r>
            <w:r>
              <w:rPr>
                <w:rFonts w:hint="eastAsia"/>
                <w:color w:val="auto"/>
                <w:sz w:val="24"/>
                <w:szCs w:val="24"/>
                <w:highlight w:val="none"/>
              </w:rPr>
              <w:t>等</w:t>
            </w:r>
            <w:r>
              <w:rPr>
                <w:rFonts w:hint="default"/>
                <w:color w:val="auto"/>
                <w:sz w:val="24"/>
                <w:szCs w:val="24"/>
                <w:highlight w:val="none"/>
              </w:rPr>
              <w:t>经密封包装桶储存在</w:t>
            </w:r>
            <w:r>
              <w:rPr>
                <w:rFonts w:hint="eastAsia"/>
                <w:color w:val="auto"/>
                <w:sz w:val="24"/>
                <w:szCs w:val="24"/>
                <w:highlight w:val="none"/>
              </w:rPr>
              <w:t>化学品暂</w:t>
            </w:r>
            <w:r>
              <w:rPr>
                <w:rFonts w:hint="default"/>
                <w:color w:val="auto"/>
                <w:sz w:val="24"/>
                <w:szCs w:val="24"/>
                <w:highlight w:val="none"/>
              </w:rPr>
              <w:t>存区内，并定期对包装桶罐进行检测，危险废物暂存间、</w:t>
            </w:r>
            <w:r>
              <w:rPr>
                <w:rFonts w:hint="eastAsia"/>
                <w:color w:val="auto"/>
                <w:sz w:val="24"/>
                <w:szCs w:val="24"/>
                <w:highlight w:val="none"/>
              </w:rPr>
              <w:t>化学品</w:t>
            </w:r>
            <w:r>
              <w:rPr>
                <w:rFonts w:hint="default"/>
                <w:color w:val="auto"/>
                <w:sz w:val="24"/>
                <w:szCs w:val="24"/>
                <w:highlight w:val="none"/>
              </w:rPr>
              <w:t>暂存区等采取</w:t>
            </w:r>
            <w:r>
              <w:rPr>
                <w:rFonts w:hint="eastAsia"/>
                <w:color w:val="auto"/>
                <w:sz w:val="24"/>
                <w:szCs w:val="24"/>
                <w:highlight w:val="none"/>
                <w:lang w:val="en-US" w:eastAsia="zh-CN"/>
              </w:rPr>
              <w:t>重点</w:t>
            </w:r>
            <w:r>
              <w:rPr>
                <w:rFonts w:hint="default"/>
                <w:color w:val="auto"/>
                <w:sz w:val="24"/>
                <w:szCs w:val="24"/>
                <w:highlight w:val="none"/>
              </w:rPr>
              <w:t>防渗措施。</w:t>
            </w:r>
          </w:p>
          <w:p w14:paraId="04DB585D">
            <w:pPr>
              <w:pStyle w:val="91"/>
              <w:keepNext w:val="0"/>
              <w:keepLines w:val="0"/>
              <w:widowControl/>
              <w:suppressLineNumbers w:val="0"/>
              <w:spacing w:before="0" w:beforeAutospacing="0" w:after="0" w:afterAutospacing="0" w:line="360" w:lineRule="auto"/>
              <w:ind w:left="0" w:right="0" w:firstLine="480"/>
              <w:rPr>
                <w:rFonts w:hint="eastAsia" w:eastAsia="宋体"/>
                <w:color w:val="auto"/>
                <w:sz w:val="24"/>
                <w:szCs w:val="24"/>
                <w:highlight w:val="none"/>
                <w:lang w:eastAsia="zh-CN"/>
              </w:rPr>
            </w:pPr>
            <w:r>
              <w:rPr>
                <w:rFonts w:hint="eastAsia"/>
                <w:color w:val="auto"/>
                <w:sz w:val="24"/>
                <w:szCs w:val="24"/>
                <w:highlight w:val="none"/>
                <w:lang w:val="en-US" w:eastAsia="zh-CN"/>
              </w:rPr>
              <w:t>2</w:t>
            </w:r>
            <w:r>
              <w:rPr>
                <w:rFonts w:hint="default"/>
                <w:color w:val="auto"/>
                <w:sz w:val="24"/>
                <w:szCs w:val="24"/>
                <w:highlight w:val="none"/>
              </w:rPr>
              <w:t>）</w:t>
            </w:r>
            <w:r>
              <w:rPr>
                <w:rFonts w:hint="eastAsia"/>
                <w:color w:val="auto"/>
                <w:sz w:val="24"/>
                <w:szCs w:val="24"/>
                <w:highlight w:val="none"/>
              </w:rPr>
              <w:t>润滑油、液压油</w:t>
            </w:r>
            <w:r>
              <w:rPr>
                <w:rFonts w:hint="eastAsia"/>
                <w:color w:val="auto"/>
                <w:sz w:val="24"/>
                <w:szCs w:val="24"/>
                <w:highlight w:val="none"/>
                <w:lang w:eastAsia="zh-CN"/>
              </w:rPr>
              <w:t>、</w:t>
            </w:r>
            <w:r>
              <w:rPr>
                <w:rFonts w:hint="eastAsia"/>
                <w:color w:val="auto"/>
                <w:sz w:val="24"/>
                <w:szCs w:val="24"/>
                <w:highlight w:val="none"/>
                <w:lang w:val="en-US" w:eastAsia="zh-CN"/>
              </w:rPr>
              <w:t>清洗剂</w:t>
            </w:r>
            <w:r>
              <w:rPr>
                <w:rFonts w:hint="eastAsia"/>
                <w:color w:val="auto"/>
                <w:sz w:val="24"/>
                <w:szCs w:val="24"/>
                <w:highlight w:val="none"/>
              </w:rPr>
              <w:t>等</w:t>
            </w:r>
            <w:r>
              <w:rPr>
                <w:rFonts w:hint="default"/>
                <w:color w:val="auto"/>
                <w:sz w:val="24"/>
                <w:szCs w:val="24"/>
                <w:highlight w:val="none"/>
              </w:rPr>
              <w:t>液态化学品下方设防渗托盘，备吸毡、黄砂、木屑等物质，发现泄漏物料时及时吸收清理</w:t>
            </w:r>
            <w:r>
              <w:rPr>
                <w:rFonts w:hint="eastAsia"/>
                <w:color w:val="auto"/>
                <w:sz w:val="24"/>
                <w:szCs w:val="24"/>
                <w:highlight w:val="none"/>
                <w:lang w:eastAsia="zh-CN"/>
              </w:rPr>
              <w:t>。</w:t>
            </w:r>
          </w:p>
          <w:p w14:paraId="3F3BDE8B">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highlight w:val="red"/>
              </w:rPr>
            </w:pPr>
            <w:r>
              <w:rPr>
                <w:rFonts w:hint="eastAsia"/>
                <w:color w:val="auto"/>
                <w:sz w:val="24"/>
                <w:szCs w:val="24"/>
                <w:highlight w:val="none"/>
                <w:lang w:val="en-US" w:eastAsia="zh-CN"/>
              </w:rPr>
              <w:t>3</w:t>
            </w:r>
            <w:r>
              <w:rPr>
                <w:rFonts w:hint="default"/>
                <w:color w:val="auto"/>
                <w:sz w:val="24"/>
                <w:szCs w:val="24"/>
                <w:highlight w:val="none"/>
              </w:rPr>
              <w:t>）液态化学品原料搬运过程中轻拿轻放、以免损坏包装桶。</w:t>
            </w:r>
          </w:p>
          <w:p w14:paraId="56560A2A">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rPr>
            </w:pPr>
            <w:r>
              <w:rPr>
                <w:rFonts w:hint="default"/>
                <w:color w:val="auto"/>
                <w:sz w:val="24"/>
                <w:szCs w:val="24"/>
              </w:rPr>
              <w:t>（4）危险废物泄漏的环境风险防范措施</w:t>
            </w:r>
          </w:p>
          <w:p w14:paraId="7C0910AD">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rPr>
            </w:pPr>
            <w:r>
              <w:rPr>
                <w:rFonts w:hint="default"/>
                <w:color w:val="auto"/>
                <w:sz w:val="24"/>
                <w:szCs w:val="24"/>
              </w:rPr>
              <w:t>1）危险废物设置专门收集桶和专门收集袋，对地面采取防渗漏措施，或针对储存区设置围堰或托盘，并设置备用危险废物收集桶和收集袋，定期将危险废物交由有危险废物处理资质单位拉运处理。</w:t>
            </w:r>
          </w:p>
          <w:p w14:paraId="43DB1CD0">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rPr>
            </w:pPr>
            <w:r>
              <w:rPr>
                <w:rFonts w:hint="default"/>
                <w:color w:val="auto"/>
                <w:sz w:val="24"/>
                <w:szCs w:val="24"/>
              </w:rPr>
              <w:t>2）当固体危废发生包装桶/袋破损时，及时扫起收集于专用密封袋内。液体危废收集桶破损造成液体危废泄漏时，立即用过滤棉吸附，沙土覆盖，然后扫起收集于专用密封袋内。</w:t>
            </w:r>
          </w:p>
          <w:p w14:paraId="535F949F">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rPr>
            </w:pPr>
            <w:r>
              <w:rPr>
                <w:rFonts w:hint="default"/>
                <w:color w:val="auto"/>
                <w:sz w:val="24"/>
                <w:szCs w:val="24"/>
              </w:rPr>
              <w:t>3）应急物资要求：企业应在危废间配置悬挂式干粉灭火器、沙袋、过滤棉、防毒面具等应急物资，以便实施应急处置。</w:t>
            </w:r>
          </w:p>
          <w:p w14:paraId="26D7E53C">
            <w:pPr>
              <w:pStyle w:val="91"/>
              <w:keepNext w:val="0"/>
              <w:keepLines w:val="0"/>
              <w:widowControl/>
              <w:suppressLineNumbers w:val="0"/>
              <w:spacing w:before="0" w:beforeAutospacing="0" w:after="0" w:afterAutospacing="0" w:line="360" w:lineRule="auto"/>
              <w:ind w:left="0" w:right="0" w:firstLine="480"/>
              <w:rPr>
                <w:rFonts w:hint="default"/>
                <w:color w:val="auto"/>
                <w:sz w:val="24"/>
                <w:szCs w:val="24"/>
              </w:rPr>
            </w:pPr>
            <w:r>
              <w:rPr>
                <w:rFonts w:hint="default"/>
                <w:color w:val="auto"/>
                <w:sz w:val="24"/>
                <w:szCs w:val="24"/>
              </w:rPr>
              <w:t>4）危险废物的运输、存贮必须严格按国家规定办理有关手续，运输过程防晒防雨淋。</w:t>
            </w:r>
          </w:p>
          <w:p w14:paraId="47A963AB">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b/>
                <w:color w:val="auto"/>
                <w:kern w:val="2"/>
              </w:rPr>
            </w:pPr>
            <w:r>
              <w:rPr>
                <w:rFonts w:hint="default" w:ascii="Times New Roman" w:hAnsi="Times New Roman"/>
                <w:b/>
                <w:color w:val="auto"/>
                <w:kern w:val="2"/>
              </w:rPr>
              <w:t>七、污染源排放口规范化要求</w:t>
            </w:r>
          </w:p>
          <w:p w14:paraId="2B800CC3">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根据相关环境保护主管部门的有关文件精神，本项目工程废物排放口必须实行排污口规范化整治，该项工作是实施污染物总量控制的基础性工作之一。通过对排污口规范化整治，能够促进企业加强环境管理和污染治理；有利于加强对污染源的监督管理，逐步实现污染物排放的科学化、定量化管理；提高人们的环境意识，保护和改善环境质量。</w:t>
            </w:r>
          </w:p>
          <w:p w14:paraId="4155443C">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1、排污口的技术要求</w:t>
            </w:r>
          </w:p>
          <w:p w14:paraId="392B3323">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（1）排污口的设置必须合理确定，按照《排污口规范化整治技术要求（试行）》（环监[1996]470号），进行规范化管理。</w:t>
            </w:r>
          </w:p>
          <w:p w14:paraId="5ED1E5E5">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w:t>
            </w:r>
            <w:r>
              <w:rPr>
                <w:rFonts w:hint="eastAsia" w:ascii="Times New Roman" w:hAnsi="Times New Roman"/>
                <w:color w:val="auto"/>
                <w:kern w:val="2"/>
              </w:rPr>
              <w:t>2</w:t>
            </w:r>
            <w:r>
              <w:rPr>
                <w:rFonts w:hint="default" w:ascii="Times New Roman" w:hAnsi="Times New Roman"/>
                <w:color w:val="auto"/>
                <w:kern w:val="2"/>
              </w:rPr>
              <w:t>）设置规范的、便于测量流量、流速的测速段。</w:t>
            </w:r>
          </w:p>
          <w:p w14:paraId="59A33AC9">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2、排污口立标管理</w:t>
            </w:r>
          </w:p>
          <w:p w14:paraId="62F6CB98">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按照国家环境保护部、安徽省</w:t>
            </w:r>
            <w:r>
              <w:rPr>
                <w:rFonts w:hint="eastAsia" w:ascii="Times New Roman" w:hAnsi="Times New Roman"/>
                <w:color w:val="auto"/>
                <w:kern w:val="2"/>
              </w:rPr>
              <w:t>生态环境</w:t>
            </w:r>
            <w:r>
              <w:rPr>
                <w:rFonts w:hint="default" w:ascii="Times New Roman" w:hAnsi="Times New Roman"/>
                <w:color w:val="auto"/>
                <w:kern w:val="2"/>
              </w:rPr>
              <w:t>厅关于对排放口规范化整治的统一要求，规范排污口，便于环境管理及监测部门的日常监督、检查和监测。首先排污口要立标管理，设立国家标准规定的标志牌，根据排污口污染物的排放特点，设置提示性或警告性环境保护图形标志牌，一般污染源设置提示性标志牌，毒性污染物设置警示性标志牌。</w:t>
            </w:r>
          </w:p>
          <w:p w14:paraId="3D42375B">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（1）废气排放口</w:t>
            </w:r>
          </w:p>
          <w:p w14:paraId="6805459C">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建设单位需按《排污口设置及规范化整治管理办法》要求进行废气排污口规范化设计。排气筒应设置便于釆样、监测的釆样口和釆样监测平台。有净化设施的，应在其进出口分别设置釆样口。环境保护图形标志牌应设在排气筒附近地面醒目处。</w:t>
            </w:r>
          </w:p>
          <w:p w14:paraId="04C825F7">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w:t>
            </w:r>
            <w:r>
              <w:rPr>
                <w:rFonts w:hint="eastAsia" w:ascii="Times New Roman" w:hAnsi="Times New Roman"/>
                <w:color w:val="auto"/>
                <w:kern w:val="2"/>
              </w:rPr>
              <w:t>2</w:t>
            </w:r>
            <w:r>
              <w:rPr>
                <w:rFonts w:hint="default" w:ascii="Times New Roman" w:hAnsi="Times New Roman"/>
                <w:color w:val="auto"/>
                <w:kern w:val="2"/>
              </w:rPr>
              <w:t>）噪声源</w:t>
            </w:r>
          </w:p>
          <w:p w14:paraId="0CBF9847">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按规定对固定噪声源进行治理，并在对外界影响最大处设置标志牌。</w:t>
            </w:r>
          </w:p>
          <w:p w14:paraId="40D72DCC">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w:t>
            </w:r>
            <w:r>
              <w:rPr>
                <w:rFonts w:hint="eastAsia" w:ascii="Times New Roman" w:hAnsi="Times New Roman"/>
                <w:color w:val="auto"/>
                <w:kern w:val="2"/>
              </w:rPr>
              <w:t>3</w:t>
            </w:r>
            <w:r>
              <w:rPr>
                <w:rFonts w:hint="default" w:ascii="Times New Roman" w:hAnsi="Times New Roman"/>
                <w:color w:val="auto"/>
                <w:kern w:val="2"/>
              </w:rPr>
              <w:t>）固体废物临时堆放场</w:t>
            </w:r>
          </w:p>
          <w:p w14:paraId="7F560CB7">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对各种固体废物应分类收集﹑贮存和运输，设置专用危险废物临时贮存仓库，有防止雨淋﹑防扬散﹑防流失﹑防渗漏等措施，并设置标志牌。</w:t>
            </w:r>
          </w:p>
          <w:p w14:paraId="4A6EC2A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olor w:val="auto"/>
                <w:kern w:val="2"/>
              </w:rPr>
            </w:pPr>
            <w:r>
              <w:rPr>
                <w:rFonts w:hint="default" w:ascii="Times New Roman" w:hAnsi="Times New Roman"/>
                <w:color w:val="auto"/>
                <w:kern w:val="2"/>
              </w:rPr>
              <w:t>（</w:t>
            </w:r>
            <w:r>
              <w:rPr>
                <w:rFonts w:hint="eastAsia" w:ascii="Times New Roman" w:hAnsi="Times New Roman"/>
                <w:color w:val="auto"/>
                <w:kern w:val="2"/>
              </w:rPr>
              <w:t>4</w:t>
            </w:r>
            <w:r>
              <w:rPr>
                <w:rFonts w:hint="default" w:ascii="Times New Roman" w:hAnsi="Times New Roman"/>
                <w:color w:val="auto"/>
                <w:kern w:val="2"/>
              </w:rPr>
              <w:t>）设置标志牌</w:t>
            </w:r>
          </w:p>
          <w:p w14:paraId="78480F71">
            <w:pPr>
              <w:keepNext w:val="0"/>
              <w:keepLines w:val="0"/>
              <w:widowControl/>
              <w:suppressLineNumbers w:val="0"/>
              <w:spacing w:before="0" w:beforeAutospacing="0" w:after="0" w:afterAutospacing="0" w:line="360" w:lineRule="auto"/>
              <w:ind w:left="0" w:right="0" w:firstLine="480" w:firstLineChars="200"/>
              <w:rPr>
                <w:rFonts w:hint="default"/>
                <w:color w:val="auto"/>
                <w:kern w:val="2"/>
              </w:rPr>
            </w:pPr>
            <w:r>
              <w:rPr>
                <w:rFonts w:hint="default" w:ascii="Times New Roman" w:hAnsi="Times New Roman"/>
                <w:color w:val="auto"/>
                <w:kern w:val="2"/>
              </w:rPr>
              <w:t>一般污染物排污口（源），设置提示式标志牌，有毒、有害污染物的排污口设置警告式标志牌。各污染源排放口应规范设置，应符合国家、省、市有关规定，并通过主管环保部门认证和验收。规范化排污口的有关设置（如图形标志牌、计量装置、监控装置等）属环保设施，建设单位必须负责日常的维护保养，任何单位和个人不得擅自拆除，如果需要变更的必须报环境监理部门同意并办理变更手续。图形标志的形状及颜色、环境保护图形符号详见下表：</w:t>
            </w:r>
          </w:p>
          <w:p w14:paraId="12FE086F">
            <w:pPr>
              <w:keepNext w:val="0"/>
              <w:keepLines w:val="0"/>
              <w:widowControl w:val="0"/>
              <w:suppressLineNumbers w:val="0"/>
              <w:spacing w:before="0" w:beforeAutospacing="0" w:after="0" w:afterAutospacing="0" w:line="360" w:lineRule="auto"/>
              <w:ind w:left="0" w:right="0"/>
              <w:jc w:val="center"/>
              <w:rPr>
                <w:rFonts w:hint="default" w:ascii="Calibri" w:hAnsi="黑体" w:eastAsia="黑体" w:cs="Times New Roman"/>
                <w:color w:val="auto"/>
                <w:kern w:val="2"/>
                <w:szCs w:val="22"/>
              </w:rPr>
            </w:pPr>
            <w:r>
              <w:rPr>
                <w:rFonts w:hint="eastAsia" w:ascii="Times New Roman" w:hAnsi="Times New Roman" w:eastAsia="黑体" w:cs="Times New Roman"/>
                <w:color w:val="auto"/>
                <w:kern w:val="2"/>
                <w:szCs w:val="22"/>
              </w:rPr>
              <w:t>表4-</w:t>
            </w:r>
            <w:r>
              <w:rPr>
                <w:rFonts w:hint="eastAsia" w:ascii="Times New Roman" w:hAnsi="Times New Roman" w:eastAsia="黑体" w:cs="Times New Roman"/>
                <w:color w:val="auto"/>
                <w:kern w:val="2"/>
                <w:szCs w:val="22"/>
                <w:lang w:val="en-US" w:eastAsia="zh-CN"/>
              </w:rPr>
              <w:t>16</w:t>
            </w:r>
            <w:r>
              <w:rPr>
                <w:rFonts w:hint="eastAsia" w:ascii="Times New Roman" w:hAnsi="Times New Roman" w:eastAsia="黑体" w:cs="Times New Roman"/>
                <w:color w:val="auto"/>
                <w:kern w:val="2"/>
                <w:szCs w:val="22"/>
              </w:rPr>
              <w:t xml:space="preserve">  </w:t>
            </w:r>
            <w:r>
              <w:rPr>
                <w:rFonts w:hint="default" w:ascii="Calibri" w:hAnsi="黑体" w:eastAsia="黑体" w:cs="Times New Roman"/>
                <w:color w:val="auto"/>
                <w:kern w:val="2"/>
                <w:szCs w:val="22"/>
              </w:rPr>
              <w:t>本项目环境保护图形符号表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02"/>
              <w:gridCol w:w="1622"/>
              <w:gridCol w:w="2196"/>
              <w:gridCol w:w="1608"/>
              <w:gridCol w:w="1650"/>
            </w:tblGrid>
            <w:tr w14:paraId="4AC1D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31" w:type="pct"/>
                  <w:tcBorders>
                    <w:top w:val="single" w:color="auto" w:sz="12" w:space="0"/>
                    <w:left w:val="nil"/>
                    <w:bottom w:val="single" w:color="auto" w:sz="4" w:space="0"/>
                    <w:right w:val="single" w:color="auto" w:sz="4" w:space="0"/>
                  </w:tcBorders>
                  <w:vAlign w:val="center"/>
                </w:tcPr>
                <w:p w14:paraId="39EC6412">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spacing w:val="-2"/>
                      <w:kern w:val="2"/>
                      <w:sz w:val="21"/>
                      <w:szCs w:val="21"/>
                    </w:rPr>
                  </w:pPr>
                  <w:r>
                    <w:rPr>
                      <w:rFonts w:hint="default" w:ascii="Times New Roman" w:hAnsi="Times New Roman" w:cs="Times New Roman"/>
                      <w:b/>
                      <w:color w:val="auto"/>
                      <w:kern w:val="2"/>
                      <w:sz w:val="21"/>
                      <w:szCs w:val="21"/>
                    </w:rPr>
                    <w:t>序号</w:t>
                  </w:r>
                </w:p>
              </w:tc>
              <w:tc>
                <w:tcPr>
                  <w:tcW w:w="1070" w:type="pct"/>
                  <w:tcBorders>
                    <w:top w:val="single" w:color="auto" w:sz="12" w:space="0"/>
                    <w:left w:val="single" w:color="auto" w:sz="4" w:space="0"/>
                    <w:bottom w:val="single" w:color="auto" w:sz="4" w:space="0"/>
                    <w:right w:val="single" w:color="auto" w:sz="4" w:space="0"/>
                  </w:tcBorders>
                  <w:vAlign w:val="center"/>
                </w:tcPr>
                <w:p w14:paraId="50FF7D3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spacing w:val="-2"/>
                      <w:kern w:val="2"/>
                      <w:sz w:val="21"/>
                      <w:szCs w:val="21"/>
                    </w:rPr>
                  </w:pPr>
                  <w:r>
                    <w:rPr>
                      <w:rFonts w:hint="default" w:ascii="Times New Roman" w:hAnsi="Times New Roman" w:cs="Times New Roman"/>
                      <w:b/>
                      <w:color w:val="auto"/>
                      <w:kern w:val="2"/>
                      <w:sz w:val="21"/>
                      <w:szCs w:val="21"/>
                    </w:rPr>
                    <w:t>提示图形符号</w:t>
                  </w:r>
                </w:p>
              </w:tc>
              <w:tc>
                <w:tcPr>
                  <w:tcW w:w="1449" w:type="pct"/>
                  <w:tcBorders>
                    <w:top w:val="single" w:color="auto" w:sz="12" w:space="0"/>
                    <w:left w:val="single" w:color="auto" w:sz="4" w:space="0"/>
                    <w:bottom w:val="single" w:color="auto" w:sz="4" w:space="0"/>
                    <w:right w:val="single" w:color="auto" w:sz="4" w:space="0"/>
                  </w:tcBorders>
                  <w:vAlign w:val="center"/>
                </w:tcPr>
                <w:p w14:paraId="0500BB1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spacing w:val="-2"/>
                      <w:kern w:val="2"/>
                      <w:sz w:val="21"/>
                      <w:szCs w:val="21"/>
                    </w:rPr>
                  </w:pPr>
                  <w:r>
                    <w:rPr>
                      <w:rFonts w:hint="default" w:ascii="Times New Roman" w:hAnsi="Times New Roman" w:cs="Times New Roman"/>
                      <w:b/>
                      <w:color w:val="auto"/>
                      <w:kern w:val="2"/>
                      <w:sz w:val="21"/>
                      <w:szCs w:val="21"/>
                    </w:rPr>
                    <w:t>警告图形符号</w:t>
                  </w:r>
                </w:p>
              </w:tc>
              <w:tc>
                <w:tcPr>
                  <w:tcW w:w="1061" w:type="pct"/>
                  <w:tcBorders>
                    <w:top w:val="single" w:color="auto" w:sz="12" w:space="0"/>
                    <w:left w:val="single" w:color="auto" w:sz="4" w:space="0"/>
                    <w:bottom w:val="single" w:color="auto" w:sz="4" w:space="0"/>
                    <w:right w:val="single" w:color="auto" w:sz="4" w:space="0"/>
                  </w:tcBorders>
                  <w:vAlign w:val="center"/>
                </w:tcPr>
                <w:p w14:paraId="20AF2809">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spacing w:val="-2"/>
                      <w:kern w:val="2"/>
                      <w:sz w:val="21"/>
                      <w:szCs w:val="21"/>
                    </w:rPr>
                  </w:pPr>
                  <w:r>
                    <w:rPr>
                      <w:rFonts w:hint="default" w:ascii="Times New Roman" w:hAnsi="Times New Roman" w:cs="Times New Roman"/>
                      <w:b/>
                      <w:color w:val="auto"/>
                      <w:kern w:val="2"/>
                      <w:sz w:val="21"/>
                      <w:szCs w:val="21"/>
                    </w:rPr>
                    <w:t>名称</w:t>
                  </w:r>
                </w:p>
              </w:tc>
              <w:tc>
                <w:tcPr>
                  <w:tcW w:w="1090" w:type="pct"/>
                  <w:tcBorders>
                    <w:top w:val="single" w:color="auto" w:sz="12" w:space="0"/>
                    <w:left w:val="single" w:color="auto" w:sz="4" w:space="0"/>
                    <w:bottom w:val="single" w:color="auto" w:sz="4" w:space="0"/>
                    <w:right w:val="nil"/>
                  </w:tcBorders>
                  <w:vAlign w:val="center"/>
                </w:tcPr>
                <w:p w14:paraId="4C9116F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b/>
                      <w:color w:val="auto"/>
                      <w:spacing w:val="-2"/>
                      <w:kern w:val="2"/>
                      <w:sz w:val="21"/>
                      <w:szCs w:val="21"/>
                    </w:rPr>
                  </w:pPr>
                  <w:r>
                    <w:rPr>
                      <w:rFonts w:hint="default" w:ascii="Times New Roman" w:hAnsi="Times New Roman" w:cs="Times New Roman"/>
                      <w:b/>
                      <w:color w:val="auto"/>
                      <w:kern w:val="2"/>
                      <w:sz w:val="21"/>
                      <w:szCs w:val="21"/>
                    </w:rPr>
                    <w:t>功能</w:t>
                  </w:r>
                </w:p>
              </w:tc>
            </w:tr>
            <w:tr w14:paraId="29BD8F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31" w:type="pct"/>
                  <w:tcBorders>
                    <w:top w:val="single" w:color="auto" w:sz="4" w:space="0"/>
                    <w:left w:val="nil"/>
                    <w:bottom w:val="single" w:color="auto" w:sz="4" w:space="0"/>
                    <w:right w:val="single" w:color="auto" w:sz="4" w:space="0"/>
                  </w:tcBorders>
                  <w:vAlign w:val="center"/>
                </w:tcPr>
                <w:p w14:paraId="015439C8">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eastAsia" w:ascii="Times New Roman" w:hAnsi="Times New Roman" w:cs="Times New Roman"/>
                      <w:color w:val="auto"/>
                      <w:kern w:val="2"/>
                      <w:sz w:val="21"/>
                      <w:szCs w:val="21"/>
                    </w:rPr>
                    <w:t>1</w:t>
                  </w:r>
                </w:p>
              </w:tc>
              <w:tc>
                <w:tcPr>
                  <w:tcW w:w="1070" w:type="pct"/>
                  <w:tcBorders>
                    <w:top w:val="single" w:color="auto" w:sz="4" w:space="0"/>
                    <w:left w:val="single" w:color="auto" w:sz="4" w:space="0"/>
                    <w:bottom w:val="single" w:color="auto" w:sz="4" w:space="0"/>
                    <w:right w:val="single" w:color="auto" w:sz="4" w:space="0"/>
                  </w:tcBorders>
                  <w:vAlign w:val="center"/>
                </w:tcPr>
                <w:p w14:paraId="258F7F22">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default" w:ascii="Times New Roman" w:hAnsi="Times New Roman" w:cs="Times New Roman"/>
                      <w:smallCaps/>
                      <w:color w:val="auto"/>
                      <w:kern w:val="2"/>
                      <w:sz w:val="21"/>
                      <w:szCs w:val="21"/>
                    </w:rPr>
                    <w:drawing>
                      <wp:inline distT="0" distB="0" distL="0" distR="0">
                        <wp:extent cx="857250" cy="857250"/>
                        <wp:effectExtent l="19050" t="0" r="0" b="0"/>
                        <wp:docPr id="13"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5"/>
                                <pic:cNvPicPr>
                                  <a:picLocks noChangeAspect="1" noChangeArrowheads="1"/>
                                </pic:cNvPicPr>
                              </pic:nvPicPr>
                              <pic:blipFill>
                                <a:blip r:embed="rId19" cstate="print"/>
                                <a:srcRect/>
                                <a:stretch>
                                  <a:fillRect/>
                                </a:stretch>
                              </pic:blipFill>
                              <pic:spPr>
                                <a:xfrm>
                                  <a:off x="0" y="0"/>
                                  <a:ext cx="857250" cy="857250"/>
                                </a:xfrm>
                                <a:prstGeom prst="rect">
                                  <a:avLst/>
                                </a:prstGeom>
                                <a:noFill/>
                                <a:ln w="9525" cmpd="sng">
                                  <a:noFill/>
                                  <a:miter lim="800000"/>
                                  <a:headEnd/>
                                  <a:tailEnd/>
                                </a:ln>
                              </pic:spPr>
                            </pic:pic>
                          </a:graphicData>
                        </a:graphic>
                      </wp:inline>
                    </w:drawing>
                  </w:r>
                </w:p>
              </w:tc>
              <w:tc>
                <w:tcPr>
                  <w:tcW w:w="1449" w:type="pct"/>
                  <w:tcBorders>
                    <w:top w:val="single" w:color="auto" w:sz="4" w:space="0"/>
                    <w:left w:val="single" w:color="auto" w:sz="4" w:space="0"/>
                    <w:bottom w:val="single" w:color="auto" w:sz="4" w:space="0"/>
                    <w:right w:val="single" w:color="auto" w:sz="4" w:space="0"/>
                  </w:tcBorders>
                  <w:vAlign w:val="center"/>
                </w:tcPr>
                <w:p w14:paraId="64FFC7BC">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default" w:ascii="Times New Roman" w:hAnsi="Times New Roman" w:cs="Times New Roman"/>
                      <w:smallCaps/>
                      <w:color w:val="auto"/>
                      <w:kern w:val="2"/>
                      <w:sz w:val="21"/>
                      <w:szCs w:val="21"/>
                    </w:rPr>
                    <w:drawing>
                      <wp:inline distT="0" distB="0" distL="0" distR="0">
                        <wp:extent cx="962025" cy="857250"/>
                        <wp:effectExtent l="19050" t="0" r="9525" b="0"/>
                        <wp:docPr id="1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6"/>
                                <pic:cNvPicPr>
                                  <a:picLocks noChangeAspect="1" noChangeArrowheads="1"/>
                                </pic:cNvPicPr>
                              </pic:nvPicPr>
                              <pic:blipFill>
                                <a:blip r:embed="rId20" cstate="print"/>
                                <a:srcRect/>
                                <a:stretch>
                                  <a:fillRect/>
                                </a:stretch>
                              </pic:blipFill>
                              <pic:spPr>
                                <a:xfrm>
                                  <a:off x="0" y="0"/>
                                  <a:ext cx="962025" cy="857250"/>
                                </a:xfrm>
                                <a:prstGeom prst="rect">
                                  <a:avLst/>
                                </a:prstGeom>
                                <a:noFill/>
                                <a:ln w="9525" cmpd="sng">
                                  <a:noFill/>
                                  <a:miter lim="800000"/>
                                  <a:headEnd/>
                                  <a:tailEnd/>
                                </a:ln>
                              </pic:spPr>
                            </pic:pic>
                          </a:graphicData>
                        </a:graphic>
                      </wp:inline>
                    </w:drawing>
                  </w:r>
                </w:p>
              </w:tc>
              <w:tc>
                <w:tcPr>
                  <w:tcW w:w="1061" w:type="pct"/>
                  <w:tcBorders>
                    <w:top w:val="single" w:color="auto" w:sz="4" w:space="0"/>
                    <w:left w:val="single" w:color="auto" w:sz="4" w:space="0"/>
                    <w:bottom w:val="single" w:color="auto" w:sz="4" w:space="0"/>
                    <w:right w:val="single" w:color="auto" w:sz="4" w:space="0"/>
                  </w:tcBorders>
                  <w:vAlign w:val="center"/>
                </w:tcPr>
                <w:p w14:paraId="7219526A">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default" w:ascii="Times New Roman" w:hAnsi="Times New Roman" w:cs="Times New Roman"/>
                      <w:color w:val="auto"/>
                      <w:kern w:val="2"/>
                      <w:sz w:val="21"/>
                      <w:szCs w:val="21"/>
                    </w:rPr>
                    <w:t>废气排放口</w:t>
                  </w:r>
                </w:p>
              </w:tc>
              <w:tc>
                <w:tcPr>
                  <w:tcW w:w="1090" w:type="pct"/>
                  <w:tcBorders>
                    <w:top w:val="single" w:color="auto" w:sz="4" w:space="0"/>
                    <w:left w:val="single" w:color="auto" w:sz="4" w:space="0"/>
                    <w:bottom w:val="single" w:color="auto" w:sz="4" w:space="0"/>
                    <w:right w:val="nil"/>
                  </w:tcBorders>
                  <w:vAlign w:val="center"/>
                </w:tcPr>
                <w:p w14:paraId="275BFB63">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default" w:ascii="Times New Roman" w:hAnsi="Times New Roman" w:cs="Times New Roman"/>
                      <w:color w:val="auto"/>
                      <w:kern w:val="2"/>
                      <w:sz w:val="21"/>
                      <w:szCs w:val="21"/>
                    </w:rPr>
                    <w:t>表示废气向大气环境排放</w:t>
                  </w:r>
                </w:p>
              </w:tc>
            </w:tr>
            <w:tr w14:paraId="6B149B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31" w:type="pct"/>
                  <w:tcBorders>
                    <w:top w:val="single" w:color="auto" w:sz="4" w:space="0"/>
                    <w:left w:val="nil"/>
                    <w:bottom w:val="single" w:color="auto" w:sz="4" w:space="0"/>
                    <w:right w:val="single" w:color="auto" w:sz="4" w:space="0"/>
                  </w:tcBorders>
                  <w:vAlign w:val="center"/>
                </w:tcPr>
                <w:p w14:paraId="6A315012">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eastAsia" w:ascii="Times New Roman" w:hAnsi="Times New Roman" w:cs="Times New Roman"/>
                      <w:color w:val="auto"/>
                      <w:kern w:val="2"/>
                      <w:sz w:val="21"/>
                      <w:szCs w:val="21"/>
                    </w:rPr>
                    <w:t>2</w:t>
                  </w:r>
                </w:p>
              </w:tc>
              <w:tc>
                <w:tcPr>
                  <w:tcW w:w="1070" w:type="pct"/>
                  <w:tcBorders>
                    <w:top w:val="single" w:color="auto" w:sz="4" w:space="0"/>
                    <w:left w:val="single" w:color="auto" w:sz="4" w:space="0"/>
                    <w:bottom w:val="single" w:color="auto" w:sz="4" w:space="0"/>
                    <w:right w:val="single" w:color="auto" w:sz="4" w:space="0"/>
                  </w:tcBorders>
                  <w:vAlign w:val="center"/>
                </w:tcPr>
                <w:p w14:paraId="3BEB681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default" w:ascii="Times New Roman" w:hAnsi="Times New Roman" w:cs="Times New Roman"/>
                      <w:smallCaps/>
                      <w:color w:val="auto"/>
                      <w:kern w:val="2"/>
                      <w:sz w:val="21"/>
                      <w:szCs w:val="21"/>
                    </w:rPr>
                    <w:drawing>
                      <wp:inline distT="0" distB="0" distL="0" distR="0">
                        <wp:extent cx="857250" cy="857250"/>
                        <wp:effectExtent l="19050" t="0" r="0" b="0"/>
                        <wp:docPr id="1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7"/>
                                <pic:cNvPicPr>
                                  <a:picLocks noChangeAspect="1" noChangeArrowheads="1"/>
                                </pic:cNvPicPr>
                              </pic:nvPicPr>
                              <pic:blipFill>
                                <a:blip r:embed="rId21" cstate="print"/>
                                <a:srcRect/>
                                <a:stretch>
                                  <a:fillRect/>
                                </a:stretch>
                              </pic:blipFill>
                              <pic:spPr>
                                <a:xfrm>
                                  <a:off x="0" y="0"/>
                                  <a:ext cx="857250" cy="857250"/>
                                </a:xfrm>
                                <a:prstGeom prst="rect">
                                  <a:avLst/>
                                </a:prstGeom>
                                <a:noFill/>
                                <a:ln w="9525" cmpd="sng">
                                  <a:noFill/>
                                  <a:miter lim="800000"/>
                                  <a:headEnd/>
                                  <a:tailEnd/>
                                </a:ln>
                              </pic:spPr>
                            </pic:pic>
                          </a:graphicData>
                        </a:graphic>
                      </wp:inline>
                    </w:drawing>
                  </w:r>
                </w:p>
              </w:tc>
              <w:tc>
                <w:tcPr>
                  <w:tcW w:w="1449" w:type="pct"/>
                  <w:tcBorders>
                    <w:top w:val="single" w:color="auto" w:sz="4" w:space="0"/>
                    <w:left w:val="single" w:color="auto" w:sz="4" w:space="0"/>
                    <w:bottom w:val="single" w:color="auto" w:sz="4" w:space="0"/>
                    <w:right w:val="single" w:color="auto" w:sz="4" w:space="0"/>
                  </w:tcBorders>
                  <w:vAlign w:val="center"/>
                </w:tcPr>
                <w:p w14:paraId="14BF9746">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default" w:ascii="Times New Roman" w:hAnsi="Times New Roman" w:cs="Times New Roman"/>
                      <w:smallCaps/>
                      <w:color w:val="auto"/>
                      <w:kern w:val="2"/>
                      <w:sz w:val="21"/>
                      <w:szCs w:val="21"/>
                    </w:rPr>
                    <w:drawing>
                      <wp:inline distT="0" distB="0" distL="0" distR="0">
                        <wp:extent cx="962025" cy="857250"/>
                        <wp:effectExtent l="19050" t="0" r="9525" b="0"/>
                        <wp:docPr id="1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8"/>
                                <pic:cNvPicPr>
                                  <a:picLocks noChangeAspect="1" noChangeArrowheads="1"/>
                                </pic:cNvPicPr>
                              </pic:nvPicPr>
                              <pic:blipFill>
                                <a:blip r:embed="rId22" cstate="print"/>
                                <a:srcRect/>
                                <a:stretch>
                                  <a:fillRect/>
                                </a:stretch>
                              </pic:blipFill>
                              <pic:spPr>
                                <a:xfrm>
                                  <a:off x="0" y="0"/>
                                  <a:ext cx="962025" cy="857250"/>
                                </a:xfrm>
                                <a:prstGeom prst="rect">
                                  <a:avLst/>
                                </a:prstGeom>
                                <a:noFill/>
                                <a:ln w="9525" cmpd="sng">
                                  <a:noFill/>
                                  <a:miter lim="800000"/>
                                  <a:headEnd/>
                                  <a:tailEnd/>
                                </a:ln>
                              </pic:spPr>
                            </pic:pic>
                          </a:graphicData>
                        </a:graphic>
                      </wp:inline>
                    </w:drawing>
                  </w:r>
                </w:p>
              </w:tc>
              <w:tc>
                <w:tcPr>
                  <w:tcW w:w="1061" w:type="pct"/>
                  <w:tcBorders>
                    <w:top w:val="single" w:color="auto" w:sz="4" w:space="0"/>
                    <w:left w:val="single" w:color="auto" w:sz="4" w:space="0"/>
                    <w:bottom w:val="single" w:color="auto" w:sz="4" w:space="0"/>
                    <w:right w:val="single" w:color="auto" w:sz="4" w:space="0"/>
                  </w:tcBorders>
                  <w:vAlign w:val="center"/>
                </w:tcPr>
                <w:p w14:paraId="774F4161">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default" w:ascii="Times New Roman" w:hAnsi="Times New Roman" w:cs="Times New Roman"/>
                      <w:color w:val="auto"/>
                      <w:kern w:val="2"/>
                      <w:sz w:val="21"/>
                      <w:szCs w:val="21"/>
                    </w:rPr>
                    <w:t>一般工业固体废物</w:t>
                  </w:r>
                </w:p>
              </w:tc>
              <w:tc>
                <w:tcPr>
                  <w:tcW w:w="1090" w:type="pct"/>
                  <w:tcBorders>
                    <w:top w:val="single" w:color="auto" w:sz="4" w:space="0"/>
                    <w:left w:val="single" w:color="auto" w:sz="4" w:space="0"/>
                    <w:bottom w:val="single" w:color="auto" w:sz="4" w:space="0"/>
                    <w:right w:val="nil"/>
                  </w:tcBorders>
                  <w:vAlign w:val="center"/>
                </w:tcPr>
                <w:p w14:paraId="695B1390">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default" w:ascii="Times New Roman" w:hAnsi="Times New Roman" w:cs="Times New Roman"/>
                      <w:color w:val="auto"/>
                      <w:kern w:val="2"/>
                      <w:sz w:val="21"/>
                      <w:szCs w:val="21"/>
                    </w:rPr>
                    <w:t>表示一般工业固体废物贮存、处置场</w:t>
                  </w:r>
                </w:p>
              </w:tc>
            </w:tr>
            <w:tr w14:paraId="4A7CC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31" w:type="pct"/>
                  <w:tcBorders>
                    <w:top w:val="single" w:color="auto" w:sz="4" w:space="0"/>
                    <w:left w:val="nil"/>
                    <w:bottom w:val="single" w:color="auto" w:sz="4" w:space="0"/>
                    <w:right w:val="single" w:color="auto" w:sz="4" w:space="0"/>
                  </w:tcBorders>
                  <w:vAlign w:val="center"/>
                </w:tcPr>
                <w:p w14:paraId="0DEF7BE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eastAsia" w:ascii="Times New Roman" w:hAnsi="Times New Roman" w:cs="Times New Roman"/>
                      <w:color w:val="auto"/>
                      <w:kern w:val="2"/>
                      <w:sz w:val="21"/>
                      <w:szCs w:val="21"/>
                    </w:rPr>
                    <w:t>3</w:t>
                  </w:r>
                </w:p>
              </w:tc>
              <w:tc>
                <w:tcPr>
                  <w:tcW w:w="1070" w:type="pct"/>
                  <w:tcBorders>
                    <w:top w:val="single" w:color="auto" w:sz="4" w:space="0"/>
                    <w:left w:val="single" w:color="auto" w:sz="4" w:space="0"/>
                    <w:bottom w:val="single" w:color="auto" w:sz="4" w:space="0"/>
                    <w:right w:val="single" w:color="auto" w:sz="4" w:space="0"/>
                  </w:tcBorders>
                  <w:vAlign w:val="center"/>
                </w:tcPr>
                <w:p w14:paraId="0AE9AC3F">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default" w:ascii="Times New Roman" w:hAnsi="Times New Roman" w:cs="Times New Roman"/>
                      <w:color w:val="auto"/>
                      <w:spacing w:val="-2"/>
                      <w:kern w:val="2"/>
                      <w:sz w:val="21"/>
                      <w:szCs w:val="21"/>
                    </w:rPr>
                    <w:t>/</w:t>
                  </w:r>
                </w:p>
              </w:tc>
              <w:tc>
                <w:tcPr>
                  <w:tcW w:w="1449" w:type="pct"/>
                  <w:tcBorders>
                    <w:top w:val="single" w:color="auto" w:sz="4" w:space="0"/>
                    <w:left w:val="single" w:color="auto" w:sz="4" w:space="0"/>
                    <w:bottom w:val="single" w:color="auto" w:sz="4" w:space="0"/>
                    <w:right w:val="single" w:color="auto" w:sz="4" w:space="0"/>
                  </w:tcBorders>
                  <w:vAlign w:val="center"/>
                </w:tcPr>
                <w:p w14:paraId="08C3561C">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default" w:ascii="Times New Roman" w:hAnsi="Times New Roman" w:cs="Times New Roman"/>
                      <w:color w:val="auto"/>
                      <w:spacing w:val="-2"/>
                      <w:kern w:val="2"/>
                      <w:sz w:val="21"/>
                      <w:szCs w:val="21"/>
                    </w:rPr>
                    <w:drawing>
                      <wp:inline distT="0" distB="0" distL="0" distR="0">
                        <wp:extent cx="1228725" cy="971550"/>
                        <wp:effectExtent l="19050" t="0" r="9525" b="0"/>
                        <wp:docPr id="17" name="图片 3" descr="5[GH5T597V}4NCI(}UJT3[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5[GH5T597V}4NCI(}UJT3[R.png"/>
                                <pic:cNvPicPr>
                                  <a:picLocks noChangeAspect="1" noChangeArrowheads="1"/>
                                </pic:cNvPicPr>
                              </pic:nvPicPr>
                              <pic:blipFill>
                                <a:blip r:embed="rId23" cstate="print"/>
                                <a:srcRect/>
                                <a:stretch>
                                  <a:fillRect/>
                                </a:stretch>
                              </pic:blipFill>
                              <pic:spPr>
                                <a:xfrm>
                                  <a:off x="0" y="0"/>
                                  <a:ext cx="1228725" cy="971550"/>
                                </a:xfrm>
                                <a:prstGeom prst="rect">
                                  <a:avLst/>
                                </a:prstGeom>
                                <a:noFill/>
                                <a:ln w="9525" cmpd="sng">
                                  <a:noFill/>
                                  <a:miter lim="800000"/>
                                  <a:headEnd/>
                                  <a:tailEnd/>
                                </a:ln>
                              </pic:spPr>
                            </pic:pic>
                          </a:graphicData>
                        </a:graphic>
                      </wp:inline>
                    </w:drawing>
                  </w:r>
                </w:p>
              </w:tc>
              <w:tc>
                <w:tcPr>
                  <w:tcW w:w="1061" w:type="pct"/>
                  <w:tcBorders>
                    <w:top w:val="single" w:color="auto" w:sz="4" w:space="0"/>
                    <w:left w:val="single" w:color="auto" w:sz="4" w:space="0"/>
                    <w:bottom w:val="single" w:color="auto" w:sz="4" w:space="0"/>
                    <w:right w:val="single" w:color="auto" w:sz="4" w:space="0"/>
                  </w:tcBorders>
                  <w:vAlign w:val="center"/>
                </w:tcPr>
                <w:p w14:paraId="45A2D80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default" w:ascii="Times New Roman" w:hAnsi="Times New Roman" w:cs="Times New Roman"/>
                      <w:color w:val="auto"/>
                      <w:kern w:val="2"/>
                      <w:sz w:val="21"/>
                      <w:szCs w:val="21"/>
                    </w:rPr>
                    <w:t>危险废物</w:t>
                  </w:r>
                </w:p>
              </w:tc>
              <w:tc>
                <w:tcPr>
                  <w:tcW w:w="1090" w:type="pct"/>
                  <w:tcBorders>
                    <w:top w:val="single" w:color="auto" w:sz="4" w:space="0"/>
                    <w:left w:val="single" w:color="auto" w:sz="4" w:space="0"/>
                    <w:bottom w:val="single" w:color="auto" w:sz="4" w:space="0"/>
                    <w:right w:val="nil"/>
                  </w:tcBorders>
                  <w:vAlign w:val="center"/>
                </w:tcPr>
                <w:p w14:paraId="1F99D734">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default" w:ascii="Times New Roman" w:hAnsi="Times New Roman" w:cs="Times New Roman"/>
                      <w:color w:val="auto"/>
                      <w:kern w:val="2"/>
                      <w:sz w:val="21"/>
                      <w:szCs w:val="21"/>
                    </w:rPr>
                    <w:t>表示危险废物贮存、处置场</w:t>
                  </w:r>
                </w:p>
              </w:tc>
            </w:tr>
            <w:tr w14:paraId="7F2ADE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331" w:type="pct"/>
                  <w:tcBorders>
                    <w:top w:val="single" w:color="auto" w:sz="4" w:space="0"/>
                    <w:left w:val="nil"/>
                    <w:bottom w:val="single" w:color="auto" w:sz="12" w:space="0"/>
                    <w:right w:val="single" w:color="auto" w:sz="4" w:space="0"/>
                  </w:tcBorders>
                  <w:vAlign w:val="center"/>
                </w:tcPr>
                <w:p w14:paraId="64A0E21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eastAsia" w:ascii="Times New Roman" w:hAnsi="Times New Roman" w:cs="Times New Roman"/>
                      <w:color w:val="auto"/>
                      <w:kern w:val="2"/>
                      <w:sz w:val="21"/>
                      <w:szCs w:val="21"/>
                    </w:rPr>
                    <w:t>4</w:t>
                  </w:r>
                </w:p>
              </w:tc>
              <w:tc>
                <w:tcPr>
                  <w:tcW w:w="1070" w:type="pct"/>
                  <w:tcBorders>
                    <w:top w:val="single" w:color="auto" w:sz="4" w:space="0"/>
                    <w:left w:val="single" w:color="auto" w:sz="4" w:space="0"/>
                    <w:bottom w:val="single" w:color="auto" w:sz="12" w:space="0"/>
                    <w:right w:val="single" w:color="auto" w:sz="4" w:space="0"/>
                  </w:tcBorders>
                  <w:vAlign w:val="center"/>
                </w:tcPr>
                <w:p w14:paraId="6D55644D">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default" w:ascii="Times New Roman" w:hAnsi="Times New Roman" w:cs="Times New Roman"/>
                      <w:color w:val="auto"/>
                      <w:kern w:val="2"/>
                      <w:sz w:val="21"/>
                      <w:szCs w:val="21"/>
                    </w:rPr>
                    <w:drawing>
                      <wp:inline distT="0" distB="0" distL="0" distR="0">
                        <wp:extent cx="857250" cy="857250"/>
                        <wp:effectExtent l="19050" t="0" r="0" b="0"/>
                        <wp:docPr id="18" name="图片 50" descr="mar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0" descr="mark_3"/>
                                <pic:cNvPicPr>
                                  <a:picLocks noChangeAspect="1" noChangeArrowheads="1"/>
                                </pic:cNvPicPr>
                              </pic:nvPicPr>
                              <pic:blipFill>
                                <a:blip r:embed="rId24" cstate="print"/>
                                <a:srcRect/>
                                <a:stretch>
                                  <a:fillRect/>
                                </a:stretch>
                              </pic:blipFill>
                              <pic:spPr>
                                <a:xfrm>
                                  <a:off x="0" y="0"/>
                                  <a:ext cx="857250" cy="857250"/>
                                </a:xfrm>
                                <a:prstGeom prst="rect">
                                  <a:avLst/>
                                </a:prstGeom>
                                <a:noFill/>
                                <a:ln w="9525" cmpd="sng">
                                  <a:noFill/>
                                  <a:miter lim="800000"/>
                                  <a:headEnd/>
                                  <a:tailEnd/>
                                </a:ln>
                              </pic:spPr>
                            </pic:pic>
                          </a:graphicData>
                        </a:graphic>
                      </wp:inline>
                    </w:drawing>
                  </w:r>
                </w:p>
              </w:tc>
              <w:tc>
                <w:tcPr>
                  <w:tcW w:w="1449" w:type="pct"/>
                  <w:tcBorders>
                    <w:top w:val="single" w:color="auto" w:sz="4" w:space="0"/>
                    <w:left w:val="single" w:color="auto" w:sz="4" w:space="0"/>
                    <w:bottom w:val="single" w:color="auto" w:sz="12" w:space="0"/>
                    <w:right w:val="single" w:color="auto" w:sz="4" w:space="0"/>
                  </w:tcBorders>
                  <w:vAlign w:val="center"/>
                </w:tcPr>
                <w:p w14:paraId="0CF76EF7">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default" w:ascii="Times New Roman" w:hAnsi="Times New Roman" w:cs="Times New Roman"/>
                      <w:color w:val="auto"/>
                      <w:kern w:val="2"/>
                      <w:sz w:val="21"/>
                      <w:szCs w:val="21"/>
                    </w:rPr>
                    <w:drawing>
                      <wp:inline distT="0" distB="0" distL="0" distR="0">
                        <wp:extent cx="962025" cy="857250"/>
                        <wp:effectExtent l="19050" t="0" r="9525" b="0"/>
                        <wp:docPr id="19" name="图片 51" descr="mark_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1" descr="mark_j3"/>
                                <pic:cNvPicPr>
                                  <a:picLocks noChangeAspect="1" noChangeArrowheads="1"/>
                                </pic:cNvPicPr>
                              </pic:nvPicPr>
                              <pic:blipFill>
                                <a:blip r:embed="rId25" cstate="print"/>
                                <a:srcRect/>
                                <a:stretch>
                                  <a:fillRect/>
                                </a:stretch>
                              </pic:blipFill>
                              <pic:spPr>
                                <a:xfrm>
                                  <a:off x="0" y="0"/>
                                  <a:ext cx="962025" cy="857250"/>
                                </a:xfrm>
                                <a:prstGeom prst="rect">
                                  <a:avLst/>
                                </a:prstGeom>
                                <a:noFill/>
                                <a:ln w="9525" cmpd="sng">
                                  <a:noFill/>
                                  <a:miter lim="800000"/>
                                  <a:headEnd/>
                                  <a:tailEnd/>
                                </a:ln>
                              </pic:spPr>
                            </pic:pic>
                          </a:graphicData>
                        </a:graphic>
                      </wp:inline>
                    </w:drawing>
                  </w:r>
                </w:p>
              </w:tc>
              <w:tc>
                <w:tcPr>
                  <w:tcW w:w="1061" w:type="pct"/>
                  <w:tcBorders>
                    <w:top w:val="single" w:color="auto" w:sz="4" w:space="0"/>
                    <w:left w:val="single" w:color="auto" w:sz="4" w:space="0"/>
                    <w:bottom w:val="single" w:color="auto" w:sz="12" w:space="0"/>
                    <w:right w:val="single" w:color="auto" w:sz="4" w:space="0"/>
                  </w:tcBorders>
                  <w:vAlign w:val="center"/>
                </w:tcPr>
                <w:p w14:paraId="33BD4D70">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default" w:ascii="Times New Roman" w:hAnsi="Times New Roman" w:cs="Times New Roman"/>
                      <w:color w:val="auto"/>
                      <w:kern w:val="2"/>
                      <w:sz w:val="21"/>
                      <w:szCs w:val="21"/>
                    </w:rPr>
                    <w:t>噪声排放源</w:t>
                  </w:r>
                </w:p>
              </w:tc>
              <w:tc>
                <w:tcPr>
                  <w:tcW w:w="1090" w:type="pct"/>
                  <w:tcBorders>
                    <w:top w:val="single" w:color="auto" w:sz="4" w:space="0"/>
                    <w:left w:val="single" w:color="auto" w:sz="4" w:space="0"/>
                    <w:bottom w:val="single" w:color="auto" w:sz="12" w:space="0"/>
                    <w:right w:val="nil"/>
                  </w:tcBorders>
                  <w:vAlign w:val="center"/>
                </w:tcPr>
                <w:p w14:paraId="09F2D91A">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default" w:ascii="Times New Roman" w:hAnsi="Times New Roman" w:cs="Times New Roman"/>
                      <w:color w:val="auto"/>
                      <w:kern w:val="2"/>
                      <w:sz w:val="21"/>
                      <w:szCs w:val="21"/>
                    </w:rPr>
                    <w:t>表示噪声向</w:t>
                  </w:r>
                </w:p>
                <w:p w14:paraId="1A6584C3">
                  <w:pPr>
                    <w:keepNext w:val="0"/>
                    <w:keepLines w:val="0"/>
                    <w:widowControl w:val="0"/>
                    <w:suppressLineNumbers w:val="0"/>
                    <w:spacing w:before="0" w:beforeAutospacing="0" w:after="0" w:afterAutospacing="0" w:line="276" w:lineRule="auto"/>
                    <w:ind w:left="0" w:right="0"/>
                    <w:jc w:val="center"/>
                    <w:rPr>
                      <w:rFonts w:hint="default" w:ascii="Times New Roman" w:hAnsi="Times New Roman" w:cs="Times New Roman"/>
                      <w:color w:val="auto"/>
                      <w:spacing w:val="-2"/>
                      <w:kern w:val="2"/>
                      <w:sz w:val="21"/>
                      <w:szCs w:val="21"/>
                    </w:rPr>
                  </w:pPr>
                  <w:r>
                    <w:rPr>
                      <w:rFonts w:hint="default" w:ascii="Times New Roman" w:hAnsi="Times New Roman" w:cs="Times New Roman"/>
                      <w:color w:val="auto"/>
                      <w:kern w:val="2"/>
                      <w:sz w:val="21"/>
                      <w:szCs w:val="21"/>
                    </w:rPr>
                    <w:t>外环境排放</w:t>
                  </w:r>
                </w:p>
              </w:tc>
            </w:tr>
          </w:tbl>
          <w:p w14:paraId="223ADA80">
            <w:pPr>
              <w:keepNext w:val="0"/>
              <w:keepLines w:val="0"/>
              <w:widowControl w:val="0"/>
              <w:suppressLineNumbers w:val="0"/>
              <w:spacing w:before="0" w:beforeAutospacing="0" w:after="0" w:afterAutospacing="0" w:line="360" w:lineRule="auto"/>
              <w:ind w:left="0" w:right="0"/>
              <w:jc w:val="center"/>
              <w:rPr>
                <w:rFonts w:hint="default" w:ascii="Calibri" w:hAnsi="Calibri" w:eastAsia="黑体" w:cs="Times New Roman"/>
                <w:color w:val="auto"/>
                <w:spacing w:val="-2"/>
                <w:kern w:val="2"/>
                <w:szCs w:val="20"/>
              </w:rPr>
            </w:pPr>
            <w:r>
              <w:rPr>
                <w:rFonts w:hint="default" w:ascii="Calibri" w:hAnsi="黑体" w:eastAsia="黑体" w:cs="Times New Roman"/>
                <w:color w:val="auto"/>
                <w:kern w:val="2"/>
                <w:szCs w:val="22"/>
              </w:rPr>
              <w:t>表</w:t>
            </w:r>
            <w:r>
              <w:rPr>
                <w:rFonts w:hint="eastAsia" w:ascii="Times New Roman" w:hAnsi="Times New Roman" w:eastAsia="黑体" w:cs="Times New Roman"/>
                <w:color w:val="auto"/>
                <w:kern w:val="2"/>
                <w:szCs w:val="22"/>
              </w:rPr>
              <w:t>4-</w:t>
            </w:r>
            <w:r>
              <w:rPr>
                <w:rFonts w:hint="eastAsia" w:ascii="Times New Roman" w:hAnsi="Times New Roman" w:eastAsia="黑体" w:cs="Times New Roman"/>
                <w:color w:val="auto"/>
                <w:kern w:val="2"/>
                <w:szCs w:val="22"/>
                <w:lang w:val="en-US" w:eastAsia="zh-CN"/>
              </w:rPr>
              <w:t>17</w:t>
            </w:r>
            <w:r>
              <w:rPr>
                <w:rFonts w:hint="eastAsia" w:ascii="Times New Roman" w:hAnsi="Times New Roman" w:eastAsia="黑体" w:cs="Times New Roman"/>
                <w:color w:val="auto"/>
                <w:kern w:val="2"/>
                <w:szCs w:val="22"/>
              </w:rPr>
              <w:t xml:space="preserve">  </w:t>
            </w:r>
            <w:r>
              <w:rPr>
                <w:rFonts w:hint="default" w:ascii="Calibri" w:hAnsi="黑体" w:eastAsia="黑体" w:cs="Times New Roman"/>
                <w:color w:val="auto"/>
                <w:kern w:val="2"/>
                <w:szCs w:val="22"/>
              </w:rPr>
              <w:t>环境保护图形标志的形状及颜色表</w:t>
            </w:r>
          </w:p>
          <w:tbl>
            <w:tblPr>
              <w:tblStyle w:val="23"/>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894"/>
              <w:gridCol w:w="1894"/>
              <w:gridCol w:w="1895"/>
              <w:gridCol w:w="1895"/>
            </w:tblGrid>
            <w:tr w14:paraId="455B63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 w:hRule="atLeast"/>
              </w:trPr>
              <w:tc>
                <w:tcPr>
                  <w:tcW w:w="1250" w:type="pct"/>
                  <w:vAlign w:val="center"/>
                </w:tcPr>
                <w:p w14:paraId="20D83E68">
                  <w:pPr>
                    <w:keepNext w:val="0"/>
                    <w:keepLines w:val="0"/>
                    <w:widowControl w:val="0"/>
                    <w:suppressLineNumbers w:val="0"/>
                    <w:spacing w:before="0" w:beforeAutospacing="0" w:after="0" w:afterAutospacing="0" w:line="276" w:lineRule="auto"/>
                    <w:ind w:left="0" w:right="0"/>
                    <w:jc w:val="center"/>
                    <w:rPr>
                      <w:rFonts w:hint="default" w:ascii="Calibri" w:hAnsi="Calibri" w:cs="Times New Roman"/>
                      <w:b/>
                      <w:color w:val="auto"/>
                      <w:spacing w:val="-2"/>
                      <w:kern w:val="2"/>
                      <w:sz w:val="21"/>
                      <w:szCs w:val="21"/>
                    </w:rPr>
                  </w:pPr>
                  <w:r>
                    <w:rPr>
                      <w:rFonts w:hint="default" w:ascii="Calibri" w:cs="Times New Roman"/>
                      <w:b/>
                      <w:color w:val="auto"/>
                      <w:kern w:val="2"/>
                      <w:sz w:val="21"/>
                      <w:szCs w:val="21"/>
                    </w:rPr>
                    <w:t>标志名称</w:t>
                  </w:r>
                </w:p>
              </w:tc>
              <w:tc>
                <w:tcPr>
                  <w:tcW w:w="1250" w:type="pct"/>
                  <w:vAlign w:val="center"/>
                </w:tcPr>
                <w:p w14:paraId="3D7DF1D8">
                  <w:pPr>
                    <w:keepNext w:val="0"/>
                    <w:keepLines w:val="0"/>
                    <w:widowControl w:val="0"/>
                    <w:suppressLineNumbers w:val="0"/>
                    <w:spacing w:before="0" w:beforeAutospacing="0" w:after="0" w:afterAutospacing="0" w:line="276" w:lineRule="auto"/>
                    <w:ind w:left="0" w:right="0"/>
                    <w:jc w:val="center"/>
                    <w:rPr>
                      <w:rFonts w:hint="default" w:ascii="Calibri" w:hAnsi="Calibri" w:cs="Times New Roman"/>
                      <w:b/>
                      <w:color w:val="auto"/>
                      <w:spacing w:val="-2"/>
                      <w:kern w:val="2"/>
                      <w:sz w:val="21"/>
                      <w:szCs w:val="21"/>
                    </w:rPr>
                  </w:pPr>
                  <w:r>
                    <w:rPr>
                      <w:rFonts w:hint="default" w:ascii="Calibri" w:cs="Times New Roman"/>
                      <w:b/>
                      <w:color w:val="auto"/>
                      <w:kern w:val="2"/>
                      <w:sz w:val="21"/>
                      <w:szCs w:val="21"/>
                    </w:rPr>
                    <w:t>形状</w:t>
                  </w:r>
                </w:p>
              </w:tc>
              <w:tc>
                <w:tcPr>
                  <w:tcW w:w="1250" w:type="pct"/>
                  <w:vAlign w:val="center"/>
                </w:tcPr>
                <w:p w14:paraId="7BC07396">
                  <w:pPr>
                    <w:keepNext w:val="0"/>
                    <w:keepLines w:val="0"/>
                    <w:widowControl w:val="0"/>
                    <w:suppressLineNumbers w:val="0"/>
                    <w:spacing w:before="0" w:beforeAutospacing="0" w:after="0" w:afterAutospacing="0" w:line="276" w:lineRule="auto"/>
                    <w:ind w:left="0" w:right="0"/>
                    <w:jc w:val="center"/>
                    <w:rPr>
                      <w:rFonts w:hint="default" w:ascii="Calibri" w:hAnsi="Calibri" w:cs="Times New Roman"/>
                      <w:b/>
                      <w:color w:val="auto"/>
                      <w:spacing w:val="-2"/>
                      <w:kern w:val="2"/>
                      <w:sz w:val="21"/>
                      <w:szCs w:val="21"/>
                    </w:rPr>
                  </w:pPr>
                  <w:r>
                    <w:rPr>
                      <w:rFonts w:hint="default" w:ascii="Calibri" w:cs="Times New Roman"/>
                      <w:b/>
                      <w:color w:val="auto"/>
                      <w:kern w:val="2"/>
                      <w:sz w:val="21"/>
                      <w:szCs w:val="21"/>
                    </w:rPr>
                    <w:t>背景颜色</w:t>
                  </w:r>
                </w:p>
              </w:tc>
              <w:tc>
                <w:tcPr>
                  <w:tcW w:w="1250" w:type="pct"/>
                  <w:vAlign w:val="center"/>
                </w:tcPr>
                <w:p w14:paraId="05916358">
                  <w:pPr>
                    <w:keepNext w:val="0"/>
                    <w:keepLines w:val="0"/>
                    <w:widowControl w:val="0"/>
                    <w:suppressLineNumbers w:val="0"/>
                    <w:spacing w:before="0" w:beforeAutospacing="0" w:after="0" w:afterAutospacing="0" w:line="276" w:lineRule="auto"/>
                    <w:ind w:left="0" w:right="0"/>
                    <w:jc w:val="center"/>
                    <w:rPr>
                      <w:rFonts w:hint="default" w:ascii="Calibri" w:hAnsi="Calibri" w:cs="Times New Roman"/>
                      <w:b/>
                      <w:color w:val="auto"/>
                      <w:spacing w:val="-2"/>
                      <w:kern w:val="2"/>
                      <w:sz w:val="21"/>
                      <w:szCs w:val="21"/>
                    </w:rPr>
                  </w:pPr>
                  <w:r>
                    <w:rPr>
                      <w:rFonts w:hint="default" w:ascii="Calibri" w:cs="Times New Roman"/>
                      <w:b/>
                      <w:color w:val="auto"/>
                      <w:kern w:val="2"/>
                      <w:sz w:val="21"/>
                      <w:szCs w:val="21"/>
                    </w:rPr>
                    <w:t>图形颜色</w:t>
                  </w:r>
                </w:p>
              </w:tc>
            </w:tr>
            <w:tr w14:paraId="4E5860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 w:hRule="atLeast"/>
              </w:trPr>
              <w:tc>
                <w:tcPr>
                  <w:tcW w:w="1250" w:type="pct"/>
                  <w:vAlign w:val="center"/>
                </w:tcPr>
                <w:p w14:paraId="191B9D35">
                  <w:pPr>
                    <w:keepNext w:val="0"/>
                    <w:keepLines w:val="0"/>
                    <w:widowControl w:val="0"/>
                    <w:suppressLineNumbers w:val="0"/>
                    <w:spacing w:before="0" w:beforeAutospacing="0" w:after="0" w:afterAutospacing="0" w:line="276" w:lineRule="auto"/>
                    <w:ind w:left="0" w:right="0"/>
                    <w:jc w:val="center"/>
                    <w:rPr>
                      <w:rFonts w:hint="default" w:ascii="Calibri" w:hAnsi="Calibri" w:cs="Times New Roman"/>
                      <w:color w:val="auto"/>
                      <w:spacing w:val="-2"/>
                      <w:kern w:val="2"/>
                      <w:sz w:val="21"/>
                      <w:szCs w:val="21"/>
                    </w:rPr>
                  </w:pPr>
                  <w:r>
                    <w:rPr>
                      <w:rFonts w:hint="default" w:ascii="Calibri" w:cs="Times New Roman"/>
                      <w:color w:val="auto"/>
                      <w:kern w:val="2"/>
                      <w:sz w:val="21"/>
                      <w:szCs w:val="21"/>
                    </w:rPr>
                    <w:t>警告标志</w:t>
                  </w:r>
                </w:p>
              </w:tc>
              <w:tc>
                <w:tcPr>
                  <w:tcW w:w="1250" w:type="pct"/>
                  <w:vAlign w:val="center"/>
                </w:tcPr>
                <w:p w14:paraId="095CF223">
                  <w:pPr>
                    <w:keepNext w:val="0"/>
                    <w:keepLines w:val="0"/>
                    <w:widowControl w:val="0"/>
                    <w:suppressLineNumbers w:val="0"/>
                    <w:spacing w:before="0" w:beforeAutospacing="0" w:after="0" w:afterAutospacing="0" w:line="276" w:lineRule="auto"/>
                    <w:ind w:left="0" w:right="0"/>
                    <w:jc w:val="center"/>
                    <w:rPr>
                      <w:rFonts w:hint="default" w:ascii="Calibri" w:hAnsi="Calibri" w:cs="Times New Roman"/>
                      <w:color w:val="auto"/>
                      <w:spacing w:val="-2"/>
                      <w:kern w:val="2"/>
                      <w:sz w:val="21"/>
                      <w:szCs w:val="21"/>
                    </w:rPr>
                  </w:pPr>
                  <w:r>
                    <w:rPr>
                      <w:rFonts w:hint="default" w:ascii="Calibri" w:cs="Times New Roman"/>
                      <w:color w:val="auto"/>
                      <w:kern w:val="2"/>
                      <w:sz w:val="21"/>
                      <w:szCs w:val="21"/>
                    </w:rPr>
                    <w:t>三角形边框</w:t>
                  </w:r>
                </w:p>
              </w:tc>
              <w:tc>
                <w:tcPr>
                  <w:tcW w:w="1250" w:type="pct"/>
                  <w:vAlign w:val="center"/>
                </w:tcPr>
                <w:p w14:paraId="3A1E2799">
                  <w:pPr>
                    <w:keepNext w:val="0"/>
                    <w:keepLines w:val="0"/>
                    <w:widowControl w:val="0"/>
                    <w:suppressLineNumbers w:val="0"/>
                    <w:spacing w:before="0" w:beforeAutospacing="0" w:after="0" w:afterAutospacing="0" w:line="276" w:lineRule="auto"/>
                    <w:ind w:left="0" w:right="0"/>
                    <w:jc w:val="center"/>
                    <w:rPr>
                      <w:rFonts w:hint="default" w:ascii="Calibri" w:hAnsi="Calibri" w:cs="Times New Roman"/>
                      <w:color w:val="auto"/>
                      <w:spacing w:val="-2"/>
                      <w:kern w:val="2"/>
                      <w:sz w:val="21"/>
                      <w:szCs w:val="21"/>
                    </w:rPr>
                  </w:pPr>
                  <w:r>
                    <w:rPr>
                      <w:rFonts w:hint="default" w:ascii="Calibri" w:cs="Times New Roman"/>
                      <w:color w:val="auto"/>
                      <w:kern w:val="2"/>
                      <w:sz w:val="21"/>
                      <w:szCs w:val="21"/>
                    </w:rPr>
                    <w:t>黄色</w:t>
                  </w:r>
                </w:p>
              </w:tc>
              <w:tc>
                <w:tcPr>
                  <w:tcW w:w="1250" w:type="pct"/>
                  <w:vAlign w:val="center"/>
                </w:tcPr>
                <w:p w14:paraId="34324683">
                  <w:pPr>
                    <w:keepNext w:val="0"/>
                    <w:keepLines w:val="0"/>
                    <w:widowControl w:val="0"/>
                    <w:suppressLineNumbers w:val="0"/>
                    <w:spacing w:before="0" w:beforeAutospacing="0" w:after="0" w:afterAutospacing="0" w:line="276" w:lineRule="auto"/>
                    <w:ind w:left="0" w:right="0"/>
                    <w:jc w:val="center"/>
                    <w:rPr>
                      <w:rFonts w:hint="default" w:ascii="Calibri" w:hAnsi="Calibri" w:cs="Times New Roman"/>
                      <w:color w:val="auto"/>
                      <w:spacing w:val="-2"/>
                      <w:kern w:val="2"/>
                      <w:sz w:val="21"/>
                      <w:szCs w:val="21"/>
                    </w:rPr>
                  </w:pPr>
                  <w:r>
                    <w:rPr>
                      <w:rFonts w:hint="default" w:ascii="Calibri" w:cs="Times New Roman"/>
                      <w:color w:val="auto"/>
                      <w:kern w:val="2"/>
                      <w:sz w:val="21"/>
                      <w:szCs w:val="21"/>
                    </w:rPr>
                    <w:t>黑色</w:t>
                  </w:r>
                </w:p>
              </w:tc>
            </w:tr>
            <w:tr w14:paraId="4EC93F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 w:hRule="atLeast"/>
              </w:trPr>
              <w:tc>
                <w:tcPr>
                  <w:tcW w:w="1250" w:type="pct"/>
                  <w:vAlign w:val="center"/>
                </w:tcPr>
                <w:p w14:paraId="0CF0BBD7">
                  <w:pPr>
                    <w:keepNext w:val="0"/>
                    <w:keepLines w:val="0"/>
                    <w:widowControl w:val="0"/>
                    <w:suppressLineNumbers w:val="0"/>
                    <w:spacing w:before="0" w:beforeAutospacing="0" w:after="0" w:afterAutospacing="0" w:line="276" w:lineRule="auto"/>
                    <w:ind w:left="0" w:right="0"/>
                    <w:jc w:val="center"/>
                    <w:rPr>
                      <w:rFonts w:hint="default" w:ascii="Calibri" w:hAnsi="Calibri" w:cs="Times New Roman"/>
                      <w:color w:val="auto"/>
                      <w:spacing w:val="-2"/>
                      <w:kern w:val="2"/>
                      <w:sz w:val="21"/>
                      <w:szCs w:val="21"/>
                    </w:rPr>
                  </w:pPr>
                  <w:r>
                    <w:rPr>
                      <w:rFonts w:hint="default" w:ascii="Calibri" w:cs="Times New Roman"/>
                      <w:color w:val="auto"/>
                      <w:kern w:val="2"/>
                      <w:sz w:val="21"/>
                      <w:szCs w:val="21"/>
                    </w:rPr>
                    <w:t>提示标志</w:t>
                  </w:r>
                </w:p>
              </w:tc>
              <w:tc>
                <w:tcPr>
                  <w:tcW w:w="1250" w:type="pct"/>
                  <w:vAlign w:val="center"/>
                </w:tcPr>
                <w:p w14:paraId="78453D90">
                  <w:pPr>
                    <w:keepNext w:val="0"/>
                    <w:keepLines w:val="0"/>
                    <w:widowControl w:val="0"/>
                    <w:suppressLineNumbers w:val="0"/>
                    <w:spacing w:before="0" w:beforeAutospacing="0" w:after="0" w:afterAutospacing="0" w:line="276" w:lineRule="auto"/>
                    <w:ind w:left="0" w:right="0"/>
                    <w:jc w:val="center"/>
                    <w:rPr>
                      <w:rFonts w:hint="default" w:ascii="Calibri" w:hAnsi="Calibri" w:cs="Times New Roman"/>
                      <w:color w:val="auto"/>
                      <w:spacing w:val="-2"/>
                      <w:kern w:val="2"/>
                      <w:sz w:val="21"/>
                      <w:szCs w:val="21"/>
                    </w:rPr>
                  </w:pPr>
                  <w:r>
                    <w:rPr>
                      <w:rFonts w:hint="default" w:ascii="Calibri" w:cs="Times New Roman"/>
                      <w:color w:val="auto"/>
                      <w:kern w:val="2"/>
                      <w:sz w:val="21"/>
                      <w:szCs w:val="21"/>
                    </w:rPr>
                    <w:t>正方形边框</w:t>
                  </w:r>
                </w:p>
              </w:tc>
              <w:tc>
                <w:tcPr>
                  <w:tcW w:w="1250" w:type="pct"/>
                  <w:vAlign w:val="center"/>
                </w:tcPr>
                <w:p w14:paraId="027D818B">
                  <w:pPr>
                    <w:keepNext w:val="0"/>
                    <w:keepLines w:val="0"/>
                    <w:widowControl w:val="0"/>
                    <w:suppressLineNumbers w:val="0"/>
                    <w:spacing w:before="0" w:beforeAutospacing="0" w:after="0" w:afterAutospacing="0" w:line="276" w:lineRule="auto"/>
                    <w:ind w:left="0" w:right="0"/>
                    <w:jc w:val="center"/>
                    <w:rPr>
                      <w:rFonts w:hint="default" w:ascii="Calibri" w:hAnsi="Calibri" w:cs="Times New Roman"/>
                      <w:color w:val="auto"/>
                      <w:spacing w:val="-2"/>
                      <w:kern w:val="2"/>
                      <w:sz w:val="21"/>
                      <w:szCs w:val="21"/>
                    </w:rPr>
                  </w:pPr>
                  <w:r>
                    <w:rPr>
                      <w:rFonts w:hint="default" w:ascii="Calibri" w:cs="Times New Roman"/>
                      <w:color w:val="auto"/>
                      <w:kern w:val="2"/>
                      <w:sz w:val="21"/>
                      <w:szCs w:val="21"/>
                    </w:rPr>
                    <w:t>绿色</w:t>
                  </w:r>
                </w:p>
              </w:tc>
              <w:tc>
                <w:tcPr>
                  <w:tcW w:w="1250" w:type="pct"/>
                  <w:vAlign w:val="center"/>
                </w:tcPr>
                <w:p w14:paraId="46DDA435">
                  <w:pPr>
                    <w:keepNext w:val="0"/>
                    <w:keepLines w:val="0"/>
                    <w:widowControl w:val="0"/>
                    <w:suppressLineNumbers w:val="0"/>
                    <w:spacing w:before="0" w:beforeAutospacing="0" w:after="0" w:afterAutospacing="0" w:line="276" w:lineRule="auto"/>
                    <w:ind w:left="0" w:right="0"/>
                    <w:jc w:val="center"/>
                    <w:rPr>
                      <w:rFonts w:hint="default" w:ascii="Calibri" w:hAnsi="Calibri" w:cs="Times New Roman"/>
                      <w:color w:val="auto"/>
                      <w:spacing w:val="-2"/>
                      <w:kern w:val="2"/>
                      <w:sz w:val="21"/>
                      <w:szCs w:val="21"/>
                    </w:rPr>
                  </w:pPr>
                  <w:r>
                    <w:rPr>
                      <w:rFonts w:hint="default" w:ascii="Calibri" w:cs="Times New Roman"/>
                      <w:color w:val="auto"/>
                      <w:kern w:val="2"/>
                      <w:sz w:val="21"/>
                      <w:szCs w:val="21"/>
                    </w:rPr>
                    <w:t>白色</w:t>
                  </w:r>
                </w:p>
              </w:tc>
            </w:tr>
          </w:tbl>
          <w:p w14:paraId="5AEE80E8">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tc>
      </w:tr>
    </w:tbl>
    <w:p w14:paraId="2E030C3D">
      <w:pPr>
        <w:spacing w:before="100" w:beforeAutospacing="1" w:after="100" w:afterAutospacing="1"/>
        <w:jc w:val="center"/>
        <w:rPr>
          <w:rFonts w:ascii="Times New Roman" w:hAnsi="Times New Roman" w:eastAsia="黑体" w:cs="Times New Roman"/>
          <w:snapToGrid w:val="0"/>
          <w:color w:val="auto"/>
          <w:sz w:val="30"/>
          <w:szCs w:val="30"/>
        </w:rPr>
        <w:sectPr>
          <w:pgSz w:w="11906" w:h="16838"/>
          <w:pgMar w:top="1440" w:right="1800" w:bottom="1440" w:left="1800" w:header="851" w:footer="992" w:gutter="0"/>
          <w:cols w:space="720" w:num="1"/>
          <w:docGrid w:type="lines" w:linePitch="312" w:charSpace="0"/>
        </w:sectPr>
      </w:pPr>
    </w:p>
    <w:p w14:paraId="46697A7B">
      <w:pPr>
        <w:spacing w:before="100" w:beforeAutospacing="1" w:after="100" w:afterAutospacing="1"/>
        <w:jc w:val="center"/>
        <w:outlineLvl w:val="0"/>
        <w:rPr>
          <w:rFonts w:ascii="Times New Roman" w:hAnsi="Times New Roman" w:eastAsia="黑体" w:cs="Times New Roman"/>
          <w:snapToGrid w:val="0"/>
          <w:color w:val="auto"/>
          <w:sz w:val="30"/>
          <w:szCs w:val="30"/>
        </w:rPr>
      </w:pPr>
      <w:r>
        <w:rPr>
          <w:rFonts w:ascii="Times New Roman" w:hAnsi="Times New Roman" w:eastAsia="黑体" w:cs="Times New Roman"/>
          <w:snapToGrid w:val="0"/>
          <w:color w:val="auto"/>
          <w:sz w:val="30"/>
          <w:szCs w:val="30"/>
        </w:rPr>
        <w:t>五、</w:t>
      </w:r>
      <w:bookmarkStart w:id="28" w:name="_Hlk54167917"/>
      <w:r>
        <w:rPr>
          <w:rFonts w:ascii="Times New Roman" w:hAnsi="Times New Roman" w:eastAsia="黑体" w:cs="Times New Roman"/>
          <w:snapToGrid w:val="0"/>
          <w:color w:val="auto"/>
          <w:sz w:val="30"/>
          <w:szCs w:val="30"/>
        </w:rPr>
        <w:t>环境保护措施监督检查清单</w:t>
      </w:r>
      <w:bookmarkEnd w:id="28"/>
    </w:p>
    <w:tbl>
      <w:tblPr>
        <w:tblStyle w:val="23"/>
        <w:tblW w:w="881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2274"/>
        <w:gridCol w:w="1418"/>
        <w:gridCol w:w="2196"/>
        <w:gridCol w:w="1970"/>
      </w:tblGrid>
      <w:tr w14:paraId="2AAF6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59" w:type="dxa"/>
            <w:tcBorders>
              <w:top w:val="single" w:color="000000" w:sz="6" w:space="0"/>
              <w:left w:val="single" w:color="000000" w:sz="6" w:space="0"/>
              <w:bottom w:val="single" w:color="000000" w:sz="4" w:space="0"/>
              <w:right w:val="single" w:color="000000" w:sz="4" w:space="0"/>
              <w:tl2br w:val="single" w:color="auto" w:sz="6" w:space="0"/>
            </w:tcBorders>
            <w:vAlign w:val="center"/>
          </w:tcPr>
          <w:p w14:paraId="577826B2">
            <w:pPr>
              <w:keepNext w:val="0"/>
              <w:keepLines w:val="0"/>
              <w:widowControl/>
              <w:suppressLineNumbers w:val="0"/>
              <w:spacing w:before="0" w:beforeAutospacing="0" w:after="0" w:afterAutospacing="0" w:line="360" w:lineRule="auto"/>
              <w:ind w:left="0" w:right="0" w:firstLine="234" w:firstLineChars="97"/>
              <w:rPr>
                <w:rFonts w:hint="default" w:ascii="Times New Roman" w:hAnsi="Times New Roman" w:cs="Times New Roman"/>
                <w:b/>
                <w:bCs/>
                <w:color w:val="auto"/>
                <w:kern w:val="2"/>
              </w:rPr>
            </w:pPr>
            <w:r>
              <w:rPr>
                <w:rFonts w:hint="default" w:ascii="Times New Roman" w:hAnsi="Times New Roman" w:cs="Times New Roman"/>
                <w:b/>
                <w:bCs/>
                <w:color w:val="auto"/>
                <w:kern w:val="2"/>
              </w:rPr>
              <w:t>内容</w:t>
            </w:r>
          </w:p>
          <w:p w14:paraId="3BA48469">
            <w:pPr>
              <w:keepNext w:val="0"/>
              <w:keepLines w:val="0"/>
              <w:widowControl/>
              <w:suppressLineNumbers w:val="0"/>
              <w:spacing w:before="0" w:beforeAutospacing="0" w:after="0" w:afterAutospacing="0" w:line="360" w:lineRule="auto"/>
              <w:ind w:left="0" w:right="0"/>
              <w:rPr>
                <w:rFonts w:hint="default" w:ascii="Times New Roman" w:hAnsi="Times New Roman" w:cs="Times New Roman"/>
                <w:b/>
                <w:bCs/>
                <w:color w:val="auto"/>
                <w:kern w:val="2"/>
              </w:rPr>
            </w:pPr>
            <w:r>
              <w:rPr>
                <w:rFonts w:hint="default" w:ascii="Times New Roman" w:hAnsi="Times New Roman" w:cs="Times New Roman"/>
                <w:b/>
                <w:bCs/>
                <w:color w:val="auto"/>
                <w:kern w:val="2"/>
              </w:rPr>
              <w:t>要素</w:t>
            </w:r>
          </w:p>
        </w:tc>
        <w:tc>
          <w:tcPr>
            <w:tcW w:w="2274" w:type="dxa"/>
            <w:tcBorders>
              <w:top w:val="single" w:color="000000" w:sz="6" w:space="0"/>
              <w:left w:val="single" w:color="000000" w:sz="4" w:space="0"/>
              <w:bottom w:val="single" w:color="000000" w:sz="4" w:space="0"/>
              <w:right w:val="single" w:color="auto" w:sz="4" w:space="0"/>
            </w:tcBorders>
            <w:vAlign w:val="center"/>
          </w:tcPr>
          <w:p w14:paraId="64CE9E6B">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auto"/>
                <w:kern w:val="2"/>
              </w:rPr>
            </w:pPr>
            <w:r>
              <w:rPr>
                <w:rFonts w:hint="default" w:ascii="Times New Roman" w:hAnsi="Times New Roman" w:cs="Times New Roman"/>
                <w:b/>
                <w:bCs/>
                <w:color w:val="auto"/>
                <w:kern w:val="2"/>
              </w:rPr>
              <w:t>排放口（编号、名称）/污染源</w:t>
            </w:r>
          </w:p>
        </w:tc>
        <w:tc>
          <w:tcPr>
            <w:tcW w:w="1418" w:type="dxa"/>
            <w:tcBorders>
              <w:top w:val="single" w:color="000000" w:sz="6" w:space="0"/>
              <w:left w:val="single" w:color="auto" w:sz="4" w:space="0"/>
              <w:bottom w:val="single" w:color="000000" w:sz="4" w:space="0"/>
              <w:right w:val="single" w:color="000000" w:sz="4" w:space="0"/>
            </w:tcBorders>
            <w:vAlign w:val="center"/>
          </w:tcPr>
          <w:p w14:paraId="340EF257">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auto"/>
                <w:kern w:val="2"/>
              </w:rPr>
            </w:pPr>
            <w:r>
              <w:rPr>
                <w:rFonts w:hint="default" w:ascii="Times New Roman" w:hAnsi="Times New Roman" w:cs="Times New Roman"/>
                <w:b/>
                <w:bCs/>
                <w:color w:val="auto"/>
                <w:kern w:val="2"/>
              </w:rPr>
              <w:t>污染物项目</w:t>
            </w:r>
          </w:p>
        </w:tc>
        <w:tc>
          <w:tcPr>
            <w:tcW w:w="2196" w:type="dxa"/>
            <w:tcBorders>
              <w:top w:val="single" w:color="000000" w:sz="6" w:space="0"/>
              <w:left w:val="single" w:color="000000" w:sz="4" w:space="0"/>
              <w:bottom w:val="single" w:color="000000" w:sz="4" w:space="0"/>
              <w:right w:val="single" w:color="000000" w:sz="4" w:space="0"/>
            </w:tcBorders>
            <w:vAlign w:val="center"/>
          </w:tcPr>
          <w:p w14:paraId="1C1B2CCC">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auto"/>
                <w:kern w:val="2"/>
              </w:rPr>
            </w:pPr>
            <w:r>
              <w:rPr>
                <w:rFonts w:hint="default" w:ascii="Times New Roman" w:hAnsi="Times New Roman" w:cs="Times New Roman"/>
                <w:b/>
                <w:bCs/>
                <w:color w:val="auto"/>
                <w:kern w:val="2"/>
              </w:rPr>
              <w:t>环境保护措施</w:t>
            </w:r>
          </w:p>
        </w:tc>
        <w:tc>
          <w:tcPr>
            <w:tcW w:w="1970" w:type="dxa"/>
            <w:tcBorders>
              <w:top w:val="single" w:color="000000" w:sz="6" w:space="0"/>
              <w:left w:val="single" w:color="000000" w:sz="4" w:space="0"/>
              <w:bottom w:val="single" w:color="000000" w:sz="4" w:space="0"/>
              <w:right w:val="single" w:color="000000" w:sz="6" w:space="0"/>
            </w:tcBorders>
            <w:vAlign w:val="center"/>
          </w:tcPr>
          <w:p w14:paraId="413164F8">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
                <w:bCs/>
                <w:color w:val="auto"/>
                <w:kern w:val="2"/>
              </w:rPr>
            </w:pPr>
            <w:r>
              <w:rPr>
                <w:rFonts w:hint="default" w:ascii="Times New Roman" w:hAnsi="Times New Roman" w:cs="Times New Roman"/>
                <w:b/>
                <w:bCs/>
                <w:color w:val="auto"/>
                <w:kern w:val="2"/>
              </w:rPr>
              <w:t>执行标准</w:t>
            </w:r>
          </w:p>
        </w:tc>
      </w:tr>
      <w:tr w14:paraId="7126AB9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696" w:hRule="atLeast"/>
          <w:jc w:val="center"/>
        </w:trPr>
        <w:tc>
          <w:tcPr>
            <w:tcW w:w="959" w:type="dxa"/>
            <w:vMerge w:val="restart"/>
            <w:tcBorders>
              <w:top w:val="single" w:color="000000" w:sz="4" w:space="0"/>
              <w:left w:val="single" w:color="000000" w:sz="6" w:space="0"/>
              <w:right w:val="single" w:color="000000" w:sz="4" w:space="0"/>
            </w:tcBorders>
            <w:vAlign w:val="center"/>
          </w:tcPr>
          <w:p w14:paraId="51A27DD8">
            <w:pPr>
              <w:keepNext w:val="0"/>
              <w:keepLines w:val="0"/>
              <w:widowControl/>
              <w:suppressLineNumbers w:val="0"/>
              <w:spacing w:before="0" w:beforeAutospacing="0" w:after="0" w:afterAutospacing="0" w:line="360" w:lineRule="auto"/>
              <w:ind w:left="0" w:right="105"/>
              <w:jc w:val="center"/>
              <w:rPr>
                <w:rFonts w:hint="default" w:ascii="Times New Roman" w:hAnsi="Times New Roman" w:cs="Times New Roman"/>
                <w:color w:val="auto"/>
                <w:kern w:val="2"/>
              </w:rPr>
            </w:pPr>
            <w:r>
              <w:rPr>
                <w:rFonts w:hint="default" w:ascii="Times New Roman" w:hAnsi="Times New Roman" w:cs="Times New Roman"/>
                <w:color w:val="auto"/>
                <w:kern w:val="2"/>
              </w:rPr>
              <w:t>大气</w:t>
            </w:r>
          </w:p>
          <w:p w14:paraId="00F10852">
            <w:pPr>
              <w:keepNext w:val="0"/>
              <w:keepLines w:val="0"/>
              <w:widowControl/>
              <w:suppressLineNumbers w:val="0"/>
              <w:spacing w:before="0" w:beforeAutospacing="0" w:after="0" w:afterAutospacing="0" w:line="360" w:lineRule="auto"/>
              <w:ind w:left="0" w:right="105"/>
              <w:jc w:val="center"/>
              <w:rPr>
                <w:rFonts w:hint="default" w:ascii="Times New Roman" w:hAnsi="Times New Roman" w:cs="Times New Roman"/>
                <w:color w:val="auto"/>
                <w:kern w:val="2"/>
              </w:rPr>
            </w:pPr>
            <w:r>
              <w:rPr>
                <w:rFonts w:hint="default" w:ascii="Times New Roman" w:hAnsi="Times New Roman" w:cs="Times New Roman"/>
                <w:color w:val="auto"/>
                <w:kern w:val="2"/>
              </w:rPr>
              <w:t>污染</w:t>
            </w:r>
          </w:p>
          <w:p w14:paraId="7EDDECC1">
            <w:pPr>
              <w:keepNext w:val="0"/>
              <w:keepLines w:val="0"/>
              <w:widowControl/>
              <w:suppressLineNumbers w:val="0"/>
              <w:spacing w:before="0" w:beforeAutospacing="0" w:after="0" w:afterAutospacing="0" w:line="360" w:lineRule="auto"/>
              <w:ind w:left="0" w:right="105"/>
              <w:jc w:val="center"/>
              <w:rPr>
                <w:rFonts w:hint="default" w:ascii="Times New Roman" w:hAnsi="Times New Roman" w:cs="Times New Roman"/>
                <w:color w:val="auto"/>
                <w:kern w:val="2"/>
              </w:rPr>
            </w:pPr>
            <w:r>
              <w:rPr>
                <w:rFonts w:hint="default" w:ascii="Times New Roman" w:hAnsi="Times New Roman" w:cs="Times New Roman"/>
                <w:color w:val="auto"/>
                <w:kern w:val="2"/>
              </w:rPr>
              <w:t>物</w:t>
            </w:r>
          </w:p>
        </w:tc>
        <w:tc>
          <w:tcPr>
            <w:tcW w:w="2274" w:type="dxa"/>
            <w:tcBorders>
              <w:top w:val="single" w:color="000000" w:sz="4" w:space="0"/>
              <w:left w:val="single" w:color="000000" w:sz="4" w:space="0"/>
              <w:right w:val="single" w:color="auto" w:sz="4" w:space="0"/>
            </w:tcBorders>
            <w:vAlign w:val="center"/>
          </w:tcPr>
          <w:p w14:paraId="3EAE4B11">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kern w:val="2"/>
              </w:rPr>
            </w:pPr>
            <w:r>
              <w:rPr>
                <w:rFonts w:hint="eastAsia" w:ascii="Times New Roman" w:cs="Times New Roman"/>
                <w:color w:val="auto"/>
                <w:kern w:val="2"/>
              </w:rPr>
              <w:t>清洗废气</w:t>
            </w:r>
            <w:r>
              <w:rPr>
                <w:rFonts w:hint="eastAsia" w:ascii="Times New Roman" w:cs="Times New Roman"/>
                <w:color w:val="auto"/>
                <w:kern w:val="2"/>
                <w:lang w:eastAsia="zh-CN"/>
              </w:rPr>
              <w:t>、</w:t>
            </w:r>
            <w:r>
              <w:rPr>
                <w:rFonts w:hint="eastAsia" w:ascii="Times New Roman" w:cs="Times New Roman"/>
                <w:color w:val="auto"/>
                <w:kern w:val="2"/>
                <w:lang w:val="en-US" w:eastAsia="zh-CN"/>
              </w:rPr>
              <w:t>蒸馏再生废气</w:t>
            </w:r>
            <w:r>
              <w:rPr>
                <w:rFonts w:hint="eastAsia" w:ascii="Times New Roman" w:cs="Times New Roman"/>
                <w:color w:val="auto"/>
                <w:kern w:val="2"/>
              </w:rPr>
              <w:t>排气筒</w:t>
            </w:r>
            <w:r>
              <w:rPr>
                <w:rFonts w:hint="eastAsia" w:ascii="Times New Roman" w:hAnsi="Times New Roman" w:cs="Times New Roman"/>
                <w:color w:val="auto"/>
                <w:kern w:val="2"/>
              </w:rPr>
              <w:t>（DA001）</w:t>
            </w:r>
          </w:p>
        </w:tc>
        <w:tc>
          <w:tcPr>
            <w:tcW w:w="1418" w:type="dxa"/>
            <w:tcBorders>
              <w:top w:val="single" w:color="000000" w:sz="4" w:space="0"/>
              <w:left w:val="single" w:color="auto" w:sz="4" w:space="0"/>
              <w:right w:val="single" w:color="000000" w:sz="4" w:space="0"/>
            </w:tcBorders>
            <w:vAlign w:val="center"/>
          </w:tcPr>
          <w:p w14:paraId="614B4152">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kern w:val="2"/>
              </w:rPr>
            </w:pPr>
            <w:r>
              <w:rPr>
                <w:rFonts w:hint="eastAsia" w:ascii="Times New Roman" w:hAnsi="Times New Roman" w:cs="Times New Roman"/>
                <w:color w:val="auto"/>
                <w:kern w:val="2"/>
              </w:rPr>
              <w:t>非甲烷总烃</w:t>
            </w:r>
          </w:p>
        </w:tc>
        <w:tc>
          <w:tcPr>
            <w:tcW w:w="2196" w:type="dxa"/>
            <w:tcBorders>
              <w:top w:val="single" w:color="000000" w:sz="4" w:space="0"/>
              <w:left w:val="single" w:color="000000" w:sz="4" w:space="0"/>
              <w:right w:val="single" w:color="000000" w:sz="4" w:space="0"/>
            </w:tcBorders>
            <w:vAlign w:val="center"/>
          </w:tcPr>
          <w:p w14:paraId="6FD8E93C">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kern w:val="2"/>
              </w:rPr>
            </w:pPr>
            <w:r>
              <w:rPr>
                <w:rFonts w:hint="eastAsia" w:ascii="Times New Roman" w:hAnsi="Times New Roman" w:cs="Times New Roman"/>
                <w:color w:val="auto"/>
                <w:kern w:val="2"/>
              </w:rPr>
              <w:t>密闭管道+</w:t>
            </w:r>
            <w:r>
              <w:rPr>
                <w:rFonts w:hint="eastAsia" w:ascii="Times New Roman" w:cs="Times New Roman"/>
                <w:color w:val="auto"/>
                <w:kern w:val="2"/>
              </w:rPr>
              <w:t>二级活性炭吸附装置</w:t>
            </w:r>
          </w:p>
        </w:tc>
        <w:tc>
          <w:tcPr>
            <w:tcW w:w="1970" w:type="dxa"/>
            <w:vMerge w:val="restart"/>
            <w:tcBorders>
              <w:top w:val="single" w:color="000000" w:sz="4" w:space="0"/>
              <w:left w:val="single" w:color="000000" w:sz="4" w:space="0"/>
              <w:right w:val="single" w:color="000000" w:sz="6" w:space="0"/>
            </w:tcBorders>
            <w:vAlign w:val="center"/>
          </w:tcPr>
          <w:p w14:paraId="40A88E4C">
            <w:pPr>
              <w:keepNext w:val="0"/>
              <w:keepLines w:val="0"/>
              <w:widowControl/>
              <w:suppressLineNumbers w:val="0"/>
              <w:spacing w:before="0" w:beforeAutospacing="0" w:after="0" w:afterAutospacing="0" w:line="360" w:lineRule="auto"/>
              <w:ind w:left="0" w:right="0"/>
              <w:jc w:val="center"/>
              <w:rPr>
                <w:rFonts w:hint="default" w:ascii="Times New Roman" w:cs="Times New Roman"/>
                <w:bCs/>
                <w:color w:val="auto"/>
                <w:kern w:val="2"/>
              </w:rPr>
            </w:pPr>
            <w:r>
              <w:rPr>
                <w:rFonts w:hint="default" w:ascii="Times New Roman" w:hAnsi="Times New Roman"/>
                <w:bCs/>
                <w:color w:val="auto"/>
                <w:kern w:val="2"/>
              </w:rPr>
              <w:t>安徽省地方标准《固定源挥发性有机物综合排放标准 第6部分：其他行业》（DB34/4812.6-2024）</w:t>
            </w:r>
          </w:p>
        </w:tc>
      </w:tr>
      <w:tr w14:paraId="7A55C8D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959" w:type="dxa"/>
            <w:vMerge w:val="continue"/>
            <w:tcBorders>
              <w:left w:val="single" w:color="000000" w:sz="6" w:space="0"/>
              <w:right w:val="single" w:color="000000" w:sz="4" w:space="0"/>
            </w:tcBorders>
            <w:vAlign w:val="center"/>
          </w:tcPr>
          <w:p w14:paraId="3DCDFB06">
            <w:pPr>
              <w:keepNext w:val="0"/>
              <w:keepLines w:val="0"/>
              <w:widowControl/>
              <w:suppressLineNumbers w:val="0"/>
              <w:spacing w:before="0" w:beforeAutospacing="0" w:after="0" w:afterAutospacing="0" w:line="360" w:lineRule="auto"/>
              <w:ind w:left="0" w:right="105"/>
              <w:jc w:val="center"/>
              <w:rPr>
                <w:rFonts w:hint="default" w:ascii="Times New Roman" w:hAnsi="Times New Roman" w:cs="Times New Roman"/>
                <w:color w:val="auto"/>
                <w:kern w:val="2"/>
              </w:rPr>
            </w:pPr>
          </w:p>
        </w:tc>
        <w:tc>
          <w:tcPr>
            <w:tcW w:w="2274" w:type="dxa"/>
            <w:tcBorders>
              <w:left w:val="single" w:color="000000" w:sz="4" w:space="0"/>
              <w:right w:val="single" w:color="000000" w:sz="4" w:space="0"/>
            </w:tcBorders>
            <w:vAlign w:val="center"/>
          </w:tcPr>
          <w:p w14:paraId="39E06F0C">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kern w:val="2"/>
              </w:rPr>
            </w:pPr>
            <w:r>
              <w:rPr>
                <w:rFonts w:hint="eastAsia" w:ascii="Times New Roman" w:hAnsi="Times New Roman" w:cs="Times New Roman"/>
                <w:color w:val="auto"/>
                <w:kern w:val="2"/>
              </w:rPr>
              <w:t>厂界无组织</w:t>
            </w:r>
          </w:p>
        </w:tc>
        <w:tc>
          <w:tcPr>
            <w:tcW w:w="1418" w:type="dxa"/>
            <w:tcBorders>
              <w:top w:val="single" w:color="000000" w:sz="4" w:space="0"/>
              <w:left w:val="single" w:color="000000" w:sz="4" w:space="0"/>
              <w:right w:val="single" w:color="000000" w:sz="4" w:space="0"/>
            </w:tcBorders>
            <w:vAlign w:val="center"/>
          </w:tcPr>
          <w:p w14:paraId="585644D4">
            <w:pPr>
              <w:keepNext w:val="0"/>
              <w:keepLines w:val="0"/>
              <w:widowControl/>
              <w:suppressLineNumbers w:val="0"/>
              <w:spacing w:before="0" w:beforeAutospacing="0" w:after="0" w:afterAutospacing="0" w:line="360" w:lineRule="auto"/>
              <w:ind w:left="0" w:right="0"/>
              <w:jc w:val="center"/>
              <w:rPr>
                <w:rFonts w:hint="default"/>
                <w:color w:val="auto"/>
                <w:kern w:val="2"/>
              </w:rPr>
            </w:pPr>
            <w:r>
              <w:rPr>
                <w:rFonts w:hint="eastAsia" w:ascii="Times New Roman" w:hAnsi="Times New Roman" w:cs="Times New Roman"/>
                <w:color w:val="auto"/>
                <w:kern w:val="2"/>
              </w:rPr>
              <w:t>非甲烷总烃</w:t>
            </w:r>
          </w:p>
        </w:tc>
        <w:tc>
          <w:tcPr>
            <w:tcW w:w="2196" w:type="dxa"/>
            <w:tcBorders>
              <w:top w:val="single" w:color="auto" w:sz="4" w:space="0"/>
              <w:left w:val="single" w:color="000000" w:sz="4" w:space="0"/>
              <w:right w:val="single" w:color="000000" w:sz="4" w:space="0"/>
            </w:tcBorders>
            <w:vAlign w:val="center"/>
          </w:tcPr>
          <w:p w14:paraId="79D4CAFC">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kern w:val="2"/>
              </w:rPr>
            </w:pPr>
            <w:r>
              <w:rPr>
                <w:rFonts w:hint="eastAsia" w:ascii="Times New Roman" w:hAnsi="Times New Roman" w:cs="Times New Roman"/>
                <w:color w:val="auto"/>
                <w:kern w:val="2"/>
              </w:rPr>
              <w:t>/</w:t>
            </w:r>
          </w:p>
        </w:tc>
        <w:tc>
          <w:tcPr>
            <w:tcW w:w="1970" w:type="dxa"/>
            <w:vMerge w:val="continue"/>
            <w:tcBorders>
              <w:left w:val="single" w:color="000000" w:sz="4" w:space="0"/>
              <w:right w:val="single" w:color="000000" w:sz="6" w:space="0"/>
            </w:tcBorders>
            <w:vAlign w:val="center"/>
          </w:tcPr>
          <w:p w14:paraId="53F09745">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bCs/>
                <w:color w:val="auto"/>
                <w:kern w:val="2"/>
              </w:rPr>
            </w:pPr>
          </w:p>
        </w:tc>
      </w:tr>
      <w:tr w14:paraId="5E6FFAE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959" w:type="dxa"/>
            <w:tcBorders>
              <w:top w:val="single" w:color="000000" w:sz="4" w:space="0"/>
              <w:left w:val="single" w:color="000000" w:sz="6" w:space="0"/>
              <w:bottom w:val="single" w:color="000000" w:sz="4" w:space="0"/>
              <w:right w:val="single" w:color="000000" w:sz="4" w:space="0"/>
            </w:tcBorders>
            <w:vAlign w:val="center"/>
          </w:tcPr>
          <w:p w14:paraId="0ECBD71F">
            <w:pPr>
              <w:keepNext w:val="0"/>
              <w:keepLines w:val="0"/>
              <w:widowControl/>
              <w:suppressLineNumbers w:val="0"/>
              <w:spacing w:before="0" w:beforeAutospacing="0" w:after="0" w:afterAutospacing="0" w:line="360" w:lineRule="auto"/>
              <w:ind w:left="0" w:right="105"/>
              <w:jc w:val="center"/>
              <w:rPr>
                <w:rFonts w:hint="default" w:ascii="Times New Roman" w:hAnsi="Times New Roman" w:cs="Times New Roman"/>
                <w:color w:val="auto"/>
                <w:kern w:val="2"/>
              </w:rPr>
            </w:pPr>
            <w:r>
              <w:rPr>
                <w:rFonts w:hint="default" w:ascii="Times New Roman" w:hAnsi="Times New Roman" w:cs="Times New Roman"/>
                <w:color w:val="auto"/>
                <w:kern w:val="2"/>
              </w:rPr>
              <w:t>声环境</w:t>
            </w:r>
          </w:p>
        </w:tc>
        <w:tc>
          <w:tcPr>
            <w:tcW w:w="2274" w:type="dxa"/>
            <w:tcBorders>
              <w:top w:val="single" w:color="000000" w:sz="4" w:space="0"/>
              <w:left w:val="single" w:color="000000" w:sz="4" w:space="0"/>
              <w:bottom w:val="single" w:color="000000" w:sz="4" w:space="0"/>
              <w:right w:val="single" w:color="000000" w:sz="4" w:space="0"/>
            </w:tcBorders>
            <w:vAlign w:val="center"/>
          </w:tcPr>
          <w:p w14:paraId="63AB8109">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厂界四周</w:t>
            </w:r>
          </w:p>
        </w:tc>
        <w:tc>
          <w:tcPr>
            <w:tcW w:w="1418" w:type="dxa"/>
            <w:tcBorders>
              <w:top w:val="single" w:color="000000" w:sz="4" w:space="0"/>
              <w:left w:val="single" w:color="000000" w:sz="4" w:space="0"/>
              <w:bottom w:val="single" w:color="000000" w:sz="4" w:space="0"/>
              <w:right w:val="single" w:color="000000" w:sz="4" w:space="0"/>
            </w:tcBorders>
            <w:vAlign w:val="center"/>
          </w:tcPr>
          <w:p w14:paraId="0246D9D9">
            <w:pPr>
              <w:keepNext w:val="0"/>
              <w:keepLines w:val="0"/>
              <w:widowControl/>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噪声</w:t>
            </w:r>
          </w:p>
        </w:tc>
        <w:tc>
          <w:tcPr>
            <w:tcW w:w="2196" w:type="dxa"/>
            <w:tcBorders>
              <w:top w:val="single" w:color="000000" w:sz="4" w:space="0"/>
              <w:left w:val="single" w:color="000000" w:sz="4" w:space="0"/>
              <w:bottom w:val="single" w:color="000000" w:sz="4" w:space="0"/>
              <w:right w:val="single" w:color="000000" w:sz="4" w:space="0"/>
            </w:tcBorders>
            <w:vAlign w:val="center"/>
          </w:tcPr>
          <w:p w14:paraId="7852DD89">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项目使用的高噪声设备均设有减震底座，厂房四壁均使用隔声性能较好的材料建设</w:t>
            </w:r>
          </w:p>
        </w:tc>
        <w:tc>
          <w:tcPr>
            <w:tcW w:w="1970" w:type="dxa"/>
            <w:tcBorders>
              <w:top w:val="single" w:color="000000" w:sz="4" w:space="0"/>
              <w:left w:val="single" w:color="000000" w:sz="4" w:space="0"/>
              <w:bottom w:val="single" w:color="000000" w:sz="4" w:space="0"/>
              <w:right w:val="single" w:color="000000" w:sz="6" w:space="0"/>
            </w:tcBorders>
            <w:vAlign w:val="center"/>
          </w:tcPr>
          <w:p w14:paraId="7CE0CD99">
            <w:pPr>
              <w:keepNext w:val="0"/>
              <w:keepLines w:val="0"/>
              <w:widowControl/>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《工业企业厂界环境噪声排放标准》（GB12348-2008</w:t>
            </w:r>
            <w:r>
              <w:rPr>
                <w:rFonts w:hint="eastAsia" w:ascii="Times New Roman" w:hAnsi="Times New Roman" w:cs="Times New Roman"/>
                <w:color w:val="auto"/>
                <w:kern w:val="2"/>
              </w:rPr>
              <w:t>）3</w:t>
            </w:r>
            <w:r>
              <w:rPr>
                <w:rFonts w:hint="default" w:ascii="Times New Roman" w:hAnsi="Times New Roman" w:cs="Times New Roman"/>
                <w:color w:val="auto"/>
                <w:kern w:val="2"/>
              </w:rPr>
              <w:t>类标准要求</w:t>
            </w:r>
          </w:p>
        </w:tc>
      </w:tr>
      <w:tr w14:paraId="3C1A906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959" w:type="dxa"/>
            <w:tcBorders>
              <w:top w:val="single" w:color="000000" w:sz="4" w:space="0"/>
              <w:left w:val="single" w:color="000000" w:sz="6" w:space="0"/>
              <w:bottom w:val="single" w:color="000000" w:sz="4" w:space="0"/>
              <w:right w:val="single" w:color="000000" w:sz="4" w:space="0"/>
            </w:tcBorders>
            <w:vAlign w:val="center"/>
          </w:tcPr>
          <w:p w14:paraId="43357968">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电磁辐射</w:t>
            </w:r>
          </w:p>
        </w:tc>
        <w:tc>
          <w:tcPr>
            <w:tcW w:w="2274" w:type="dxa"/>
            <w:tcBorders>
              <w:top w:val="single" w:color="000000" w:sz="4" w:space="0"/>
              <w:left w:val="single" w:color="000000" w:sz="4" w:space="0"/>
              <w:bottom w:val="single" w:color="000000" w:sz="4" w:space="0"/>
              <w:right w:val="single" w:color="000000" w:sz="4" w:space="0"/>
            </w:tcBorders>
            <w:vAlign w:val="center"/>
          </w:tcPr>
          <w:p w14:paraId="4A424DD4">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w:t>
            </w:r>
          </w:p>
        </w:tc>
        <w:tc>
          <w:tcPr>
            <w:tcW w:w="1418" w:type="dxa"/>
            <w:tcBorders>
              <w:top w:val="single" w:color="000000" w:sz="4" w:space="0"/>
              <w:left w:val="single" w:color="000000" w:sz="4" w:space="0"/>
              <w:bottom w:val="single" w:color="000000" w:sz="4" w:space="0"/>
              <w:right w:val="single" w:color="000000" w:sz="4" w:space="0"/>
            </w:tcBorders>
            <w:vAlign w:val="center"/>
          </w:tcPr>
          <w:p w14:paraId="091BDC07">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w:t>
            </w:r>
          </w:p>
        </w:tc>
        <w:tc>
          <w:tcPr>
            <w:tcW w:w="2196" w:type="dxa"/>
            <w:tcBorders>
              <w:top w:val="single" w:color="000000" w:sz="4" w:space="0"/>
              <w:left w:val="single" w:color="000000" w:sz="4" w:space="0"/>
              <w:bottom w:val="single" w:color="000000" w:sz="4" w:space="0"/>
              <w:right w:val="single" w:color="000000" w:sz="4" w:space="0"/>
            </w:tcBorders>
            <w:vAlign w:val="center"/>
          </w:tcPr>
          <w:p w14:paraId="22DFD1B7">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w:t>
            </w:r>
          </w:p>
        </w:tc>
        <w:tc>
          <w:tcPr>
            <w:tcW w:w="1970" w:type="dxa"/>
            <w:tcBorders>
              <w:top w:val="single" w:color="000000" w:sz="4" w:space="0"/>
              <w:left w:val="single" w:color="000000" w:sz="4" w:space="0"/>
              <w:bottom w:val="single" w:color="000000" w:sz="4" w:space="0"/>
              <w:right w:val="single" w:color="000000" w:sz="6" w:space="0"/>
            </w:tcBorders>
            <w:vAlign w:val="center"/>
          </w:tcPr>
          <w:p w14:paraId="5F813304">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w:t>
            </w:r>
          </w:p>
        </w:tc>
      </w:tr>
      <w:tr w14:paraId="3AF6CD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959" w:type="dxa"/>
            <w:tcBorders>
              <w:top w:val="single" w:color="000000" w:sz="4" w:space="0"/>
              <w:left w:val="single" w:color="000000" w:sz="6" w:space="0"/>
              <w:bottom w:val="single" w:color="000000" w:sz="4" w:space="0"/>
              <w:right w:val="single" w:color="000000" w:sz="4" w:space="0"/>
            </w:tcBorders>
            <w:vAlign w:val="center"/>
          </w:tcPr>
          <w:p w14:paraId="2C6E039E">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固体废物</w:t>
            </w:r>
          </w:p>
        </w:tc>
        <w:tc>
          <w:tcPr>
            <w:tcW w:w="7858" w:type="dxa"/>
            <w:gridSpan w:val="4"/>
            <w:tcBorders>
              <w:top w:val="single" w:color="000000" w:sz="4" w:space="0"/>
              <w:left w:val="single" w:color="000000" w:sz="4" w:space="0"/>
              <w:bottom w:val="single" w:color="000000" w:sz="4" w:space="0"/>
              <w:right w:val="single" w:color="000000" w:sz="6" w:space="0"/>
            </w:tcBorders>
            <w:vAlign w:val="center"/>
          </w:tcPr>
          <w:p w14:paraId="22EF891C">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color w:val="auto"/>
                <w:kern w:val="2"/>
              </w:rPr>
            </w:pPr>
            <w:r>
              <w:rPr>
                <w:rFonts w:hint="default" w:ascii="Times New Roman" w:hAnsi="Times New Roman" w:cs="Times New Roman"/>
                <w:b/>
                <w:color w:val="auto"/>
                <w:kern w:val="2"/>
              </w:rPr>
              <w:t>一般工业固体废物</w:t>
            </w:r>
            <w:r>
              <w:rPr>
                <w:rFonts w:hint="eastAsia" w:ascii="Times New Roman" w:hAnsi="Times New Roman" w:cs="Times New Roman"/>
                <w:b/>
                <w:color w:val="auto"/>
                <w:kern w:val="2"/>
              </w:rPr>
              <w:t>：</w:t>
            </w:r>
          </w:p>
          <w:p w14:paraId="5C22948C">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color w:val="auto"/>
                <w:kern w:val="2"/>
              </w:rPr>
            </w:pPr>
            <w:r>
              <w:rPr>
                <w:rFonts w:hint="eastAsia" w:ascii="Times New Roman" w:hAnsi="Times New Roman" w:cs="Times New Roman"/>
                <w:color w:val="auto"/>
                <w:kern w:val="2"/>
              </w:rPr>
              <w:t>不合格</w:t>
            </w:r>
            <w:r>
              <w:rPr>
                <w:rFonts w:hint="eastAsia" w:ascii="Times New Roman" w:hAnsi="Times New Roman" w:cs="Times New Roman"/>
                <w:color w:val="auto"/>
                <w:kern w:val="2"/>
                <w:lang w:val="en-US" w:eastAsia="zh-CN"/>
              </w:rPr>
              <w:t>产品</w:t>
            </w:r>
            <w:r>
              <w:rPr>
                <w:rFonts w:hint="eastAsia" w:ascii="Times New Roman" w:hAnsi="Times New Roman" w:cs="Times New Roman"/>
                <w:color w:val="auto"/>
                <w:kern w:val="2"/>
              </w:rPr>
              <w:t>收集暂存于一般工业固体废物暂存间后，原厂家回收；废包装材料收集暂存于一般工业固体废物暂存间后外售综合利用。</w:t>
            </w:r>
          </w:p>
          <w:p w14:paraId="3E5869B9">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b/>
                <w:color w:val="auto"/>
                <w:kern w:val="2"/>
              </w:rPr>
            </w:pPr>
            <w:r>
              <w:rPr>
                <w:rFonts w:hint="eastAsia" w:ascii="Times New Roman" w:hAnsi="Times New Roman" w:cs="Times New Roman"/>
                <w:b/>
                <w:color w:val="auto"/>
                <w:kern w:val="2"/>
              </w:rPr>
              <w:t>危险废物：</w:t>
            </w:r>
          </w:p>
          <w:p w14:paraId="097CB82F">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color w:val="auto"/>
                <w:kern w:val="2"/>
              </w:rPr>
            </w:pPr>
            <w:r>
              <w:rPr>
                <w:rFonts w:hint="eastAsia" w:ascii="Times New Roman" w:hAnsi="Times New Roman" w:cs="Times New Roman"/>
                <w:color w:val="auto"/>
                <w:kern w:val="2"/>
              </w:rPr>
              <w:t>废润滑油、废包装桶、废活性炭、废胶管</w:t>
            </w:r>
            <w:r>
              <w:rPr>
                <w:rFonts w:hint="eastAsia" w:ascii="Times New Roman" w:hAnsi="Times New Roman" w:cs="Times New Roman"/>
                <w:color w:val="auto"/>
                <w:kern w:val="2"/>
                <w:lang w:eastAsia="zh-CN"/>
              </w:rPr>
              <w:t>、</w:t>
            </w:r>
            <w:r>
              <w:rPr>
                <w:rFonts w:hint="eastAsia" w:ascii="Times New Roman" w:hAnsi="Times New Roman" w:cs="Times New Roman"/>
                <w:color w:val="auto"/>
                <w:kern w:val="2"/>
              </w:rPr>
              <w:t>含油抹布</w:t>
            </w:r>
            <w:r>
              <w:rPr>
                <w:rFonts w:hint="eastAsia" w:ascii="Times New Roman" w:hAnsi="Times New Roman" w:cs="Times New Roman"/>
                <w:color w:val="auto"/>
                <w:kern w:val="2"/>
                <w:lang w:eastAsia="zh-CN"/>
              </w:rPr>
              <w:t>、废</w:t>
            </w:r>
            <w:r>
              <w:rPr>
                <w:rFonts w:hint="eastAsia" w:ascii="Times New Roman" w:hAnsi="Times New Roman" w:cs="Times New Roman"/>
                <w:color w:val="auto"/>
                <w:kern w:val="2"/>
                <w:lang w:val="en-US" w:eastAsia="zh-CN"/>
              </w:rPr>
              <w:t>槽液、废滤芯</w:t>
            </w:r>
            <w:r>
              <w:rPr>
                <w:rFonts w:hint="eastAsia" w:ascii="Times New Roman" w:hAnsi="Times New Roman" w:cs="Times New Roman"/>
                <w:color w:val="auto"/>
                <w:kern w:val="2"/>
              </w:rPr>
              <w:t>：收集暂存于危险废物暂存间后，定期委托有资质单位处理。</w:t>
            </w:r>
          </w:p>
        </w:tc>
      </w:tr>
      <w:tr w14:paraId="7E8D8A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959" w:type="dxa"/>
            <w:tcBorders>
              <w:top w:val="single" w:color="000000" w:sz="4" w:space="0"/>
              <w:left w:val="single" w:color="000000" w:sz="6" w:space="0"/>
              <w:bottom w:val="single" w:color="000000" w:sz="4" w:space="0"/>
              <w:right w:val="single" w:color="000000" w:sz="4" w:space="0"/>
            </w:tcBorders>
            <w:vAlign w:val="center"/>
          </w:tcPr>
          <w:p w14:paraId="1D2A54FD">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土壤及地下水防治措施</w:t>
            </w:r>
          </w:p>
        </w:tc>
        <w:tc>
          <w:tcPr>
            <w:tcW w:w="7858" w:type="dxa"/>
            <w:gridSpan w:val="4"/>
            <w:tcBorders>
              <w:top w:val="single" w:color="000000" w:sz="4" w:space="0"/>
              <w:left w:val="single" w:color="000000" w:sz="4" w:space="0"/>
              <w:bottom w:val="single" w:color="000000" w:sz="4" w:space="0"/>
              <w:right w:val="single" w:color="000000" w:sz="6" w:space="0"/>
            </w:tcBorders>
            <w:vAlign w:val="center"/>
          </w:tcPr>
          <w:p w14:paraId="2CD5355C">
            <w:pPr>
              <w:keepNext w:val="0"/>
              <w:keepLines w:val="0"/>
              <w:widowControl/>
              <w:suppressLineNumbers w:val="0"/>
              <w:spacing w:before="0" w:beforeAutospacing="0" w:after="0" w:afterAutospacing="0" w:line="360" w:lineRule="auto"/>
              <w:ind w:left="0" w:right="0"/>
              <w:rPr>
                <w:rFonts w:hint="default" w:ascii="Times New Roman" w:hAnsi="Times New Roman" w:cs="Times New Roman"/>
                <w:color w:val="auto"/>
                <w:kern w:val="2"/>
              </w:rPr>
            </w:pPr>
            <w:r>
              <w:rPr>
                <w:rFonts w:hint="default" w:ascii="Times New Roman" w:hAnsi="Times New Roman" w:cs="Times New Roman"/>
                <w:b/>
                <w:color w:val="auto"/>
                <w:kern w:val="2"/>
              </w:rPr>
              <w:t>一般防渗区：</w:t>
            </w:r>
            <w:r>
              <w:rPr>
                <w:rFonts w:hint="default" w:ascii="Times New Roman" w:hAnsi="Times New Roman" w:cs="Times New Roman"/>
                <w:color w:val="auto"/>
                <w:kern w:val="2"/>
              </w:rPr>
              <w:t>主要为</w:t>
            </w:r>
            <w:r>
              <w:rPr>
                <w:rFonts w:hint="eastAsia" w:ascii="Times New Roman" w:hAnsi="Times New Roman" w:cs="Times New Roman"/>
                <w:color w:val="auto"/>
                <w:kern w:val="2"/>
              </w:rPr>
              <w:t>生产车间</w:t>
            </w:r>
            <w:r>
              <w:rPr>
                <w:rFonts w:hint="default" w:ascii="Times New Roman" w:hAnsi="Times New Roman" w:cs="Times New Roman"/>
                <w:color w:val="auto"/>
                <w:kern w:val="2"/>
              </w:rPr>
              <w:t>。一般防渗区的防渗技术要求：等效</w:t>
            </w:r>
            <w:r>
              <w:rPr>
                <w:rFonts w:hint="eastAsia" w:ascii="Times New Roman" w:hAnsi="Times New Roman" w:cs="Times New Roman"/>
                <w:color w:val="auto"/>
                <w:kern w:val="2"/>
              </w:rPr>
              <w:t>粘土</w:t>
            </w:r>
            <w:r>
              <w:rPr>
                <w:rFonts w:hint="default" w:ascii="Times New Roman" w:hAnsi="Times New Roman" w:cs="Times New Roman"/>
                <w:color w:val="auto"/>
                <w:kern w:val="2"/>
              </w:rPr>
              <w:t>防渗层Mb≥1.5m，K≤10</w:t>
            </w:r>
            <w:r>
              <w:rPr>
                <w:rFonts w:hint="default" w:ascii="Times New Roman" w:hAnsi="Times New Roman" w:cs="Times New Roman"/>
                <w:color w:val="auto"/>
                <w:kern w:val="2"/>
                <w:vertAlign w:val="superscript"/>
              </w:rPr>
              <w:t>-7</w:t>
            </w:r>
            <w:r>
              <w:rPr>
                <w:rFonts w:hint="default" w:ascii="Times New Roman" w:hAnsi="Times New Roman" w:cs="Times New Roman"/>
                <w:color w:val="auto"/>
                <w:kern w:val="2"/>
              </w:rPr>
              <w:t>cm/s</w:t>
            </w:r>
            <w:r>
              <w:rPr>
                <w:rFonts w:hint="eastAsia" w:ascii="Times New Roman" w:hAnsi="Times New Roman" w:cs="Times New Roman"/>
                <w:color w:val="auto"/>
                <w:kern w:val="2"/>
              </w:rPr>
              <w:t>，</w:t>
            </w:r>
            <w:r>
              <w:rPr>
                <w:rFonts w:hint="default" w:ascii="Times New Roman" w:hAnsi="Times New Roman" w:cs="Times New Roman"/>
                <w:color w:val="auto"/>
                <w:kern w:val="2"/>
              </w:rPr>
              <w:t>企业现状</w:t>
            </w:r>
            <w:r>
              <w:rPr>
                <w:rFonts w:hint="eastAsia" w:ascii="Times New Roman" w:hAnsi="Times New Roman" w:cs="Times New Roman"/>
                <w:color w:val="auto"/>
                <w:kern w:val="2"/>
              </w:rPr>
              <w:t>原料库</w:t>
            </w:r>
            <w:r>
              <w:rPr>
                <w:rFonts w:hint="default" w:ascii="Times New Roman" w:hAnsi="Times New Roman" w:cs="Times New Roman"/>
                <w:color w:val="auto"/>
                <w:kern w:val="2"/>
              </w:rPr>
              <w:t>和生产车间为</w:t>
            </w:r>
            <w:r>
              <w:rPr>
                <w:rFonts w:hint="eastAsia" w:ascii="Times New Roman" w:hAnsi="Times New Roman" w:cs="Times New Roman"/>
                <w:color w:val="auto"/>
                <w:kern w:val="2"/>
              </w:rPr>
              <w:t>抗渗混凝土，满足一般防渗要求，扩建原料库，拟做15cm抗渗混凝土进行防渗</w:t>
            </w:r>
            <w:r>
              <w:rPr>
                <w:rFonts w:hint="default" w:ascii="Times New Roman" w:hAnsi="Times New Roman" w:cs="Times New Roman"/>
                <w:color w:val="auto"/>
                <w:kern w:val="2"/>
              </w:rPr>
              <w:t>。</w:t>
            </w:r>
          </w:p>
          <w:p w14:paraId="73560DCC">
            <w:pPr>
              <w:keepNext w:val="0"/>
              <w:keepLines w:val="0"/>
              <w:widowControl/>
              <w:suppressLineNumbers w:val="0"/>
              <w:spacing w:before="0" w:beforeAutospacing="0" w:after="0" w:afterAutospacing="0" w:line="360" w:lineRule="auto"/>
              <w:ind w:left="0" w:right="0"/>
              <w:rPr>
                <w:rFonts w:hint="default" w:ascii="Times New Roman" w:hAnsi="Times New Roman" w:cs="Times New Roman"/>
                <w:color w:val="auto"/>
                <w:kern w:val="2"/>
              </w:rPr>
            </w:pPr>
            <w:r>
              <w:rPr>
                <w:rFonts w:hint="eastAsia" w:ascii="Times New Roman" w:hAnsi="Times New Roman" w:cs="Times New Roman"/>
                <w:b/>
                <w:color w:val="auto"/>
                <w:kern w:val="2"/>
              </w:rPr>
              <w:t>简单防渗：</w:t>
            </w:r>
            <w:r>
              <w:rPr>
                <w:rFonts w:hint="eastAsia" w:ascii="Times New Roman" w:hAnsi="Times New Roman" w:cs="Times New Roman"/>
                <w:color w:val="auto"/>
                <w:kern w:val="2"/>
              </w:rPr>
              <w:t>办公区，</w:t>
            </w:r>
            <w:r>
              <w:rPr>
                <w:rFonts w:hint="default" w:ascii="Times New Roman" w:hAnsi="Times New Roman" w:cs="Times New Roman"/>
                <w:color w:val="auto"/>
                <w:kern w:val="2"/>
              </w:rPr>
              <w:t>简单防渗区的防渗技术要求：地面简单硬化</w:t>
            </w:r>
            <w:r>
              <w:rPr>
                <w:rFonts w:hint="eastAsia" w:ascii="Times New Roman" w:hAnsi="Times New Roman" w:cs="Times New Roman"/>
                <w:color w:val="auto"/>
                <w:kern w:val="2"/>
              </w:rPr>
              <w:t>，办公室</w:t>
            </w:r>
            <w:r>
              <w:rPr>
                <w:rFonts w:hint="default" w:ascii="Times New Roman" w:hAnsi="Times New Roman" w:cs="Times New Roman"/>
                <w:color w:val="auto"/>
                <w:kern w:val="2"/>
              </w:rPr>
              <w:t>现状已做地面硬化</w:t>
            </w:r>
          </w:p>
        </w:tc>
      </w:tr>
      <w:tr w14:paraId="239D4D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959" w:type="dxa"/>
            <w:tcBorders>
              <w:top w:val="single" w:color="000000" w:sz="4" w:space="0"/>
              <w:left w:val="single" w:color="000000" w:sz="6" w:space="0"/>
              <w:bottom w:val="single" w:color="000000" w:sz="4" w:space="0"/>
              <w:right w:val="single" w:color="000000" w:sz="4" w:space="0"/>
            </w:tcBorders>
            <w:vAlign w:val="center"/>
          </w:tcPr>
          <w:p w14:paraId="2A468AFE">
            <w:pPr>
              <w:keepNext w:val="0"/>
              <w:keepLines w:val="0"/>
              <w:widowControl/>
              <w:suppressLineNumbers w:val="0"/>
              <w:spacing w:before="0" w:beforeAutospacing="0" w:after="0" w:afterAutospacing="0" w:line="360" w:lineRule="auto"/>
              <w:ind w:left="0" w:right="0"/>
              <w:rPr>
                <w:rFonts w:hint="default" w:ascii="Times New Roman" w:hAnsi="Times New Roman" w:cs="Times New Roman"/>
                <w:color w:val="auto"/>
                <w:kern w:val="2"/>
              </w:rPr>
            </w:pPr>
            <w:r>
              <w:rPr>
                <w:rFonts w:hint="default" w:ascii="Times New Roman" w:hAnsi="Times New Roman" w:cs="Times New Roman"/>
                <w:color w:val="auto"/>
                <w:kern w:val="2"/>
              </w:rPr>
              <w:t>生态保护措施</w:t>
            </w:r>
          </w:p>
        </w:tc>
        <w:tc>
          <w:tcPr>
            <w:tcW w:w="7858" w:type="dxa"/>
            <w:gridSpan w:val="4"/>
            <w:tcBorders>
              <w:top w:val="single" w:color="000000" w:sz="4" w:space="0"/>
              <w:left w:val="single" w:color="000000" w:sz="4" w:space="0"/>
              <w:bottom w:val="single" w:color="000000" w:sz="4" w:space="0"/>
              <w:right w:val="single" w:color="000000" w:sz="6" w:space="0"/>
            </w:tcBorders>
            <w:vAlign w:val="center"/>
          </w:tcPr>
          <w:p w14:paraId="0979678B">
            <w:pPr>
              <w:keepNext w:val="0"/>
              <w:keepLines w:val="0"/>
              <w:widowControl/>
              <w:suppressLineNumbers w:val="0"/>
              <w:spacing w:before="0" w:beforeAutospacing="0" w:after="0" w:afterAutospacing="0" w:line="360" w:lineRule="auto"/>
              <w:ind w:left="0" w:right="0"/>
              <w:rPr>
                <w:rFonts w:hint="default" w:ascii="Times New Roman" w:hAnsi="Times New Roman" w:cs="Times New Roman"/>
                <w:color w:val="auto"/>
                <w:kern w:val="2"/>
              </w:rPr>
            </w:pPr>
            <w:r>
              <w:rPr>
                <w:rFonts w:hint="default" w:ascii="Times New Roman" w:hAnsi="Times New Roman" w:cs="Times New Roman"/>
                <w:color w:val="auto"/>
                <w:kern w:val="2"/>
              </w:rPr>
              <w:t>本项目位于</w:t>
            </w:r>
            <w:r>
              <w:rPr>
                <w:rFonts w:hint="default" w:ascii="Times New Roman" w:hAnsi="Times New Roman" w:cs="Times New Roman"/>
                <w:color w:val="auto"/>
                <w:kern w:val="2"/>
                <w:szCs w:val="28"/>
              </w:rPr>
              <w:t>淮南市凤台县凤台经济开发区凤凰产业园电子智造园</w:t>
            </w:r>
            <w:r>
              <w:rPr>
                <w:rFonts w:hint="default" w:ascii="Times New Roman" w:hAnsi="Times New Roman" w:cs="Times New Roman"/>
                <w:color w:val="auto"/>
                <w:kern w:val="2"/>
              </w:rPr>
              <w:t>，根据《</w:t>
            </w:r>
            <w:r>
              <w:rPr>
                <w:rFonts w:hint="eastAsia" w:ascii="Times New Roman" w:hAnsi="Times New Roman" w:cs="Times New Roman"/>
                <w:color w:val="auto"/>
                <w:kern w:val="2"/>
              </w:rPr>
              <w:t>淮南市</w:t>
            </w:r>
            <w:r>
              <w:rPr>
                <w:rFonts w:hint="default" w:ascii="Times New Roman" w:hAnsi="Times New Roman" w:cs="Times New Roman"/>
                <w:color w:val="auto"/>
                <w:kern w:val="2"/>
              </w:rPr>
              <w:t>“三线一单”编制文本》，项目所处区域无自然保护区、风景名胜区、文化自然遗产等，不属于生态保护红线管控的区域</w:t>
            </w:r>
          </w:p>
        </w:tc>
      </w:tr>
      <w:tr w14:paraId="2B4FE6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959" w:type="dxa"/>
            <w:tcBorders>
              <w:top w:val="single" w:color="000000" w:sz="4" w:space="0"/>
              <w:left w:val="single" w:color="000000" w:sz="6" w:space="0"/>
              <w:bottom w:val="single" w:color="000000" w:sz="4" w:space="0"/>
              <w:right w:val="single" w:color="000000" w:sz="4" w:space="0"/>
            </w:tcBorders>
            <w:vAlign w:val="center"/>
          </w:tcPr>
          <w:p w14:paraId="357D951E">
            <w:pPr>
              <w:keepNext w:val="0"/>
              <w:keepLines w:val="0"/>
              <w:widowControl/>
              <w:suppressLineNumbers w:val="0"/>
              <w:spacing w:before="0" w:beforeAutospacing="0" w:after="0" w:afterAutospacing="0" w:line="360" w:lineRule="auto"/>
              <w:ind w:left="0" w:right="0"/>
              <w:rPr>
                <w:rFonts w:hint="default" w:cs="Times New Roman"/>
                <w:color w:val="auto"/>
                <w:kern w:val="2"/>
              </w:rPr>
            </w:pPr>
            <w:r>
              <w:rPr>
                <w:rFonts w:hint="default" w:cs="Times New Roman"/>
                <w:color w:val="auto"/>
                <w:kern w:val="2"/>
              </w:rPr>
              <w:t>环境风险防范</w:t>
            </w:r>
          </w:p>
        </w:tc>
        <w:tc>
          <w:tcPr>
            <w:tcW w:w="7858" w:type="dxa"/>
            <w:gridSpan w:val="4"/>
            <w:tcBorders>
              <w:top w:val="single" w:color="000000" w:sz="4" w:space="0"/>
              <w:left w:val="single" w:color="000000" w:sz="4" w:space="0"/>
              <w:bottom w:val="single" w:color="000000" w:sz="4" w:space="0"/>
              <w:right w:val="single" w:color="000000" w:sz="6" w:space="0"/>
            </w:tcBorders>
            <w:vAlign w:val="center"/>
          </w:tcPr>
          <w:p w14:paraId="454B393F">
            <w:pPr>
              <w:keepNext w:val="0"/>
              <w:keepLines w:val="0"/>
              <w:widowControl/>
              <w:suppressLineNumbers w:val="0"/>
              <w:spacing w:before="0" w:beforeAutospacing="0" w:after="0" w:afterAutospacing="0" w:line="360" w:lineRule="auto"/>
              <w:ind w:left="0" w:right="0"/>
              <w:rPr>
                <w:rFonts w:hint="default" w:cs="Times New Roman"/>
                <w:color w:val="auto"/>
                <w:kern w:val="2"/>
              </w:rPr>
            </w:pPr>
            <w:r>
              <w:rPr>
                <w:rFonts w:hint="eastAsia" w:cs="Times New Roman"/>
                <w:color w:val="auto"/>
                <w:kern w:val="2"/>
              </w:rPr>
              <w:t>化学品仓</w:t>
            </w:r>
            <w:r>
              <w:rPr>
                <w:rFonts w:hint="default" w:cs="Times New Roman"/>
                <w:color w:val="auto"/>
                <w:kern w:val="2"/>
              </w:rPr>
              <w:t>库和危废暂存</w:t>
            </w:r>
            <w:r>
              <w:rPr>
                <w:rFonts w:hint="eastAsia" w:cs="Times New Roman"/>
                <w:color w:val="auto"/>
                <w:kern w:val="2"/>
              </w:rPr>
              <w:t>间</w:t>
            </w:r>
            <w:r>
              <w:rPr>
                <w:rFonts w:hint="default" w:cs="Times New Roman"/>
                <w:color w:val="auto"/>
                <w:kern w:val="2"/>
              </w:rPr>
              <w:t>内设置防渗托盘</w:t>
            </w:r>
          </w:p>
        </w:tc>
      </w:tr>
      <w:tr w14:paraId="293B3B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959" w:type="dxa"/>
            <w:tcBorders>
              <w:top w:val="single" w:color="000000" w:sz="4" w:space="0"/>
              <w:left w:val="single" w:color="000000" w:sz="6" w:space="0"/>
              <w:bottom w:val="single" w:color="000000" w:sz="12" w:space="0"/>
              <w:right w:val="single" w:color="000000" w:sz="4" w:space="0"/>
            </w:tcBorders>
            <w:vAlign w:val="center"/>
          </w:tcPr>
          <w:p w14:paraId="67F68FDF">
            <w:pPr>
              <w:keepNext w:val="0"/>
              <w:keepLines w:val="0"/>
              <w:widowControl/>
              <w:suppressLineNumbers w:val="0"/>
              <w:spacing w:before="0" w:beforeAutospacing="0" w:after="0" w:afterAutospacing="0" w:line="360" w:lineRule="auto"/>
              <w:ind w:left="0" w:right="0"/>
              <w:jc w:val="center"/>
              <w:rPr>
                <w:rFonts w:hint="default" w:ascii="Times New Roman" w:hAnsi="Times New Roman" w:cs="Times New Roman"/>
                <w:color w:val="auto"/>
                <w:kern w:val="2"/>
              </w:rPr>
            </w:pPr>
            <w:r>
              <w:rPr>
                <w:rFonts w:hint="default" w:ascii="Times New Roman" w:hAnsi="Times New Roman" w:cs="Times New Roman"/>
                <w:color w:val="auto"/>
                <w:kern w:val="2"/>
              </w:rPr>
              <w:t>其他环境管理要求</w:t>
            </w:r>
          </w:p>
        </w:tc>
        <w:tc>
          <w:tcPr>
            <w:tcW w:w="7858" w:type="dxa"/>
            <w:gridSpan w:val="4"/>
            <w:tcBorders>
              <w:top w:val="single" w:color="000000" w:sz="4" w:space="0"/>
              <w:left w:val="single" w:color="000000" w:sz="4" w:space="0"/>
              <w:bottom w:val="single" w:color="000000" w:sz="12" w:space="0"/>
              <w:right w:val="single" w:color="000000" w:sz="6" w:space="0"/>
            </w:tcBorders>
            <w:vAlign w:val="center"/>
          </w:tcPr>
          <w:p w14:paraId="7D0B4F38">
            <w:pPr>
              <w:keepNext w:val="0"/>
              <w:keepLines w:val="0"/>
              <w:widowControl/>
              <w:suppressLineNumbers w:val="0"/>
              <w:spacing w:before="0" w:beforeAutospacing="0" w:after="0" w:afterAutospacing="0" w:line="360" w:lineRule="auto"/>
              <w:ind w:left="0" w:right="0"/>
              <w:rPr>
                <w:rFonts w:hint="default" w:ascii="Times New Roman" w:hAnsi="Times New Roman" w:cs="Times New Roman"/>
                <w:color w:val="auto"/>
                <w:kern w:val="2"/>
              </w:rPr>
            </w:pPr>
            <w:r>
              <w:rPr>
                <w:rFonts w:hint="default" w:ascii="Times New Roman" w:hAnsi="Times New Roman" w:cs="Times New Roman"/>
                <w:color w:val="auto"/>
                <w:kern w:val="2"/>
              </w:rPr>
              <w:t>项目需遵守下列要求：</w:t>
            </w:r>
          </w:p>
          <w:p w14:paraId="3C44E6FB">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default" w:ascii="Times New Roman" w:hAnsi="Times New Roman" w:cs="Times New Roman"/>
                <w:color w:val="auto"/>
                <w:kern w:val="2"/>
              </w:rPr>
              <w:t>（1）在扩建项目投产之前，应根据《排污许可管理办法</w:t>
            </w:r>
            <w:r>
              <w:rPr>
                <w:rFonts w:hint="eastAsia" w:ascii="Times New Roman" w:hAnsi="Times New Roman" w:cs="Times New Roman"/>
                <w:color w:val="auto"/>
                <w:kern w:val="2"/>
              </w:rPr>
              <w:t>》《</w:t>
            </w:r>
            <w:r>
              <w:rPr>
                <w:rFonts w:hint="default" w:ascii="Times New Roman" w:hAnsi="Times New Roman" w:cs="Times New Roman"/>
                <w:color w:val="auto"/>
                <w:kern w:val="2"/>
              </w:rPr>
              <w:t>排污许可管理条例》（国务院令第736号）、《固定污染源排污许可分类管理名录》依法</w:t>
            </w:r>
            <w:r>
              <w:rPr>
                <w:rFonts w:hint="eastAsia" w:ascii="Times New Roman" w:hAnsi="Times New Roman" w:cs="Times New Roman"/>
                <w:color w:val="auto"/>
                <w:kern w:val="2"/>
              </w:rPr>
              <w:t>重新</w:t>
            </w:r>
            <w:r>
              <w:rPr>
                <w:rFonts w:hint="default" w:ascii="Times New Roman" w:hAnsi="Times New Roman" w:cs="Times New Roman"/>
                <w:color w:val="auto"/>
                <w:kern w:val="2"/>
              </w:rPr>
              <w:t>申领排污许可证。</w:t>
            </w:r>
          </w:p>
          <w:p w14:paraId="1CC77264">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default" w:ascii="Times New Roman" w:hAnsi="Times New Roman" w:cs="Times New Roman"/>
                <w:color w:val="auto"/>
                <w:kern w:val="2"/>
              </w:rPr>
              <w:t>（2）项目建设必须严格执行配套的环境保护设施与主体工程同时设计、同时施工、同时投产使用的环境保护“三同时”制度</w:t>
            </w:r>
            <w:r>
              <w:rPr>
                <w:rFonts w:hint="eastAsia" w:ascii="Times New Roman" w:hAnsi="Times New Roman" w:cs="Times New Roman"/>
                <w:color w:val="auto"/>
                <w:kern w:val="2"/>
              </w:rPr>
              <w:t>。</w:t>
            </w:r>
          </w:p>
          <w:p w14:paraId="249D1366">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40FE73FD">
            <w:pPr>
              <w:keepNext w:val="0"/>
              <w:keepLines w:val="0"/>
              <w:widowControl/>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31A2D441">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color w:val="auto"/>
                <w:kern w:val="2"/>
              </w:rPr>
            </w:pPr>
          </w:p>
          <w:p w14:paraId="5408C379">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color w:val="auto"/>
                <w:kern w:val="2"/>
              </w:rPr>
            </w:pPr>
          </w:p>
          <w:p w14:paraId="076E848A">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color w:val="auto"/>
                <w:kern w:val="2"/>
              </w:rPr>
            </w:pPr>
          </w:p>
          <w:p w14:paraId="7B9ABB70">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color w:val="auto"/>
                <w:kern w:val="2"/>
              </w:rPr>
            </w:pPr>
          </w:p>
          <w:p w14:paraId="3720BB4D">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color w:val="auto"/>
                <w:kern w:val="2"/>
              </w:rPr>
            </w:pPr>
          </w:p>
          <w:p w14:paraId="1736EC8F">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color w:val="auto"/>
                <w:kern w:val="2"/>
              </w:rPr>
            </w:pPr>
          </w:p>
          <w:p w14:paraId="1CEA7666">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color w:val="auto"/>
                <w:kern w:val="2"/>
              </w:rPr>
            </w:pPr>
          </w:p>
          <w:p w14:paraId="6E55A91E">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color w:val="auto"/>
                <w:kern w:val="2"/>
              </w:rPr>
            </w:pPr>
          </w:p>
          <w:p w14:paraId="27DCDA0F">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color w:val="auto"/>
                <w:kern w:val="2"/>
              </w:rPr>
            </w:pPr>
          </w:p>
          <w:p w14:paraId="1E9CB95C">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color w:val="auto"/>
                <w:kern w:val="2"/>
              </w:rPr>
            </w:pPr>
          </w:p>
          <w:p w14:paraId="560DC5F4">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color w:val="auto"/>
                <w:kern w:val="2"/>
              </w:rPr>
            </w:pPr>
          </w:p>
          <w:p w14:paraId="5FD9A280">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color w:val="auto"/>
                <w:kern w:val="2"/>
              </w:rPr>
            </w:pPr>
          </w:p>
          <w:p w14:paraId="2F058E27">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color w:val="auto"/>
                <w:kern w:val="2"/>
              </w:rPr>
            </w:pPr>
          </w:p>
          <w:p w14:paraId="51A107D8">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color w:val="auto"/>
                <w:kern w:val="2"/>
              </w:rPr>
            </w:pPr>
          </w:p>
          <w:p w14:paraId="4AD0CB5F">
            <w:pPr>
              <w:keepNext w:val="0"/>
              <w:keepLines w:val="0"/>
              <w:widowControl/>
              <w:suppressLineNumbers w:val="0"/>
              <w:autoSpaceDE w:val="0"/>
              <w:autoSpaceDN w:val="0"/>
              <w:adjustRightInd w:val="0"/>
              <w:spacing w:before="0" w:beforeAutospacing="0" w:after="0" w:afterAutospacing="0" w:line="360" w:lineRule="auto"/>
              <w:ind w:left="0" w:right="0"/>
              <w:rPr>
                <w:rFonts w:hint="default" w:ascii="Times New Roman" w:hAnsi="Times New Roman" w:cs="Times New Roman"/>
                <w:color w:val="auto"/>
                <w:kern w:val="2"/>
              </w:rPr>
            </w:pPr>
          </w:p>
          <w:p w14:paraId="45493E14">
            <w:pPr>
              <w:pStyle w:val="12"/>
              <w:keepNext w:val="0"/>
              <w:keepLines w:val="0"/>
              <w:widowControl/>
              <w:suppressLineNumbers w:val="0"/>
              <w:spacing w:before="0" w:beforeAutospacing="0" w:after="0" w:afterAutospacing="0"/>
              <w:ind w:left="0" w:right="0"/>
              <w:rPr>
                <w:rFonts w:hint="default"/>
                <w:color w:val="auto"/>
                <w:kern w:val="2"/>
              </w:rPr>
            </w:pPr>
          </w:p>
        </w:tc>
      </w:tr>
    </w:tbl>
    <w:p w14:paraId="0F2D6B7D">
      <w:pPr>
        <w:spacing w:before="100" w:beforeAutospacing="1" w:after="100" w:afterAutospacing="1"/>
        <w:jc w:val="center"/>
        <w:outlineLvl w:val="0"/>
        <w:rPr>
          <w:rFonts w:ascii="Times New Roman" w:hAnsi="Times New Roman" w:eastAsia="黑体" w:cs="Times New Roman"/>
          <w:snapToGrid w:val="0"/>
          <w:color w:val="auto"/>
          <w:sz w:val="30"/>
          <w:szCs w:val="30"/>
        </w:rPr>
      </w:pPr>
      <w:r>
        <w:rPr>
          <w:rFonts w:hint="eastAsia" w:ascii="Times New Roman" w:hAnsi="Times New Roman" w:eastAsia="黑体" w:cs="Times New Roman"/>
          <w:snapToGrid w:val="0"/>
          <w:color w:val="auto"/>
          <w:sz w:val="30"/>
          <w:szCs w:val="30"/>
        </w:rPr>
        <w:t>六、结论</w:t>
      </w:r>
    </w:p>
    <w:tbl>
      <w:tblPr>
        <w:tblStyle w:val="23"/>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14:paraId="7E0CD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63" w:hRule="atLeast"/>
        </w:trPr>
        <w:tc>
          <w:tcPr>
            <w:tcW w:w="8522" w:type="dxa"/>
          </w:tcPr>
          <w:p w14:paraId="509FFFF2">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r>
              <w:rPr>
                <w:rFonts w:hint="default" w:ascii="Times New Roman" w:hAnsi="Times New Roman" w:cs="Times New Roman"/>
                <w:color w:val="auto"/>
                <w:kern w:val="2"/>
              </w:rPr>
              <w:t>本评价报告认为，项目的建设符合国家及地方产业政策，选址符合用地</w:t>
            </w:r>
            <w:r>
              <w:rPr>
                <w:rFonts w:hint="eastAsia" w:ascii="Times New Roman" w:hAnsi="Times New Roman" w:cs="Times New Roman"/>
                <w:color w:val="auto"/>
                <w:kern w:val="2"/>
              </w:rPr>
              <w:t>规划，布局基本合理；项目污染防治措施可行，在建设单位在严格落实环境保护“三同时制度”</w:t>
            </w:r>
            <w:r>
              <w:rPr>
                <w:rFonts w:hint="default" w:ascii="Times New Roman" w:hAnsi="Times New Roman" w:cs="Times New Roman"/>
                <w:color w:val="auto"/>
                <w:kern w:val="2"/>
              </w:rPr>
              <w:t>并加强污染治理设施运行管理的前提下，各项污染物可做到达标排放。因此，从环境保护的角度而言，项目的建设是可行的。</w:t>
            </w:r>
          </w:p>
          <w:p w14:paraId="7B6E987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618D14B2">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076DA840">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171E6E09">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7C2B5EBE">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6064705D">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210D9D45">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14EDF96C">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2730997D">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68109B81">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3FE21675">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35178475">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26204F8D">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7E840824">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16FFC291">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201379AC">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0D697E36">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7F3A1F89">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1E1EE249">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1AD9C2C5">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2"/>
              </w:rPr>
            </w:pPr>
          </w:p>
          <w:p w14:paraId="042F0B82">
            <w:pPr>
              <w:keepNext w:val="0"/>
              <w:keepLines w:val="0"/>
              <w:widowControl/>
              <w:suppressLineNumbers w:val="0"/>
              <w:spacing w:before="0" w:beforeAutospacing="0" w:after="0" w:afterAutospacing="0" w:line="360" w:lineRule="auto"/>
              <w:ind w:left="0" w:right="0"/>
              <w:rPr>
                <w:rFonts w:hint="default" w:ascii="Times New Roman" w:hAnsi="Times New Roman" w:cs="Times New Roman"/>
                <w:color w:val="auto"/>
                <w:kern w:val="2"/>
              </w:rPr>
            </w:pPr>
          </w:p>
        </w:tc>
      </w:tr>
    </w:tbl>
    <w:p w14:paraId="367F5862">
      <w:pPr>
        <w:rPr>
          <w:rFonts w:ascii="Times New Roman" w:hAnsi="Times New Roman"/>
          <w:color w:val="auto"/>
        </w:rPr>
        <w:sectPr>
          <w:pgSz w:w="11906" w:h="16838"/>
          <w:pgMar w:top="1440" w:right="1800" w:bottom="1440" w:left="1800" w:header="851" w:footer="992" w:gutter="0"/>
          <w:cols w:space="720" w:num="1"/>
          <w:docGrid w:type="lines" w:linePitch="312" w:charSpace="0"/>
        </w:sectPr>
      </w:pPr>
    </w:p>
    <w:p w14:paraId="4C26C605">
      <w:pPr>
        <w:spacing w:after="100" w:afterAutospacing="1" w:line="360" w:lineRule="auto"/>
        <w:jc w:val="center"/>
        <w:rPr>
          <w:rFonts w:ascii="Times New Roman" w:hAnsi="Times New Roman" w:cs="Times New Roman"/>
          <w:snapToGrid w:val="0"/>
          <w:color w:val="auto"/>
          <w:sz w:val="38"/>
          <w:szCs w:val="38"/>
          <w:highlight w:val="none"/>
        </w:rPr>
      </w:pPr>
      <w:r>
        <w:rPr>
          <w:rFonts w:hint="eastAsia" w:ascii="Times New Roman" w:hAnsi="Times New Roman" w:cs="Times New Roman"/>
          <w:snapToGrid w:val="0"/>
          <w:color w:val="auto"/>
          <w:sz w:val="38"/>
          <w:szCs w:val="38"/>
          <w:highlight w:val="none"/>
        </w:rPr>
        <w:t>建设项目污染物排放量汇总表</w:t>
      </w: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2046"/>
        <w:gridCol w:w="1424"/>
        <w:gridCol w:w="1015"/>
        <w:gridCol w:w="1308"/>
        <w:gridCol w:w="1492"/>
        <w:gridCol w:w="1188"/>
        <w:gridCol w:w="1898"/>
        <w:gridCol w:w="1627"/>
      </w:tblGrid>
      <w:tr w14:paraId="060CD7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487" w:type="pct"/>
            <w:tcBorders>
              <w:top w:val="single" w:color="auto" w:sz="4" w:space="0"/>
              <w:left w:val="single" w:color="auto" w:sz="4" w:space="0"/>
              <w:bottom w:val="single" w:color="auto" w:sz="4" w:space="0"/>
              <w:tl2br w:val="single" w:color="auto" w:sz="4" w:space="0"/>
            </w:tcBorders>
            <w:tcMar>
              <w:left w:w="28" w:type="dxa"/>
              <w:right w:w="28" w:type="dxa"/>
            </w:tcMar>
            <w:vAlign w:val="center"/>
          </w:tcPr>
          <w:p w14:paraId="7C1A3495">
            <w:pPr>
              <w:keepNext w:val="0"/>
              <w:keepLines w:val="0"/>
              <w:widowControl/>
              <w:suppressLineNumbers w:val="0"/>
              <w:spacing w:before="0" w:beforeAutospacing="0" w:after="0" w:afterAutospacing="0"/>
              <w:ind w:left="0" w:right="0"/>
              <w:jc w:val="right"/>
              <w:rPr>
                <w:rFonts w:hint="default" w:ascii="Times New Roman" w:hAnsi="Times New Roman" w:eastAsia="黑体" w:cs="Times New Roman"/>
                <w:snapToGrid w:val="0"/>
                <w:color w:val="auto"/>
                <w:spacing w:val="-6"/>
                <w:kern w:val="21"/>
                <w:sz w:val="21"/>
                <w:szCs w:val="21"/>
                <w:highlight w:val="none"/>
              </w:rPr>
            </w:pPr>
            <w:r>
              <w:rPr>
                <w:rFonts w:hint="default" w:ascii="Times New Roman" w:hAnsi="黑体" w:eastAsia="黑体" w:cs="Times New Roman"/>
                <w:snapToGrid w:val="0"/>
                <w:color w:val="auto"/>
                <w:spacing w:val="-6"/>
                <w:kern w:val="21"/>
                <w:sz w:val="21"/>
                <w:szCs w:val="21"/>
                <w:highlight w:val="none"/>
              </w:rPr>
              <w:t>项目</w:t>
            </w:r>
          </w:p>
          <w:p w14:paraId="52A46B3E">
            <w:pPr>
              <w:keepNext w:val="0"/>
              <w:keepLines w:val="0"/>
              <w:widowControl/>
              <w:suppressLineNumbers w:val="0"/>
              <w:spacing w:before="0" w:beforeAutospacing="0" w:after="0" w:afterAutospacing="0"/>
              <w:ind w:left="0" w:right="0"/>
              <w:rPr>
                <w:rFonts w:hint="default" w:ascii="Times New Roman" w:hAnsi="Times New Roman" w:eastAsia="黑体" w:cs="Times New Roman"/>
                <w:snapToGrid w:val="0"/>
                <w:color w:val="auto"/>
                <w:spacing w:val="-6"/>
                <w:kern w:val="21"/>
                <w:sz w:val="21"/>
                <w:szCs w:val="21"/>
                <w:highlight w:val="none"/>
              </w:rPr>
            </w:pPr>
            <w:r>
              <w:rPr>
                <w:rFonts w:hint="default" w:ascii="Times New Roman" w:hAnsi="黑体" w:eastAsia="黑体" w:cs="Times New Roman"/>
                <w:snapToGrid w:val="0"/>
                <w:color w:val="auto"/>
                <w:spacing w:val="-6"/>
                <w:kern w:val="21"/>
                <w:sz w:val="21"/>
                <w:szCs w:val="21"/>
                <w:highlight w:val="none"/>
              </w:rPr>
              <w:t>分类</w:t>
            </w:r>
          </w:p>
        </w:tc>
        <w:tc>
          <w:tcPr>
            <w:tcW w:w="769" w:type="pct"/>
            <w:tcBorders>
              <w:top w:val="single" w:color="auto" w:sz="4" w:space="0"/>
              <w:bottom w:val="single" w:color="auto" w:sz="4" w:space="0"/>
            </w:tcBorders>
            <w:tcMar>
              <w:left w:w="28" w:type="dxa"/>
              <w:right w:w="28" w:type="dxa"/>
            </w:tcMar>
            <w:vAlign w:val="center"/>
          </w:tcPr>
          <w:p w14:paraId="5FE1AA3F">
            <w:pPr>
              <w:keepNext w:val="0"/>
              <w:keepLines w:val="0"/>
              <w:widowControl/>
              <w:suppressLineNumbers w:val="0"/>
              <w:spacing w:before="0" w:beforeAutospacing="0" w:after="0" w:afterAutospacing="0"/>
              <w:ind w:left="0" w:right="0"/>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黑体" w:eastAsia="黑体" w:cs="Times New Roman"/>
                <w:snapToGrid w:val="0"/>
                <w:color w:val="auto"/>
                <w:spacing w:val="-6"/>
                <w:kern w:val="21"/>
                <w:sz w:val="21"/>
                <w:szCs w:val="21"/>
                <w:highlight w:val="none"/>
              </w:rPr>
              <w:t>污染物名称</w:t>
            </w:r>
          </w:p>
        </w:tc>
        <w:tc>
          <w:tcPr>
            <w:tcW w:w="535" w:type="pct"/>
            <w:tcBorders>
              <w:top w:val="single" w:color="auto" w:sz="4" w:space="0"/>
              <w:bottom w:val="single" w:color="auto" w:sz="4" w:space="0"/>
            </w:tcBorders>
            <w:tcMar>
              <w:left w:w="28" w:type="dxa"/>
              <w:right w:w="28" w:type="dxa"/>
            </w:tcMar>
            <w:vAlign w:val="center"/>
          </w:tcPr>
          <w:p w14:paraId="4A7133AE">
            <w:pPr>
              <w:keepNext w:val="0"/>
              <w:keepLines w:val="0"/>
              <w:widowControl/>
              <w:suppressLineNumbers w:val="0"/>
              <w:spacing w:before="0" w:beforeAutospacing="0" w:after="0" w:afterAutospacing="0"/>
              <w:ind w:left="0" w:right="0"/>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黑体" w:eastAsia="黑体" w:cs="Times New Roman"/>
                <w:snapToGrid w:val="0"/>
                <w:color w:val="auto"/>
                <w:spacing w:val="-6"/>
                <w:kern w:val="21"/>
                <w:sz w:val="21"/>
                <w:szCs w:val="21"/>
                <w:highlight w:val="none"/>
              </w:rPr>
              <w:t>现有工程</w:t>
            </w:r>
          </w:p>
          <w:p w14:paraId="75D21C14">
            <w:pPr>
              <w:keepNext w:val="0"/>
              <w:keepLines w:val="0"/>
              <w:widowControl/>
              <w:suppressLineNumbers w:val="0"/>
              <w:spacing w:before="0" w:beforeAutospacing="0" w:after="0" w:afterAutospacing="0"/>
              <w:ind w:left="0" w:right="0"/>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黑体" w:eastAsia="黑体" w:cs="Times New Roman"/>
                <w:snapToGrid w:val="0"/>
                <w:color w:val="auto"/>
                <w:spacing w:val="-6"/>
                <w:kern w:val="21"/>
                <w:sz w:val="21"/>
                <w:szCs w:val="21"/>
                <w:highlight w:val="none"/>
              </w:rPr>
              <w:t>排放量（固体废物产生量）</w:t>
            </w:r>
            <w:r>
              <w:rPr>
                <w:rFonts w:hint="default" w:ascii="Times New Roman" w:hAnsi="Times New Roman" w:eastAsia="黑体" w:cs="Times New Roman"/>
                <w:snapToGrid w:val="0"/>
                <w:color w:val="auto"/>
                <w:spacing w:val="-6"/>
                <w:kern w:val="21"/>
                <w:sz w:val="21"/>
                <w:szCs w:val="21"/>
                <w:highlight w:val="none"/>
              </w:rPr>
              <w:fldChar w:fldCharType="begin"/>
            </w:r>
            <w:r>
              <w:rPr>
                <w:rFonts w:hint="default" w:ascii="Times New Roman" w:hAnsi="Times New Roman" w:eastAsia="黑体" w:cs="Times New Roman"/>
                <w:snapToGrid w:val="0"/>
                <w:color w:val="auto"/>
                <w:spacing w:val="-6"/>
                <w:kern w:val="21"/>
                <w:sz w:val="21"/>
                <w:szCs w:val="21"/>
                <w:highlight w:val="none"/>
              </w:rPr>
              <w:instrText xml:space="preserve"> = 1 \* GB3 \* MERGEFORMAT </w:instrText>
            </w:r>
            <w:r>
              <w:rPr>
                <w:rFonts w:hint="default" w:ascii="Times New Roman" w:hAnsi="Times New Roman" w:eastAsia="黑体" w:cs="Times New Roman"/>
                <w:snapToGrid w:val="0"/>
                <w:color w:val="auto"/>
                <w:spacing w:val="-6"/>
                <w:kern w:val="21"/>
                <w:sz w:val="21"/>
                <w:szCs w:val="21"/>
                <w:highlight w:val="none"/>
              </w:rPr>
              <w:fldChar w:fldCharType="separate"/>
            </w:r>
            <w:r>
              <w:rPr>
                <w:rFonts w:hint="default" w:ascii="Times New Roman" w:hAnsi="黑体" w:eastAsia="黑体" w:cs="Times New Roman"/>
                <w:color w:val="auto"/>
                <w:kern w:val="2"/>
                <w:sz w:val="21"/>
                <w:szCs w:val="21"/>
                <w:highlight w:val="none"/>
              </w:rPr>
              <w:t>①</w:t>
            </w:r>
            <w:r>
              <w:rPr>
                <w:rFonts w:hint="default" w:ascii="Times New Roman" w:hAnsi="Times New Roman" w:eastAsia="黑体" w:cs="Times New Roman"/>
                <w:snapToGrid w:val="0"/>
                <w:color w:val="auto"/>
                <w:spacing w:val="-6"/>
                <w:kern w:val="21"/>
                <w:sz w:val="21"/>
                <w:szCs w:val="21"/>
                <w:highlight w:val="none"/>
              </w:rPr>
              <w:fldChar w:fldCharType="end"/>
            </w:r>
          </w:p>
        </w:tc>
        <w:tc>
          <w:tcPr>
            <w:tcW w:w="382" w:type="pct"/>
            <w:tcBorders>
              <w:top w:val="single" w:color="auto" w:sz="4" w:space="0"/>
              <w:bottom w:val="single" w:color="auto" w:sz="4" w:space="0"/>
            </w:tcBorders>
            <w:tcMar>
              <w:left w:w="28" w:type="dxa"/>
              <w:right w:w="28" w:type="dxa"/>
            </w:tcMar>
            <w:vAlign w:val="center"/>
          </w:tcPr>
          <w:p w14:paraId="1F10FDA0">
            <w:pPr>
              <w:keepNext w:val="0"/>
              <w:keepLines w:val="0"/>
              <w:widowControl/>
              <w:suppressLineNumbers w:val="0"/>
              <w:spacing w:before="0" w:beforeAutospacing="0" w:after="0" w:afterAutospacing="0"/>
              <w:ind w:left="0" w:right="0"/>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黑体" w:eastAsia="黑体" w:cs="Times New Roman"/>
                <w:snapToGrid w:val="0"/>
                <w:color w:val="auto"/>
                <w:spacing w:val="-6"/>
                <w:kern w:val="21"/>
                <w:sz w:val="21"/>
                <w:szCs w:val="21"/>
                <w:highlight w:val="none"/>
              </w:rPr>
              <w:t>现有工程</w:t>
            </w:r>
          </w:p>
          <w:p w14:paraId="2DB514CB">
            <w:pPr>
              <w:keepNext w:val="0"/>
              <w:keepLines w:val="0"/>
              <w:widowControl/>
              <w:suppressLineNumbers w:val="0"/>
              <w:spacing w:before="0" w:beforeAutospacing="0" w:after="0" w:afterAutospacing="0"/>
              <w:ind w:left="0" w:right="0"/>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黑体" w:eastAsia="黑体" w:cs="Times New Roman"/>
                <w:snapToGrid w:val="0"/>
                <w:color w:val="auto"/>
                <w:spacing w:val="-6"/>
                <w:kern w:val="21"/>
                <w:sz w:val="21"/>
                <w:szCs w:val="21"/>
                <w:highlight w:val="none"/>
              </w:rPr>
              <w:t>许可排放量</w:t>
            </w:r>
            <w:r>
              <w:rPr>
                <w:rFonts w:hint="default" w:ascii="Times New Roman" w:hAnsi="Times New Roman" w:eastAsia="黑体" w:cs="Times New Roman"/>
                <w:snapToGrid w:val="0"/>
                <w:color w:val="auto"/>
                <w:spacing w:val="-6"/>
                <w:kern w:val="21"/>
                <w:sz w:val="21"/>
                <w:szCs w:val="21"/>
                <w:highlight w:val="none"/>
              </w:rPr>
              <w:fldChar w:fldCharType="begin"/>
            </w:r>
            <w:r>
              <w:rPr>
                <w:rFonts w:hint="default" w:ascii="Times New Roman" w:hAnsi="Times New Roman" w:eastAsia="黑体" w:cs="Times New Roman"/>
                <w:snapToGrid w:val="0"/>
                <w:color w:val="auto"/>
                <w:spacing w:val="-6"/>
                <w:kern w:val="21"/>
                <w:sz w:val="21"/>
                <w:szCs w:val="21"/>
                <w:highlight w:val="none"/>
              </w:rPr>
              <w:instrText xml:space="preserve"> = 2 \* GB3 \* MERGEFORMAT </w:instrText>
            </w:r>
            <w:r>
              <w:rPr>
                <w:rFonts w:hint="default" w:ascii="Times New Roman" w:hAnsi="Times New Roman" w:eastAsia="黑体" w:cs="Times New Roman"/>
                <w:snapToGrid w:val="0"/>
                <w:color w:val="auto"/>
                <w:spacing w:val="-6"/>
                <w:kern w:val="21"/>
                <w:sz w:val="21"/>
                <w:szCs w:val="21"/>
                <w:highlight w:val="none"/>
              </w:rPr>
              <w:fldChar w:fldCharType="separate"/>
            </w:r>
            <w:r>
              <w:rPr>
                <w:rFonts w:hint="default" w:ascii="Times New Roman" w:hAnsi="黑体" w:eastAsia="黑体" w:cs="Times New Roman"/>
                <w:snapToGrid w:val="0"/>
                <w:color w:val="auto"/>
                <w:spacing w:val="-6"/>
                <w:kern w:val="21"/>
                <w:sz w:val="21"/>
                <w:szCs w:val="21"/>
                <w:highlight w:val="none"/>
              </w:rPr>
              <w:t>②</w:t>
            </w:r>
            <w:r>
              <w:rPr>
                <w:rFonts w:hint="default" w:ascii="Times New Roman" w:hAnsi="Times New Roman" w:eastAsia="黑体" w:cs="Times New Roman"/>
                <w:snapToGrid w:val="0"/>
                <w:color w:val="auto"/>
                <w:spacing w:val="-6"/>
                <w:kern w:val="21"/>
                <w:sz w:val="21"/>
                <w:szCs w:val="21"/>
                <w:highlight w:val="none"/>
              </w:rPr>
              <w:fldChar w:fldCharType="end"/>
            </w:r>
          </w:p>
        </w:tc>
        <w:tc>
          <w:tcPr>
            <w:tcW w:w="491" w:type="pct"/>
            <w:tcBorders>
              <w:top w:val="single" w:color="auto" w:sz="4" w:space="0"/>
              <w:bottom w:val="single" w:color="auto" w:sz="4" w:space="0"/>
            </w:tcBorders>
            <w:tcMar>
              <w:left w:w="28" w:type="dxa"/>
              <w:right w:w="28" w:type="dxa"/>
            </w:tcMar>
            <w:vAlign w:val="center"/>
          </w:tcPr>
          <w:p w14:paraId="011FB4ED">
            <w:pPr>
              <w:keepNext w:val="0"/>
              <w:keepLines w:val="0"/>
              <w:widowControl/>
              <w:suppressLineNumbers w:val="0"/>
              <w:spacing w:before="0" w:beforeAutospacing="0" w:after="0" w:afterAutospacing="0"/>
              <w:ind w:left="0" w:right="0"/>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黑体" w:eastAsia="黑体" w:cs="Times New Roman"/>
                <w:snapToGrid w:val="0"/>
                <w:color w:val="auto"/>
                <w:spacing w:val="-6"/>
                <w:kern w:val="21"/>
                <w:sz w:val="21"/>
                <w:szCs w:val="21"/>
                <w:highlight w:val="none"/>
              </w:rPr>
              <w:t>在建工程</w:t>
            </w:r>
          </w:p>
          <w:p w14:paraId="4749CD72">
            <w:pPr>
              <w:keepNext w:val="0"/>
              <w:keepLines w:val="0"/>
              <w:widowControl/>
              <w:suppressLineNumbers w:val="0"/>
              <w:spacing w:before="0" w:beforeAutospacing="0" w:after="0" w:afterAutospacing="0"/>
              <w:ind w:left="0" w:right="0"/>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黑体" w:eastAsia="黑体" w:cs="Times New Roman"/>
                <w:snapToGrid w:val="0"/>
                <w:color w:val="auto"/>
                <w:spacing w:val="-6"/>
                <w:kern w:val="21"/>
                <w:sz w:val="21"/>
                <w:szCs w:val="21"/>
                <w:highlight w:val="none"/>
              </w:rPr>
              <w:t>排放量（固体废物产生量）</w:t>
            </w:r>
            <w:r>
              <w:rPr>
                <w:rFonts w:hint="default" w:ascii="Times New Roman" w:hAnsi="Times New Roman" w:eastAsia="黑体" w:cs="Times New Roman"/>
                <w:snapToGrid w:val="0"/>
                <w:color w:val="auto"/>
                <w:spacing w:val="-6"/>
                <w:kern w:val="21"/>
                <w:sz w:val="21"/>
                <w:szCs w:val="21"/>
                <w:highlight w:val="none"/>
              </w:rPr>
              <w:fldChar w:fldCharType="begin"/>
            </w:r>
            <w:r>
              <w:rPr>
                <w:rFonts w:hint="default" w:ascii="Times New Roman" w:hAnsi="Times New Roman" w:eastAsia="黑体" w:cs="Times New Roman"/>
                <w:snapToGrid w:val="0"/>
                <w:color w:val="auto"/>
                <w:spacing w:val="-6"/>
                <w:kern w:val="21"/>
                <w:sz w:val="21"/>
                <w:szCs w:val="21"/>
                <w:highlight w:val="none"/>
              </w:rPr>
              <w:instrText xml:space="preserve"> = 3 \* GB3 \* MERGEFORMAT </w:instrText>
            </w:r>
            <w:r>
              <w:rPr>
                <w:rFonts w:hint="default" w:ascii="Times New Roman" w:hAnsi="Times New Roman" w:eastAsia="黑体" w:cs="Times New Roman"/>
                <w:snapToGrid w:val="0"/>
                <w:color w:val="auto"/>
                <w:spacing w:val="-6"/>
                <w:kern w:val="21"/>
                <w:sz w:val="21"/>
                <w:szCs w:val="21"/>
                <w:highlight w:val="none"/>
              </w:rPr>
              <w:fldChar w:fldCharType="separate"/>
            </w:r>
            <w:r>
              <w:rPr>
                <w:rFonts w:hint="default" w:ascii="Times New Roman" w:hAnsi="黑体" w:eastAsia="黑体" w:cs="Times New Roman"/>
                <w:color w:val="auto"/>
                <w:kern w:val="2"/>
                <w:sz w:val="21"/>
                <w:szCs w:val="21"/>
                <w:highlight w:val="none"/>
              </w:rPr>
              <w:t>③</w:t>
            </w:r>
            <w:r>
              <w:rPr>
                <w:rFonts w:hint="default" w:ascii="Times New Roman" w:hAnsi="Times New Roman" w:eastAsia="黑体" w:cs="Times New Roman"/>
                <w:snapToGrid w:val="0"/>
                <w:color w:val="auto"/>
                <w:spacing w:val="-6"/>
                <w:kern w:val="21"/>
                <w:sz w:val="21"/>
                <w:szCs w:val="21"/>
                <w:highlight w:val="none"/>
              </w:rPr>
              <w:fldChar w:fldCharType="end"/>
            </w:r>
          </w:p>
        </w:tc>
        <w:tc>
          <w:tcPr>
            <w:tcW w:w="560" w:type="pct"/>
            <w:tcBorders>
              <w:top w:val="single" w:color="auto" w:sz="4" w:space="0"/>
              <w:bottom w:val="single" w:color="auto" w:sz="4" w:space="0"/>
            </w:tcBorders>
            <w:tcMar>
              <w:left w:w="28" w:type="dxa"/>
              <w:right w:w="28" w:type="dxa"/>
            </w:tcMar>
            <w:vAlign w:val="center"/>
          </w:tcPr>
          <w:p w14:paraId="2313F464">
            <w:pPr>
              <w:keepNext w:val="0"/>
              <w:keepLines w:val="0"/>
              <w:widowControl/>
              <w:suppressLineNumbers w:val="0"/>
              <w:spacing w:before="0" w:beforeAutospacing="0" w:after="0" w:afterAutospacing="0"/>
              <w:ind w:left="0" w:right="0"/>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黑体" w:eastAsia="黑体" w:cs="Times New Roman"/>
                <w:snapToGrid w:val="0"/>
                <w:color w:val="auto"/>
                <w:spacing w:val="-6"/>
                <w:kern w:val="21"/>
                <w:sz w:val="21"/>
                <w:szCs w:val="21"/>
                <w:highlight w:val="none"/>
              </w:rPr>
              <w:t>本项目</w:t>
            </w:r>
          </w:p>
          <w:p w14:paraId="455D357F">
            <w:pPr>
              <w:keepNext w:val="0"/>
              <w:keepLines w:val="0"/>
              <w:widowControl/>
              <w:suppressLineNumbers w:val="0"/>
              <w:spacing w:before="0" w:beforeAutospacing="0" w:after="0" w:afterAutospacing="0"/>
              <w:ind w:left="0" w:right="0"/>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黑体" w:eastAsia="黑体" w:cs="Times New Roman"/>
                <w:snapToGrid w:val="0"/>
                <w:color w:val="auto"/>
                <w:spacing w:val="-6"/>
                <w:kern w:val="21"/>
                <w:sz w:val="21"/>
                <w:szCs w:val="21"/>
                <w:highlight w:val="none"/>
              </w:rPr>
              <w:t>排放量（固体废物产生量）</w:t>
            </w:r>
            <w:r>
              <w:rPr>
                <w:rFonts w:hint="default" w:ascii="Times New Roman" w:hAnsi="Times New Roman" w:eastAsia="黑体" w:cs="Times New Roman"/>
                <w:snapToGrid w:val="0"/>
                <w:color w:val="auto"/>
                <w:spacing w:val="-6"/>
                <w:kern w:val="21"/>
                <w:sz w:val="21"/>
                <w:szCs w:val="21"/>
                <w:highlight w:val="none"/>
              </w:rPr>
              <w:fldChar w:fldCharType="begin"/>
            </w:r>
            <w:r>
              <w:rPr>
                <w:rFonts w:hint="default" w:ascii="Times New Roman" w:hAnsi="Times New Roman" w:eastAsia="黑体" w:cs="Times New Roman"/>
                <w:snapToGrid w:val="0"/>
                <w:color w:val="auto"/>
                <w:spacing w:val="-6"/>
                <w:kern w:val="21"/>
                <w:sz w:val="21"/>
                <w:szCs w:val="21"/>
                <w:highlight w:val="none"/>
              </w:rPr>
              <w:instrText xml:space="preserve"> = 4 \* GB3 \* MERGEFORMAT </w:instrText>
            </w:r>
            <w:r>
              <w:rPr>
                <w:rFonts w:hint="default" w:ascii="Times New Roman" w:hAnsi="Times New Roman" w:eastAsia="黑体" w:cs="Times New Roman"/>
                <w:snapToGrid w:val="0"/>
                <w:color w:val="auto"/>
                <w:spacing w:val="-6"/>
                <w:kern w:val="21"/>
                <w:sz w:val="21"/>
                <w:szCs w:val="21"/>
                <w:highlight w:val="none"/>
              </w:rPr>
              <w:fldChar w:fldCharType="separate"/>
            </w:r>
            <w:r>
              <w:rPr>
                <w:rFonts w:hint="default" w:ascii="Times New Roman" w:hAnsi="黑体" w:eastAsia="黑体" w:cs="Times New Roman"/>
                <w:color w:val="auto"/>
                <w:kern w:val="2"/>
                <w:sz w:val="21"/>
                <w:szCs w:val="21"/>
                <w:highlight w:val="none"/>
              </w:rPr>
              <w:t>④</w:t>
            </w:r>
            <w:r>
              <w:rPr>
                <w:rFonts w:hint="default" w:ascii="Times New Roman" w:hAnsi="Times New Roman" w:eastAsia="黑体" w:cs="Times New Roman"/>
                <w:snapToGrid w:val="0"/>
                <w:color w:val="auto"/>
                <w:spacing w:val="-6"/>
                <w:kern w:val="21"/>
                <w:sz w:val="21"/>
                <w:szCs w:val="21"/>
                <w:highlight w:val="none"/>
              </w:rPr>
              <w:fldChar w:fldCharType="end"/>
            </w:r>
          </w:p>
        </w:tc>
        <w:tc>
          <w:tcPr>
            <w:tcW w:w="446" w:type="pct"/>
            <w:tcBorders>
              <w:top w:val="single" w:color="auto" w:sz="4" w:space="0"/>
              <w:bottom w:val="single" w:color="auto" w:sz="4" w:space="0"/>
            </w:tcBorders>
            <w:tcMar>
              <w:left w:w="28" w:type="dxa"/>
              <w:right w:w="28" w:type="dxa"/>
            </w:tcMar>
            <w:vAlign w:val="center"/>
          </w:tcPr>
          <w:p w14:paraId="394E4544">
            <w:pPr>
              <w:keepNext w:val="0"/>
              <w:keepLines w:val="0"/>
              <w:widowControl/>
              <w:suppressLineNumbers w:val="0"/>
              <w:spacing w:before="0" w:beforeAutospacing="0" w:after="0" w:afterAutospacing="0"/>
              <w:ind w:left="0" w:right="0"/>
              <w:jc w:val="center"/>
              <w:rPr>
                <w:rFonts w:hint="default" w:ascii="Times New Roman" w:hAnsi="Times New Roman" w:eastAsia="黑体" w:cs="Times New Roman"/>
                <w:snapToGrid w:val="0"/>
                <w:color w:val="auto"/>
                <w:spacing w:val="-16"/>
                <w:kern w:val="21"/>
                <w:sz w:val="21"/>
                <w:szCs w:val="21"/>
                <w:highlight w:val="none"/>
              </w:rPr>
            </w:pPr>
            <w:r>
              <w:rPr>
                <w:rFonts w:hint="default" w:ascii="Times New Roman" w:hAnsi="黑体" w:eastAsia="黑体" w:cs="Times New Roman"/>
                <w:snapToGrid w:val="0"/>
                <w:color w:val="auto"/>
                <w:spacing w:val="-16"/>
                <w:kern w:val="21"/>
                <w:sz w:val="21"/>
                <w:szCs w:val="21"/>
                <w:highlight w:val="none"/>
              </w:rPr>
              <w:t>以新带老削减量（新建项目不填）</w:t>
            </w:r>
            <w:r>
              <w:rPr>
                <w:rFonts w:hint="default" w:ascii="Times New Roman" w:hAnsi="Times New Roman" w:eastAsia="黑体" w:cs="Times New Roman"/>
                <w:snapToGrid w:val="0"/>
                <w:color w:val="auto"/>
                <w:spacing w:val="-16"/>
                <w:kern w:val="21"/>
                <w:sz w:val="21"/>
                <w:szCs w:val="21"/>
                <w:highlight w:val="none"/>
              </w:rPr>
              <w:fldChar w:fldCharType="begin"/>
            </w:r>
            <w:r>
              <w:rPr>
                <w:rFonts w:hint="default" w:ascii="Times New Roman" w:hAnsi="Times New Roman" w:eastAsia="黑体" w:cs="Times New Roman"/>
                <w:snapToGrid w:val="0"/>
                <w:color w:val="auto"/>
                <w:spacing w:val="-16"/>
                <w:kern w:val="21"/>
                <w:sz w:val="21"/>
                <w:szCs w:val="21"/>
                <w:highlight w:val="none"/>
              </w:rPr>
              <w:instrText xml:space="preserve"> = 5 \* GB3 \* MERGEFORMAT </w:instrText>
            </w:r>
            <w:r>
              <w:rPr>
                <w:rFonts w:hint="default" w:ascii="Times New Roman" w:hAnsi="Times New Roman" w:eastAsia="黑体" w:cs="Times New Roman"/>
                <w:snapToGrid w:val="0"/>
                <w:color w:val="auto"/>
                <w:spacing w:val="-16"/>
                <w:kern w:val="21"/>
                <w:sz w:val="21"/>
                <w:szCs w:val="21"/>
                <w:highlight w:val="none"/>
              </w:rPr>
              <w:fldChar w:fldCharType="separate"/>
            </w:r>
            <w:r>
              <w:rPr>
                <w:rFonts w:hint="default" w:ascii="Times New Roman" w:hAnsi="黑体" w:eastAsia="黑体" w:cs="Times New Roman"/>
                <w:color w:val="auto"/>
                <w:kern w:val="2"/>
                <w:sz w:val="21"/>
                <w:szCs w:val="21"/>
                <w:highlight w:val="none"/>
              </w:rPr>
              <w:t>⑤</w:t>
            </w:r>
            <w:r>
              <w:rPr>
                <w:rFonts w:hint="default" w:ascii="Times New Roman" w:hAnsi="Times New Roman" w:eastAsia="黑体" w:cs="Times New Roman"/>
                <w:snapToGrid w:val="0"/>
                <w:color w:val="auto"/>
                <w:spacing w:val="-16"/>
                <w:kern w:val="21"/>
                <w:sz w:val="21"/>
                <w:szCs w:val="21"/>
                <w:highlight w:val="none"/>
              </w:rPr>
              <w:fldChar w:fldCharType="end"/>
            </w:r>
          </w:p>
        </w:tc>
        <w:tc>
          <w:tcPr>
            <w:tcW w:w="713" w:type="pct"/>
            <w:tcBorders>
              <w:top w:val="single" w:color="auto" w:sz="4" w:space="0"/>
              <w:bottom w:val="single" w:color="auto" w:sz="4" w:space="0"/>
            </w:tcBorders>
            <w:tcMar>
              <w:left w:w="28" w:type="dxa"/>
              <w:right w:w="28" w:type="dxa"/>
            </w:tcMar>
            <w:vAlign w:val="center"/>
          </w:tcPr>
          <w:p w14:paraId="3F029CF0">
            <w:pPr>
              <w:keepNext w:val="0"/>
              <w:keepLines w:val="0"/>
              <w:widowControl/>
              <w:suppressLineNumbers w:val="0"/>
              <w:spacing w:before="0" w:beforeAutospacing="0" w:after="0" w:afterAutospacing="0"/>
              <w:ind w:left="0" w:right="0"/>
              <w:jc w:val="center"/>
              <w:rPr>
                <w:rFonts w:hint="default" w:ascii="Times New Roman" w:hAnsi="Times New Roman" w:eastAsia="黑体" w:cs="Times New Roman"/>
                <w:snapToGrid w:val="0"/>
                <w:color w:val="auto"/>
                <w:spacing w:val="-16"/>
                <w:kern w:val="21"/>
                <w:sz w:val="21"/>
                <w:szCs w:val="21"/>
                <w:highlight w:val="none"/>
              </w:rPr>
            </w:pPr>
            <w:r>
              <w:rPr>
                <w:rFonts w:hint="default" w:ascii="Times New Roman" w:hAnsi="黑体" w:eastAsia="黑体" w:cs="Times New Roman"/>
                <w:snapToGrid w:val="0"/>
                <w:color w:val="auto"/>
                <w:spacing w:val="-16"/>
                <w:kern w:val="21"/>
                <w:sz w:val="21"/>
                <w:szCs w:val="21"/>
                <w:highlight w:val="none"/>
              </w:rPr>
              <w:t>本项目建成后</w:t>
            </w:r>
          </w:p>
          <w:p w14:paraId="120DADFB">
            <w:pPr>
              <w:keepNext w:val="0"/>
              <w:keepLines w:val="0"/>
              <w:widowControl/>
              <w:suppressLineNumbers w:val="0"/>
              <w:spacing w:before="0" w:beforeAutospacing="0" w:after="0" w:afterAutospacing="0"/>
              <w:ind w:left="0" w:right="0"/>
              <w:jc w:val="center"/>
              <w:rPr>
                <w:rFonts w:hint="default" w:ascii="Times New Roman" w:hAnsi="Times New Roman" w:eastAsia="黑体" w:cs="Times New Roman"/>
                <w:snapToGrid w:val="0"/>
                <w:color w:val="auto"/>
                <w:spacing w:val="-16"/>
                <w:kern w:val="21"/>
                <w:sz w:val="21"/>
                <w:szCs w:val="21"/>
                <w:highlight w:val="none"/>
              </w:rPr>
            </w:pPr>
            <w:r>
              <w:rPr>
                <w:rFonts w:hint="default" w:ascii="Times New Roman" w:hAnsi="黑体" w:eastAsia="黑体" w:cs="Times New Roman"/>
                <w:snapToGrid w:val="0"/>
                <w:color w:val="auto"/>
                <w:spacing w:val="-16"/>
                <w:kern w:val="21"/>
                <w:sz w:val="21"/>
                <w:szCs w:val="21"/>
                <w:highlight w:val="none"/>
              </w:rPr>
              <w:t>全厂排放量（固体废物产生量）</w:t>
            </w:r>
            <w:r>
              <w:rPr>
                <w:rFonts w:hint="default" w:ascii="Times New Roman" w:hAnsi="Times New Roman" w:eastAsia="黑体" w:cs="Times New Roman"/>
                <w:snapToGrid w:val="0"/>
                <w:color w:val="auto"/>
                <w:spacing w:val="-16"/>
                <w:kern w:val="21"/>
                <w:sz w:val="21"/>
                <w:szCs w:val="21"/>
                <w:highlight w:val="none"/>
              </w:rPr>
              <w:fldChar w:fldCharType="begin"/>
            </w:r>
            <w:r>
              <w:rPr>
                <w:rFonts w:hint="default" w:ascii="Times New Roman" w:hAnsi="Times New Roman" w:eastAsia="黑体" w:cs="Times New Roman"/>
                <w:snapToGrid w:val="0"/>
                <w:color w:val="auto"/>
                <w:spacing w:val="-16"/>
                <w:kern w:val="21"/>
                <w:sz w:val="21"/>
                <w:szCs w:val="21"/>
                <w:highlight w:val="none"/>
              </w:rPr>
              <w:instrText xml:space="preserve"> = 6 \* GB3 \* MERGEFORMAT </w:instrText>
            </w:r>
            <w:r>
              <w:rPr>
                <w:rFonts w:hint="default" w:ascii="Times New Roman" w:hAnsi="Times New Roman" w:eastAsia="黑体" w:cs="Times New Roman"/>
                <w:snapToGrid w:val="0"/>
                <w:color w:val="auto"/>
                <w:spacing w:val="-16"/>
                <w:kern w:val="21"/>
                <w:sz w:val="21"/>
                <w:szCs w:val="21"/>
                <w:highlight w:val="none"/>
              </w:rPr>
              <w:fldChar w:fldCharType="separate"/>
            </w:r>
            <w:r>
              <w:rPr>
                <w:rFonts w:hint="default" w:ascii="Times New Roman" w:hAnsi="黑体" w:eastAsia="黑体" w:cs="Times New Roman"/>
                <w:color w:val="auto"/>
                <w:kern w:val="2"/>
                <w:sz w:val="21"/>
                <w:szCs w:val="21"/>
                <w:highlight w:val="none"/>
              </w:rPr>
              <w:t>⑥</w:t>
            </w:r>
            <w:r>
              <w:rPr>
                <w:rFonts w:hint="default" w:ascii="Times New Roman" w:hAnsi="Times New Roman" w:eastAsia="黑体" w:cs="Times New Roman"/>
                <w:snapToGrid w:val="0"/>
                <w:color w:val="auto"/>
                <w:spacing w:val="-16"/>
                <w:kern w:val="21"/>
                <w:sz w:val="21"/>
                <w:szCs w:val="21"/>
                <w:highlight w:val="none"/>
              </w:rPr>
              <w:fldChar w:fldCharType="end"/>
            </w:r>
          </w:p>
        </w:tc>
        <w:tc>
          <w:tcPr>
            <w:tcW w:w="611" w:type="pct"/>
            <w:tcBorders>
              <w:top w:val="single" w:color="auto" w:sz="4" w:space="0"/>
              <w:bottom w:val="single" w:color="auto" w:sz="4" w:space="0"/>
              <w:right w:val="single" w:color="auto" w:sz="4" w:space="0"/>
            </w:tcBorders>
            <w:tcMar>
              <w:left w:w="28" w:type="dxa"/>
              <w:right w:w="28" w:type="dxa"/>
            </w:tcMar>
            <w:vAlign w:val="center"/>
          </w:tcPr>
          <w:p w14:paraId="708BBDBC">
            <w:pPr>
              <w:keepNext w:val="0"/>
              <w:keepLines w:val="0"/>
              <w:widowControl/>
              <w:suppressLineNumbers w:val="0"/>
              <w:spacing w:before="0" w:beforeAutospacing="0" w:after="0" w:afterAutospacing="0"/>
              <w:ind w:left="0" w:right="0"/>
              <w:jc w:val="center"/>
              <w:rPr>
                <w:rFonts w:hint="default" w:ascii="Times New Roman" w:hAnsi="Times New Roman" w:eastAsia="黑体" w:cs="Times New Roman"/>
                <w:snapToGrid w:val="0"/>
                <w:color w:val="auto"/>
                <w:spacing w:val="-6"/>
                <w:kern w:val="21"/>
                <w:sz w:val="21"/>
                <w:szCs w:val="21"/>
                <w:highlight w:val="none"/>
              </w:rPr>
            </w:pPr>
            <w:r>
              <w:rPr>
                <w:rFonts w:hint="default" w:ascii="Times New Roman" w:hAnsi="黑体" w:eastAsia="黑体" w:cs="Times New Roman"/>
                <w:snapToGrid w:val="0"/>
                <w:color w:val="auto"/>
                <w:spacing w:val="-6"/>
                <w:kern w:val="21"/>
                <w:sz w:val="21"/>
                <w:szCs w:val="21"/>
                <w:highlight w:val="none"/>
              </w:rPr>
              <w:t>变化量</w:t>
            </w:r>
            <w:r>
              <w:rPr>
                <w:rFonts w:hint="default" w:ascii="Times New Roman" w:hAnsi="Times New Roman" w:eastAsia="黑体" w:cs="Times New Roman"/>
                <w:snapToGrid w:val="0"/>
                <w:color w:val="auto"/>
                <w:spacing w:val="-6"/>
                <w:kern w:val="21"/>
                <w:sz w:val="21"/>
                <w:szCs w:val="21"/>
                <w:highlight w:val="none"/>
              </w:rPr>
              <w:fldChar w:fldCharType="begin"/>
            </w:r>
            <w:r>
              <w:rPr>
                <w:rFonts w:hint="default" w:ascii="Times New Roman" w:hAnsi="Times New Roman" w:eastAsia="黑体" w:cs="Times New Roman"/>
                <w:snapToGrid w:val="0"/>
                <w:color w:val="auto"/>
                <w:spacing w:val="-6"/>
                <w:kern w:val="21"/>
                <w:sz w:val="21"/>
                <w:szCs w:val="21"/>
                <w:highlight w:val="none"/>
              </w:rPr>
              <w:instrText xml:space="preserve"> = 7 \* GB3 \* MERGEFORMAT </w:instrText>
            </w:r>
            <w:r>
              <w:rPr>
                <w:rFonts w:hint="default" w:ascii="Times New Roman" w:hAnsi="Times New Roman" w:eastAsia="黑体" w:cs="Times New Roman"/>
                <w:snapToGrid w:val="0"/>
                <w:color w:val="auto"/>
                <w:spacing w:val="-6"/>
                <w:kern w:val="21"/>
                <w:sz w:val="21"/>
                <w:szCs w:val="21"/>
                <w:highlight w:val="none"/>
              </w:rPr>
              <w:fldChar w:fldCharType="separate"/>
            </w:r>
            <w:r>
              <w:rPr>
                <w:rFonts w:hint="default" w:ascii="Times New Roman" w:hAnsi="黑体" w:eastAsia="黑体" w:cs="Times New Roman"/>
                <w:color w:val="auto"/>
                <w:kern w:val="2"/>
                <w:sz w:val="21"/>
                <w:szCs w:val="21"/>
                <w:highlight w:val="none"/>
              </w:rPr>
              <w:t>⑦</w:t>
            </w:r>
            <w:r>
              <w:rPr>
                <w:rFonts w:hint="default" w:ascii="Times New Roman" w:hAnsi="Times New Roman" w:eastAsia="黑体" w:cs="Times New Roman"/>
                <w:snapToGrid w:val="0"/>
                <w:color w:val="auto"/>
                <w:spacing w:val="-6"/>
                <w:kern w:val="21"/>
                <w:sz w:val="21"/>
                <w:szCs w:val="21"/>
                <w:highlight w:val="none"/>
              </w:rPr>
              <w:fldChar w:fldCharType="end"/>
            </w:r>
          </w:p>
        </w:tc>
      </w:tr>
      <w:tr w14:paraId="7B5D14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top w:val="single" w:color="auto" w:sz="4" w:space="0"/>
              <w:left w:val="single" w:color="auto" w:sz="4" w:space="0"/>
            </w:tcBorders>
            <w:vAlign w:val="center"/>
          </w:tcPr>
          <w:p w14:paraId="71B37A0B">
            <w:pPr>
              <w:keepNext w:val="0"/>
              <w:keepLines w:val="0"/>
              <w:widowControl/>
              <w:suppressLineNumbers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rPr>
            </w:pPr>
            <w:r>
              <w:rPr>
                <w:rFonts w:hint="default" w:ascii="Times New Roman" w:cs="Times New Roman"/>
                <w:snapToGrid w:val="0"/>
                <w:color w:val="auto"/>
                <w:kern w:val="21"/>
                <w:sz w:val="21"/>
                <w:szCs w:val="21"/>
                <w:highlight w:val="none"/>
              </w:rPr>
              <w:t>废气</w:t>
            </w:r>
          </w:p>
        </w:tc>
        <w:tc>
          <w:tcPr>
            <w:tcW w:w="769" w:type="pct"/>
            <w:tcBorders>
              <w:top w:val="single" w:color="auto" w:sz="4" w:space="0"/>
            </w:tcBorders>
            <w:vAlign w:val="center"/>
          </w:tcPr>
          <w:p w14:paraId="131BE3E9">
            <w:pPr>
              <w:keepNext w:val="0"/>
              <w:keepLines w:val="0"/>
              <w:widowControl/>
              <w:suppressLineNumbers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rPr>
            </w:pPr>
            <w:r>
              <w:rPr>
                <w:rFonts w:hint="eastAsia" w:ascii="Times New Roman" w:hAnsi="Times New Roman" w:cs="Times New Roman"/>
                <w:snapToGrid w:val="0"/>
                <w:color w:val="auto"/>
                <w:kern w:val="21"/>
                <w:sz w:val="21"/>
                <w:szCs w:val="21"/>
                <w:highlight w:val="none"/>
              </w:rPr>
              <w:t>非甲烷总烃</w:t>
            </w:r>
          </w:p>
        </w:tc>
        <w:tc>
          <w:tcPr>
            <w:tcW w:w="535" w:type="pct"/>
            <w:tcBorders>
              <w:top w:val="single" w:color="auto" w:sz="4" w:space="0"/>
              <w:bottom w:val="single" w:color="auto" w:sz="4" w:space="0"/>
            </w:tcBorders>
            <w:vAlign w:val="center"/>
          </w:tcPr>
          <w:p w14:paraId="45C45A66">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0.</w:t>
            </w:r>
            <w:r>
              <w:rPr>
                <w:rFonts w:hint="eastAsia" w:ascii="Times New Roman" w:hAnsi="Times New Roman" w:cs="Times New Roman"/>
                <w:color w:val="auto"/>
                <w:kern w:val="2"/>
                <w:sz w:val="21"/>
                <w:szCs w:val="21"/>
                <w:highlight w:val="none"/>
                <w:lang w:val="en-US" w:eastAsia="zh-CN"/>
              </w:rPr>
              <w:t>12</w:t>
            </w:r>
            <w:r>
              <w:rPr>
                <w:rFonts w:hint="eastAsia" w:ascii="Times New Roman" w:hAnsi="Times New Roman" w:cs="Times New Roman"/>
                <w:color w:val="auto"/>
                <w:kern w:val="2"/>
                <w:sz w:val="21"/>
                <w:szCs w:val="21"/>
                <w:highlight w:val="none"/>
              </w:rPr>
              <w:t>t/a</w:t>
            </w:r>
          </w:p>
        </w:tc>
        <w:tc>
          <w:tcPr>
            <w:tcW w:w="382" w:type="pct"/>
            <w:tcBorders>
              <w:top w:val="single" w:color="auto" w:sz="4" w:space="0"/>
              <w:bottom w:val="single" w:color="auto" w:sz="4" w:space="0"/>
            </w:tcBorders>
            <w:vAlign w:val="center"/>
          </w:tcPr>
          <w:p w14:paraId="0A3EF566">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0.454t/a</w:t>
            </w:r>
          </w:p>
        </w:tc>
        <w:tc>
          <w:tcPr>
            <w:tcW w:w="491" w:type="pct"/>
            <w:tcBorders>
              <w:top w:val="single" w:color="auto" w:sz="4" w:space="0"/>
              <w:bottom w:val="single" w:color="auto" w:sz="4" w:space="0"/>
            </w:tcBorders>
            <w:vAlign w:val="center"/>
          </w:tcPr>
          <w:p w14:paraId="7742C474">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560" w:type="pct"/>
            <w:tcBorders>
              <w:top w:val="single" w:color="auto" w:sz="4" w:space="0"/>
              <w:bottom w:val="single" w:color="auto" w:sz="4" w:space="0"/>
            </w:tcBorders>
            <w:vAlign w:val="center"/>
          </w:tcPr>
          <w:p w14:paraId="5B421F07">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0.</w:t>
            </w:r>
            <w:r>
              <w:rPr>
                <w:rFonts w:hint="eastAsia" w:ascii="Times New Roman" w:hAnsi="Times New Roman" w:cs="Times New Roman"/>
                <w:color w:val="auto"/>
                <w:kern w:val="2"/>
                <w:sz w:val="21"/>
                <w:szCs w:val="21"/>
                <w:highlight w:val="none"/>
                <w:lang w:val="en-US" w:eastAsia="zh-CN"/>
              </w:rPr>
              <w:t>062</w:t>
            </w:r>
            <w:r>
              <w:rPr>
                <w:rFonts w:hint="eastAsia" w:ascii="Times New Roman" w:hAnsi="Times New Roman" w:cs="Times New Roman"/>
                <w:color w:val="auto"/>
                <w:kern w:val="2"/>
                <w:sz w:val="21"/>
                <w:szCs w:val="21"/>
                <w:highlight w:val="none"/>
              </w:rPr>
              <w:t>t/a</w:t>
            </w:r>
          </w:p>
        </w:tc>
        <w:tc>
          <w:tcPr>
            <w:tcW w:w="446" w:type="pct"/>
            <w:tcBorders>
              <w:top w:val="single" w:color="auto" w:sz="4" w:space="0"/>
              <w:bottom w:val="single" w:color="auto" w:sz="4" w:space="0"/>
            </w:tcBorders>
            <w:vAlign w:val="center"/>
          </w:tcPr>
          <w:p w14:paraId="2E93EBDF">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713" w:type="pct"/>
            <w:tcBorders>
              <w:top w:val="single" w:color="auto" w:sz="4" w:space="0"/>
              <w:bottom w:val="single" w:color="auto" w:sz="4" w:space="0"/>
            </w:tcBorders>
            <w:vAlign w:val="center"/>
          </w:tcPr>
          <w:p w14:paraId="667375E8">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0.</w:t>
            </w:r>
            <w:r>
              <w:rPr>
                <w:rFonts w:hint="eastAsia" w:ascii="Times New Roman" w:hAnsi="Times New Roman" w:cs="Times New Roman"/>
                <w:color w:val="auto"/>
                <w:kern w:val="2"/>
                <w:sz w:val="21"/>
                <w:szCs w:val="21"/>
                <w:highlight w:val="none"/>
                <w:lang w:val="en-US" w:eastAsia="zh-CN"/>
              </w:rPr>
              <w:t>182</w:t>
            </w:r>
            <w:r>
              <w:rPr>
                <w:rFonts w:hint="eastAsia" w:ascii="Times New Roman" w:hAnsi="Times New Roman" w:cs="Times New Roman"/>
                <w:color w:val="auto"/>
                <w:kern w:val="2"/>
                <w:sz w:val="21"/>
                <w:szCs w:val="21"/>
                <w:highlight w:val="none"/>
              </w:rPr>
              <w:t>t/a</w:t>
            </w:r>
          </w:p>
        </w:tc>
        <w:tc>
          <w:tcPr>
            <w:tcW w:w="611" w:type="pct"/>
            <w:tcBorders>
              <w:top w:val="single" w:color="auto" w:sz="4" w:space="0"/>
              <w:bottom w:val="single" w:color="auto" w:sz="4" w:space="0"/>
              <w:right w:val="single" w:color="auto" w:sz="4" w:space="0"/>
            </w:tcBorders>
            <w:vAlign w:val="center"/>
          </w:tcPr>
          <w:p w14:paraId="3D944EC3">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+0.</w:t>
            </w:r>
            <w:r>
              <w:rPr>
                <w:rFonts w:hint="eastAsia" w:ascii="Times New Roman" w:hAnsi="Times New Roman" w:cs="Times New Roman"/>
                <w:color w:val="auto"/>
                <w:kern w:val="2"/>
                <w:sz w:val="21"/>
                <w:szCs w:val="21"/>
                <w:highlight w:val="none"/>
                <w:lang w:val="en-US" w:eastAsia="zh-CN"/>
              </w:rPr>
              <w:t>062</w:t>
            </w:r>
            <w:r>
              <w:rPr>
                <w:rFonts w:hint="eastAsia" w:ascii="Times New Roman" w:hAnsi="Times New Roman" w:cs="Times New Roman"/>
                <w:color w:val="auto"/>
                <w:kern w:val="2"/>
                <w:sz w:val="21"/>
                <w:szCs w:val="21"/>
                <w:highlight w:val="none"/>
              </w:rPr>
              <w:t>t/a</w:t>
            </w:r>
          </w:p>
        </w:tc>
      </w:tr>
      <w:tr w14:paraId="20C824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vMerge w:val="restart"/>
            <w:tcBorders>
              <w:top w:val="single" w:color="auto" w:sz="4" w:space="0"/>
              <w:left w:val="single" w:color="auto" w:sz="4" w:space="0"/>
            </w:tcBorders>
            <w:vAlign w:val="center"/>
          </w:tcPr>
          <w:p w14:paraId="1CC01B94">
            <w:pPr>
              <w:keepNext w:val="0"/>
              <w:keepLines w:val="0"/>
              <w:widowControl/>
              <w:suppressLineNumbers w:val="0"/>
              <w:spacing w:before="0" w:beforeAutospacing="0" w:after="0" w:afterAutospacing="0"/>
              <w:ind w:left="0" w:right="0"/>
              <w:jc w:val="center"/>
              <w:rPr>
                <w:rFonts w:hint="default" w:ascii="Times New Roman" w:cs="Times New Roman"/>
                <w:snapToGrid w:val="0"/>
                <w:color w:val="auto"/>
                <w:kern w:val="21"/>
                <w:sz w:val="21"/>
                <w:szCs w:val="21"/>
                <w:highlight w:val="none"/>
              </w:rPr>
            </w:pPr>
            <w:r>
              <w:rPr>
                <w:rFonts w:hint="eastAsia" w:ascii="Times New Roman" w:cs="Times New Roman"/>
                <w:snapToGrid w:val="0"/>
                <w:color w:val="auto"/>
                <w:kern w:val="21"/>
                <w:sz w:val="21"/>
                <w:szCs w:val="21"/>
                <w:highlight w:val="none"/>
              </w:rPr>
              <w:t>废水</w:t>
            </w:r>
          </w:p>
        </w:tc>
        <w:tc>
          <w:tcPr>
            <w:tcW w:w="769" w:type="pct"/>
            <w:tcBorders>
              <w:top w:val="single" w:color="auto" w:sz="4" w:space="0"/>
            </w:tcBorders>
            <w:vAlign w:val="center"/>
          </w:tcPr>
          <w:p w14:paraId="0269B8EA">
            <w:pPr>
              <w:pStyle w:val="77"/>
              <w:keepNext w:val="0"/>
              <w:keepLines w:val="0"/>
              <w:widowControl/>
              <w:suppressLineNumbers w:val="0"/>
              <w:spacing w:before="0" w:beforeAutospacing="0" w:after="0" w:afterAutospacing="0"/>
              <w:ind w:left="0" w:right="0"/>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color w:val="auto"/>
                <w:kern w:val="2"/>
                <w:position w:val="2"/>
                <w:highlight w:val="none"/>
              </w:rPr>
              <w:t>COD</w:t>
            </w:r>
          </w:p>
        </w:tc>
        <w:tc>
          <w:tcPr>
            <w:tcW w:w="535" w:type="pct"/>
            <w:tcBorders>
              <w:top w:val="single" w:color="auto" w:sz="4" w:space="0"/>
              <w:bottom w:val="single" w:color="auto" w:sz="4" w:space="0"/>
            </w:tcBorders>
            <w:vAlign w:val="center"/>
          </w:tcPr>
          <w:p w14:paraId="387A516A">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1.112t/a</w:t>
            </w:r>
          </w:p>
        </w:tc>
        <w:tc>
          <w:tcPr>
            <w:tcW w:w="1015" w:type="dxa"/>
            <w:tcBorders>
              <w:top w:val="single" w:color="auto" w:sz="4" w:space="0"/>
              <w:bottom w:val="single" w:color="auto" w:sz="4" w:space="0"/>
            </w:tcBorders>
            <w:vAlign w:val="center"/>
          </w:tcPr>
          <w:p w14:paraId="51AA6C27">
            <w:pPr>
              <w:keepNext w:val="0"/>
              <w:keepLines w:val="0"/>
              <w:widowControl/>
              <w:suppressLineNumbers w:val="0"/>
              <w:overflowPunct w:val="0"/>
              <w:spacing w:before="0" w:beforeAutospacing="0" w:after="0" w:afterAutospacing="0"/>
              <w:ind w:left="0" w:leftChars="0" w:right="0" w:rightChars="0"/>
              <w:jc w:val="center"/>
              <w:textAlignment w:val="baseline"/>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sz w:val="21"/>
                <w:szCs w:val="21"/>
                <w:highlight w:val="none"/>
              </w:rPr>
              <w:t>1.112t/a</w:t>
            </w:r>
          </w:p>
        </w:tc>
        <w:tc>
          <w:tcPr>
            <w:tcW w:w="491" w:type="pct"/>
            <w:tcBorders>
              <w:top w:val="single" w:color="auto" w:sz="4" w:space="0"/>
              <w:bottom w:val="single" w:color="auto" w:sz="4" w:space="0"/>
            </w:tcBorders>
            <w:vAlign w:val="center"/>
          </w:tcPr>
          <w:p w14:paraId="65D7DD12">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560" w:type="pct"/>
            <w:tcBorders>
              <w:top w:val="single" w:color="auto" w:sz="4" w:space="0"/>
              <w:bottom w:val="single" w:color="auto" w:sz="4" w:space="0"/>
            </w:tcBorders>
            <w:vAlign w:val="center"/>
          </w:tcPr>
          <w:p w14:paraId="1D372140">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446" w:type="pct"/>
            <w:tcBorders>
              <w:top w:val="single" w:color="auto" w:sz="4" w:space="0"/>
              <w:bottom w:val="single" w:color="auto" w:sz="4" w:space="0"/>
            </w:tcBorders>
            <w:vAlign w:val="center"/>
          </w:tcPr>
          <w:p w14:paraId="7E3ADD20">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713" w:type="pct"/>
            <w:tcBorders>
              <w:top w:val="single" w:color="auto" w:sz="4" w:space="0"/>
              <w:bottom w:val="single" w:color="auto" w:sz="4" w:space="0"/>
            </w:tcBorders>
            <w:vAlign w:val="center"/>
          </w:tcPr>
          <w:p w14:paraId="02CFBFC0">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1.112t/a</w:t>
            </w:r>
          </w:p>
        </w:tc>
        <w:tc>
          <w:tcPr>
            <w:tcW w:w="611" w:type="pct"/>
            <w:tcBorders>
              <w:top w:val="single" w:color="auto" w:sz="4" w:space="0"/>
              <w:bottom w:val="single" w:color="auto" w:sz="4" w:space="0"/>
              <w:right w:val="single" w:color="auto" w:sz="4" w:space="0"/>
            </w:tcBorders>
            <w:vAlign w:val="center"/>
          </w:tcPr>
          <w:p w14:paraId="30BF7EAF">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r>
      <w:tr w14:paraId="18BA07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vMerge w:val="continue"/>
            <w:tcBorders>
              <w:left w:val="single" w:color="auto" w:sz="4" w:space="0"/>
            </w:tcBorders>
            <w:vAlign w:val="center"/>
          </w:tcPr>
          <w:p w14:paraId="1392A906">
            <w:pPr>
              <w:keepNext w:val="0"/>
              <w:keepLines w:val="0"/>
              <w:widowControl/>
              <w:suppressLineNumbers w:val="0"/>
              <w:spacing w:before="0" w:beforeAutospacing="0" w:after="0" w:afterAutospacing="0"/>
              <w:ind w:left="0" w:right="0"/>
              <w:jc w:val="center"/>
              <w:rPr>
                <w:rFonts w:hint="default" w:ascii="Times New Roman" w:cs="Times New Roman"/>
                <w:snapToGrid w:val="0"/>
                <w:color w:val="auto"/>
                <w:kern w:val="21"/>
                <w:sz w:val="21"/>
                <w:szCs w:val="21"/>
                <w:highlight w:val="none"/>
              </w:rPr>
            </w:pPr>
          </w:p>
        </w:tc>
        <w:tc>
          <w:tcPr>
            <w:tcW w:w="769" w:type="pct"/>
            <w:tcBorders>
              <w:top w:val="single" w:color="auto" w:sz="4" w:space="0"/>
            </w:tcBorders>
            <w:vAlign w:val="center"/>
          </w:tcPr>
          <w:p w14:paraId="6C390E93">
            <w:pPr>
              <w:pStyle w:val="77"/>
              <w:keepNext w:val="0"/>
              <w:keepLines w:val="0"/>
              <w:widowControl/>
              <w:suppressLineNumbers w:val="0"/>
              <w:spacing w:before="0" w:beforeAutospacing="0" w:after="0" w:afterAutospacing="0"/>
              <w:ind w:left="0" w:right="0"/>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color w:val="auto"/>
                <w:kern w:val="2"/>
                <w:highlight w:val="none"/>
              </w:rPr>
              <w:t>氨氮</w:t>
            </w:r>
          </w:p>
        </w:tc>
        <w:tc>
          <w:tcPr>
            <w:tcW w:w="535" w:type="pct"/>
            <w:tcBorders>
              <w:top w:val="single" w:color="auto" w:sz="4" w:space="0"/>
              <w:bottom w:val="single" w:color="auto" w:sz="4" w:space="0"/>
            </w:tcBorders>
            <w:vAlign w:val="center"/>
          </w:tcPr>
          <w:p w14:paraId="3D22687A">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0.105t/a</w:t>
            </w:r>
          </w:p>
        </w:tc>
        <w:tc>
          <w:tcPr>
            <w:tcW w:w="1015" w:type="dxa"/>
            <w:tcBorders>
              <w:top w:val="single" w:color="auto" w:sz="4" w:space="0"/>
              <w:bottom w:val="single" w:color="auto" w:sz="4" w:space="0"/>
            </w:tcBorders>
            <w:vAlign w:val="center"/>
          </w:tcPr>
          <w:p w14:paraId="20D67038">
            <w:pPr>
              <w:keepNext w:val="0"/>
              <w:keepLines w:val="0"/>
              <w:widowControl/>
              <w:suppressLineNumbers w:val="0"/>
              <w:overflowPunct w:val="0"/>
              <w:spacing w:before="0" w:beforeAutospacing="0" w:after="0" w:afterAutospacing="0"/>
              <w:ind w:left="0" w:leftChars="0" w:right="0" w:rightChars="0"/>
              <w:jc w:val="center"/>
              <w:textAlignment w:val="baseline"/>
              <w:rPr>
                <w:rFonts w:hint="eastAsia" w:ascii="Times New Roman" w:hAnsi="Times New Roman" w:eastAsia="宋体" w:cs="Times New Roman"/>
                <w:color w:val="auto"/>
                <w:kern w:val="2"/>
                <w:sz w:val="21"/>
                <w:szCs w:val="21"/>
                <w:highlight w:val="none"/>
                <w:lang w:eastAsia="zh-CN"/>
              </w:rPr>
            </w:pPr>
            <w:r>
              <w:rPr>
                <w:rFonts w:hint="eastAsia" w:ascii="Times New Roman" w:hAnsi="Times New Roman" w:cs="Times New Roman"/>
                <w:color w:val="auto"/>
                <w:kern w:val="2"/>
                <w:sz w:val="21"/>
                <w:szCs w:val="21"/>
                <w:highlight w:val="none"/>
              </w:rPr>
              <w:t>0.105t/a</w:t>
            </w:r>
          </w:p>
        </w:tc>
        <w:tc>
          <w:tcPr>
            <w:tcW w:w="491" w:type="pct"/>
            <w:tcBorders>
              <w:top w:val="single" w:color="auto" w:sz="4" w:space="0"/>
              <w:bottom w:val="single" w:color="auto" w:sz="4" w:space="0"/>
            </w:tcBorders>
            <w:vAlign w:val="center"/>
          </w:tcPr>
          <w:p w14:paraId="0D7B4E86">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560" w:type="pct"/>
            <w:tcBorders>
              <w:top w:val="single" w:color="auto" w:sz="4" w:space="0"/>
              <w:bottom w:val="single" w:color="auto" w:sz="4" w:space="0"/>
            </w:tcBorders>
            <w:vAlign w:val="center"/>
          </w:tcPr>
          <w:p w14:paraId="6E7E8B52">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446" w:type="pct"/>
            <w:tcBorders>
              <w:top w:val="single" w:color="auto" w:sz="4" w:space="0"/>
              <w:bottom w:val="single" w:color="auto" w:sz="4" w:space="0"/>
            </w:tcBorders>
            <w:vAlign w:val="center"/>
          </w:tcPr>
          <w:p w14:paraId="069DE78C">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713" w:type="pct"/>
            <w:tcBorders>
              <w:top w:val="single" w:color="auto" w:sz="4" w:space="0"/>
              <w:bottom w:val="single" w:color="auto" w:sz="4" w:space="0"/>
            </w:tcBorders>
            <w:vAlign w:val="center"/>
          </w:tcPr>
          <w:p w14:paraId="33F4C3FD">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0.105t/a</w:t>
            </w:r>
          </w:p>
        </w:tc>
        <w:tc>
          <w:tcPr>
            <w:tcW w:w="611" w:type="pct"/>
            <w:tcBorders>
              <w:top w:val="single" w:color="auto" w:sz="4" w:space="0"/>
              <w:bottom w:val="single" w:color="auto" w:sz="4" w:space="0"/>
              <w:right w:val="single" w:color="auto" w:sz="4" w:space="0"/>
            </w:tcBorders>
            <w:vAlign w:val="center"/>
          </w:tcPr>
          <w:p w14:paraId="3F3E8D80">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r>
      <w:tr w14:paraId="4960DD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vMerge w:val="restart"/>
            <w:tcBorders>
              <w:top w:val="single" w:color="auto" w:sz="4" w:space="0"/>
              <w:left w:val="single" w:color="auto" w:sz="4" w:space="0"/>
            </w:tcBorders>
            <w:vAlign w:val="center"/>
          </w:tcPr>
          <w:p w14:paraId="7B5B235E">
            <w:pPr>
              <w:keepNext w:val="0"/>
              <w:keepLines w:val="0"/>
              <w:widowControl/>
              <w:suppressLineNumbers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rPr>
            </w:pPr>
            <w:r>
              <w:rPr>
                <w:rFonts w:hint="default" w:ascii="Times New Roman" w:cs="Times New Roman"/>
                <w:snapToGrid w:val="0"/>
                <w:color w:val="auto"/>
                <w:kern w:val="21"/>
                <w:sz w:val="21"/>
                <w:szCs w:val="21"/>
                <w:highlight w:val="none"/>
              </w:rPr>
              <w:t>一般工业固体废物</w:t>
            </w:r>
          </w:p>
        </w:tc>
        <w:tc>
          <w:tcPr>
            <w:tcW w:w="769" w:type="pct"/>
            <w:tcBorders>
              <w:top w:val="single" w:color="auto" w:sz="4" w:space="0"/>
              <w:bottom w:val="single" w:color="auto" w:sz="4" w:space="0"/>
            </w:tcBorders>
            <w:vAlign w:val="center"/>
          </w:tcPr>
          <w:p w14:paraId="4E1AE365">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rPr>
              <w:t>不合格</w:t>
            </w:r>
            <w:r>
              <w:rPr>
                <w:rFonts w:hint="eastAsia" w:ascii="Times New Roman" w:hAnsi="Times New Roman" w:cs="Times New Roman"/>
                <w:color w:val="auto"/>
                <w:kern w:val="2"/>
                <w:sz w:val="21"/>
                <w:szCs w:val="21"/>
                <w:highlight w:val="none"/>
                <w:lang w:val="en-US" w:eastAsia="zh-CN"/>
              </w:rPr>
              <w:t>产品</w:t>
            </w:r>
          </w:p>
        </w:tc>
        <w:tc>
          <w:tcPr>
            <w:tcW w:w="535" w:type="pct"/>
            <w:tcBorders>
              <w:top w:val="single" w:color="auto" w:sz="4" w:space="0"/>
              <w:bottom w:val="single" w:color="auto" w:sz="4" w:space="0"/>
            </w:tcBorders>
            <w:vAlign w:val="center"/>
          </w:tcPr>
          <w:p w14:paraId="58C21114">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7t/a</w:t>
            </w:r>
          </w:p>
        </w:tc>
        <w:tc>
          <w:tcPr>
            <w:tcW w:w="1015" w:type="dxa"/>
            <w:tcBorders>
              <w:top w:val="single" w:color="auto" w:sz="4" w:space="0"/>
              <w:bottom w:val="single" w:color="auto" w:sz="4" w:space="0"/>
            </w:tcBorders>
            <w:vAlign w:val="center"/>
          </w:tcPr>
          <w:p w14:paraId="11294A81">
            <w:pPr>
              <w:keepNext w:val="0"/>
              <w:keepLines w:val="0"/>
              <w:widowControl/>
              <w:suppressLineNumbers w:val="0"/>
              <w:overflowPunct w:val="0"/>
              <w:spacing w:before="0" w:beforeAutospacing="0" w:after="0" w:afterAutospacing="0"/>
              <w:ind w:left="0" w:leftChars="0" w:right="0" w:rightChars="0"/>
              <w:jc w:val="center"/>
              <w:textAlignment w:val="baseline"/>
              <w:rPr>
                <w:rFonts w:hint="eastAsia" w:ascii="Times New Roman" w:hAnsi="Times New Roman" w:eastAsia="宋体" w:cs="Times New Roman"/>
                <w:color w:val="auto"/>
                <w:kern w:val="2"/>
                <w:sz w:val="21"/>
                <w:szCs w:val="21"/>
                <w:highlight w:val="none"/>
                <w:lang w:eastAsia="zh-CN"/>
              </w:rPr>
            </w:pPr>
            <w:r>
              <w:rPr>
                <w:rFonts w:hint="default" w:ascii="Times New Roman" w:hAnsi="Times New Roman" w:cs="Times New Roman"/>
                <w:color w:val="auto"/>
                <w:kern w:val="2"/>
                <w:sz w:val="21"/>
                <w:szCs w:val="21"/>
                <w:highlight w:val="none"/>
              </w:rPr>
              <w:t>/</w:t>
            </w:r>
          </w:p>
        </w:tc>
        <w:tc>
          <w:tcPr>
            <w:tcW w:w="491" w:type="pct"/>
            <w:tcBorders>
              <w:top w:val="single" w:color="auto" w:sz="4" w:space="0"/>
              <w:bottom w:val="single" w:color="auto" w:sz="4" w:space="0"/>
            </w:tcBorders>
            <w:vAlign w:val="center"/>
          </w:tcPr>
          <w:p w14:paraId="0BC2D772">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560" w:type="pct"/>
            <w:tcBorders>
              <w:top w:val="single" w:color="auto" w:sz="4" w:space="0"/>
              <w:bottom w:val="single" w:color="auto" w:sz="4" w:space="0"/>
            </w:tcBorders>
            <w:vAlign w:val="center"/>
          </w:tcPr>
          <w:p w14:paraId="68C62D61">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1.4</w:t>
            </w:r>
            <w:r>
              <w:rPr>
                <w:rFonts w:hint="default" w:ascii="Times New Roman" w:hAnsi="Times New Roman" w:cs="Times New Roman"/>
                <w:color w:val="auto"/>
                <w:kern w:val="2"/>
                <w:sz w:val="21"/>
                <w:szCs w:val="21"/>
                <w:highlight w:val="none"/>
              </w:rPr>
              <w:t>t/a</w:t>
            </w:r>
          </w:p>
        </w:tc>
        <w:tc>
          <w:tcPr>
            <w:tcW w:w="446" w:type="pct"/>
            <w:tcBorders>
              <w:top w:val="single" w:color="auto" w:sz="4" w:space="0"/>
              <w:bottom w:val="single" w:color="auto" w:sz="4" w:space="0"/>
            </w:tcBorders>
            <w:vAlign w:val="center"/>
          </w:tcPr>
          <w:p w14:paraId="58A99816">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713" w:type="pct"/>
            <w:tcBorders>
              <w:top w:val="single" w:color="auto" w:sz="4" w:space="0"/>
              <w:bottom w:val="single" w:color="auto" w:sz="4" w:space="0"/>
            </w:tcBorders>
            <w:vAlign w:val="center"/>
          </w:tcPr>
          <w:p w14:paraId="00AD0C4A">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8.4</w:t>
            </w:r>
            <w:r>
              <w:rPr>
                <w:rFonts w:hint="default" w:ascii="Times New Roman" w:hAnsi="Times New Roman" w:cs="Times New Roman"/>
                <w:color w:val="auto"/>
                <w:kern w:val="2"/>
                <w:sz w:val="21"/>
                <w:szCs w:val="21"/>
                <w:highlight w:val="none"/>
              </w:rPr>
              <w:t>t/a</w:t>
            </w:r>
          </w:p>
        </w:tc>
        <w:tc>
          <w:tcPr>
            <w:tcW w:w="611" w:type="pct"/>
            <w:tcBorders>
              <w:top w:val="single" w:color="auto" w:sz="4" w:space="0"/>
              <w:bottom w:val="single" w:color="auto" w:sz="4" w:space="0"/>
              <w:right w:val="single" w:color="auto" w:sz="4" w:space="0"/>
            </w:tcBorders>
            <w:vAlign w:val="center"/>
          </w:tcPr>
          <w:p w14:paraId="7776026D">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r>
              <w:rPr>
                <w:rFonts w:hint="eastAsia" w:ascii="Times New Roman" w:hAnsi="Times New Roman" w:cs="Times New Roman"/>
                <w:color w:val="auto"/>
                <w:kern w:val="2"/>
                <w:sz w:val="21"/>
                <w:szCs w:val="21"/>
                <w:highlight w:val="none"/>
              </w:rPr>
              <w:t>1.4</w:t>
            </w:r>
            <w:r>
              <w:rPr>
                <w:rFonts w:hint="default" w:ascii="Times New Roman" w:hAnsi="Times New Roman" w:cs="Times New Roman"/>
                <w:color w:val="auto"/>
                <w:kern w:val="2"/>
                <w:sz w:val="21"/>
                <w:szCs w:val="21"/>
                <w:highlight w:val="none"/>
              </w:rPr>
              <w:t>t/a</w:t>
            </w:r>
          </w:p>
        </w:tc>
      </w:tr>
      <w:tr w14:paraId="3C218A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vMerge w:val="continue"/>
            <w:tcBorders>
              <w:left w:val="single" w:color="auto" w:sz="4" w:space="0"/>
            </w:tcBorders>
            <w:vAlign w:val="center"/>
          </w:tcPr>
          <w:p w14:paraId="0899E2A5">
            <w:pPr>
              <w:keepNext w:val="0"/>
              <w:keepLines w:val="0"/>
              <w:widowControl/>
              <w:suppressLineNumbers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rPr>
            </w:pPr>
          </w:p>
        </w:tc>
        <w:tc>
          <w:tcPr>
            <w:tcW w:w="769" w:type="pct"/>
            <w:tcBorders>
              <w:top w:val="single" w:color="auto" w:sz="4" w:space="0"/>
              <w:bottom w:val="single" w:color="auto" w:sz="4" w:space="0"/>
            </w:tcBorders>
            <w:vAlign w:val="center"/>
          </w:tcPr>
          <w:p w14:paraId="5B9C8325">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废包装材料</w:t>
            </w:r>
          </w:p>
        </w:tc>
        <w:tc>
          <w:tcPr>
            <w:tcW w:w="535" w:type="pct"/>
            <w:tcBorders>
              <w:top w:val="single" w:color="auto" w:sz="4" w:space="0"/>
              <w:bottom w:val="single" w:color="auto" w:sz="4" w:space="0"/>
            </w:tcBorders>
            <w:vAlign w:val="center"/>
          </w:tcPr>
          <w:p w14:paraId="13AADF6B">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3t/a</w:t>
            </w:r>
          </w:p>
        </w:tc>
        <w:tc>
          <w:tcPr>
            <w:tcW w:w="1015" w:type="dxa"/>
            <w:tcBorders>
              <w:top w:val="single" w:color="auto" w:sz="4" w:space="0"/>
              <w:bottom w:val="single" w:color="auto" w:sz="4" w:space="0"/>
            </w:tcBorders>
            <w:vAlign w:val="center"/>
          </w:tcPr>
          <w:p w14:paraId="6BA49735">
            <w:pPr>
              <w:keepNext w:val="0"/>
              <w:keepLines w:val="0"/>
              <w:widowControl/>
              <w:suppressLineNumbers w:val="0"/>
              <w:overflowPunct w:val="0"/>
              <w:spacing w:before="0" w:beforeAutospacing="0" w:after="0" w:afterAutospacing="0"/>
              <w:ind w:left="0" w:leftChars="0" w:right="0" w:rightChars="0"/>
              <w:jc w:val="center"/>
              <w:textAlignment w:val="baseline"/>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491" w:type="pct"/>
            <w:tcBorders>
              <w:top w:val="single" w:color="auto" w:sz="4" w:space="0"/>
              <w:bottom w:val="single" w:color="auto" w:sz="4" w:space="0"/>
            </w:tcBorders>
            <w:vAlign w:val="center"/>
          </w:tcPr>
          <w:p w14:paraId="7297A469">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560" w:type="pct"/>
            <w:tcBorders>
              <w:top w:val="single" w:color="auto" w:sz="4" w:space="0"/>
              <w:bottom w:val="single" w:color="auto" w:sz="4" w:space="0"/>
            </w:tcBorders>
            <w:vAlign w:val="center"/>
          </w:tcPr>
          <w:p w14:paraId="201EAD80">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0.</w:t>
            </w:r>
            <w:r>
              <w:rPr>
                <w:rFonts w:hint="eastAsia" w:ascii="Times New Roman" w:hAnsi="Times New Roman" w:cs="Times New Roman"/>
                <w:color w:val="auto"/>
                <w:kern w:val="2"/>
                <w:sz w:val="21"/>
                <w:szCs w:val="21"/>
                <w:highlight w:val="none"/>
              </w:rPr>
              <w:t>6</w:t>
            </w:r>
            <w:r>
              <w:rPr>
                <w:rFonts w:hint="default" w:ascii="Times New Roman" w:hAnsi="Times New Roman" w:cs="Times New Roman"/>
                <w:color w:val="auto"/>
                <w:kern w:val="2"/>
                <w:sz w:val="21"/>
                <w:szCs w:val="21"/>
                <w:highlight w:val="none"/>
              </w:rPr>
              <w:t>t/a</w:t>
            </w:r>
          </w:p>
        </w:tc>
        <w:tc>
          <w:tcPr>
            <w:tcW w:w="446" w:type="pct"/>
            <w:tcBorders>
              <w:top w:val="single" w:color="auto" w:sz="4" w:space="0"/>
              <w:bottom w:val="single" w:color="auto" w:sz="4" w:space="0"/>
            </w:tcBorders>
            <w:vAlign w:val="center"/>
          </w:tcPr>
          <w:p w14:paraId="5CA91300">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713" w:type="pct"/>
            <w:tcBorders>
              <w:top w:val="single" w:color="auto" w:sz="4" w:space="0"/>
              <w:bottom w:val="single" w:color="auto" w:sz="4" w:space="0"/>
            </w:tcBorders>
            <w:vAlign w:val="center"/>
          </w:tcPr>
          <w:p w14:paraId="04FEC6F2">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3</w:t>
            </w:r>
            <w:r>
              <w:rPr>
                <w:rFonts w:hint="default" w:ascii="Times New Roman" w:hAnsi="Times New Roman" w:cs="Times New Roman"/>
                <w:color w:val="auto"/>
                <w:kern w:val="2"/>
                <w:sz w:val="21"/>
                <w:szCs w:val="21"/>
                <w:highlight w:val="none"/>
              </w:rPr>
              <w:t>.</w:t>
            </w:r>
            <w:r>
              <w:rPr>
                <w:rFonts w:hint="eastAsia" w:ascii="Times New Roman" w:hAnsi="Times New Roman" w:cs="Times New Roman"/>
                <w:color w:val="auto"/>
                <w:kern w:val="2"/>
                <w:sz w:val="21"/>
                <w:szCs w:val="21"/>
                <w:highlight w:val="none"/>
              </w:rPr>
              <w:t>6</w:t>
            </w:r>
            <w:r>
              <w:rPr>
                <w:rFonts w:hint="default" w:ascii="Times New Roman" w:hAnsi="Times New Roman" w:cs="Times New Roman"/>
                <w:color w:val="auto"/>
                <w:kern w:val="2"/>
                <w:sz w:val="21"/>
                <w:szCs w:val="21"/>
                <w:highlight w:val="none"/>
              </w:rPr>
              <w:t>t/a</w:t>
            </w:r>
          </w:p>
        </w:tc>
        <w:tc>
          <w:tcPr>
            <w:tcW w:w="611" w:type="pct"/>
            <w:tcBorders>
              <w:top w:val="single" w:color="auto" w:sz="4" w:space="0"/>
              <w:bottom w:val="single" w:color="auto" w:sz="4" w:space="0"/>
              <w:right w:val="single" w:color="auto" w:sz="4" w:space="0"/>
            </w:tcBorders>
            <w:vAlign w:val="center"/>
          </w:tcPr>
          <w:p w14:paraId="20E2373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+0.</w:t>
            </w:r>
            <w:r>
              <w:rPr>
                <w:rFonts w:hint="eastAsia" w:ascii="Times New Roman" w:hAnsi="Times New Roman" w:cs="Times New Roman"/>
                <w:color w:val="auto"/>
                <w:kern w:val="2"/>
                <w:sz w:val="21"/>
                <w:szCs w:val="21"/>
                <w:highlight w:val="none"/>
              </w:rPr>
              <w:t>6</w:t>
            </w:r>
            <w:r>
              <w:rPr>
                <w:rFonts w:hint="default" w:ascii="Times New Roman" w:hAnsi="Times New Roman" w:cs="Times New Roman"/>
                <w:color w:val="auto"/>
                <w:kern w:val="2"/>
                <w:sz w:val="21"/>
                <w:szCs w:val="21"/>
                <w:highlight w:val="none"/>
              </w:rPr>
              <w:t>t/a</w:t>
            </w:r>
          </w:p>
        </w:tc>
      </w:tr>
      <w:tr w14:paraId="692B0E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vMerge w:val="restart"/>
            <w:tcBorders>
              <w:top w:val="single" w:color="auto" w:sz="4" w:space="0"/>
              <w:left w:val="single" w:color="auto" w:sz="4" w:space="0"/>
            </w:tcBorders>
            <w:vAlign w:val="center"/>
          </w:tcPr>
          <w:p w14:paraId="786029E6">
            <w:pPr>
              <w:keepNext w:val="0"/>
              <w:keepLines w:val="0"/>
              <w:widowControl/>
              <w:suppressLineNumbers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rPr>
            </w:pPr>
            <w:r>
              <w:rPr>
                <w:rFonts w:hint="default" w:ascii="Times New Roman" w:cs="Times New Roman"/>
                <w:snapToGrid w:val="0"/>
                <w:color w:val="auto"/>
                <w:kern w:val="21"/>
                <w:sz w:val="21"/>
                <w:szCs w:val="21"/>
                <w:highlight w:val="none"/>
              </w:rPr>
              <w:t>危险废物</w:t>
            </w:r>
          </w:p>
        </w:tc>
        <w:tc>
          <w:tcPr>
            <w:tcW w:w="769" w:type="pct"/>
            <w:tcBorders>
              <w:top w:val="single" w:color="auto" w:sz="4" w:space="0"/>
              <w:bottom w:val="single" w:color="auto" w:sz="4" w:space="0"/>
            </w:tcBorders>
            <w:vAlign w:val="center"/>
          </w:tcPr>
          <w:p w14:paraId="3C501E41">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废活性炭</w:t>
            </w:r>
          </w:p>
        </w:tc>
        <w:tc>
          <w:tcPr>
            <w:tcW w:w="535" w:type="pct"/>
            <w:tcBorders>
              <w:top w:val="single" w:color="auto" w:sz="4" w:space="0"/>
              <w:bottom w:val="single" w:color="auto" w:sz="4" w:space="0"/>
            </w:tcBorders>
          </w:tcPr>
          <w:p w14:paraId="6677D02A">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2t</w:t>
            </w:r>
            <w:r>
              <w:rPr>
                <w:rFonts w:hint="eastAsia" w:ascii="Times New Roman" w:hAnsi="Times New Roman" w:cs="Times New Roman"/>
                <w:color w:val="auto"/>
                <w:kern w:val="2"/>
                <w:sz w:val="21"/>
                <w:szCs w:val="21"/>
                <w:highlight w:val="none"/>
              </w:rPr>
              <w:t>/a</w:t>
            </w:r>
          </w:p>
        </w:tc>
        <w:tc>
          <w:tcPr>
            <w:tcW w:w="1015" w:type="dxa"/>
            <w:tcBorders>
              <w:top w:val="single" w:color="auto" w:sz="4" w:space="0"/>
              <w:bottom w:val="single" w:color="auto" w:sz="4" w:space="0"/>
            </w:tcBorders>
            <w:vAlign w:val="center"/>
          </w:tcPr>
          <w:p w14:paraId="3D5AC406">
            <w:pPr>
              <w:keepNext w:val="0"/>
              <w:keepLines w:val="0"/>
              <w:widowControl/>
              <w:suppressLineNumbers w:val="0"/>
              <w:overflowPunct w:val="0"/>
              <w:spacing w:before="0" w:beforeAutospacing="0" w:after="0" w:afterAutospacing="0"/>
              <w:ind w:left="0" w:leftChars="0" w:right="0" w:rightChars="0"/>
              <w:jc w:val="center"/>
              <w:textAlignment w:val="baseline"/>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491" w:type="pct"/>
            <w:tcBorders>
              <w:top w:val="single" w:color="auto" w:sz="4" w:space="0"/>
              <w:bottom w:val="single" w:color="auto" w:sz="4" w:space="0"/>
            </w:tcBorders>
            <w:vAlign w:val="center"/>
          </w:tcPr>
          <w:p w14:paraId="7A6532C2">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560" w:type="pct"/>
            <w:tcBorders>
              <w:top w:val="single" w:color="auto" w:sz="4" w:space="0"/>
              <w:bottom w:val="single" w:color="auto" w:sz="4" w:space="0"/>
            </w:tcBorders>
            <w:vAlign w:val="center"/>
          </w:tcPr>
          <w:p w14:paraId="2CC0F55F">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0.4</w:t>
            </w:r>
            <w:r>
              <w:rPr>
                <w:rFonts w:hint="default" w:ascii="Times New Roman" w:hAnsi="Times New Roman" w:cs="Times New Roman"/>
                <w:color w:val="auto"/>
                <w:kern w:val="2"/>
                <w:sz w:val="21"/>
                <w:szCs w:val="21"/>
                <w:highlight w:val="none"/>
              </w:rPr>
              <w:t>t/a</w:t>
            </w:r>
          </w:p>
        </w:tc>
        <w:tc>
          <w:tcPr>
            <w:tcW w:w="446" w:type="pct"/>
            <w:tcBorders>
              <w:top w:val="single" w:color="auto" w:sz="4" w:space="0"/>
              <w:bottom w:val="single" w:color="auto" w:sz="4" w:space="0"/>
            </w:tcBorders>
            <w:vAlign w:val="center"/>
          </w:tcPr>
          <w:p w14:paraId="3A10317C">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713" w:type="pct"/>
            <w:tcBorders>
              <w:top w:val="single" w:color="auto" w:sz="4" w:space="0"/>
              <w:bottom w:val="single" w:color="auto" w:sz="4" w:space="0"/>
            </w:tcBorders>
            <w:vAlign w:val="center"/>
          </w:tcPr>
          <w:p w14:paraId="41859AFF">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2.4</w:t>
            </w:r>
            <w:r>
              <w:rPr>
                <w:rFonts w:hint="default" w:ascii="Times New Roman" w:hAnsi="Times New Roman" w:cs="Times New Roman"/>
                <w:color w:val="auto"/>
                <w:kern w:val="2"/>
                <w:sz w:val="21"/>
                <w:szCs w:val="21"/>
                <w:highlight w:val="none"/>
              </w:rPr>
              <w:t>t/a</w:t>
            </w:r>
          </w:p>
        </w:tc>
        <w:tc>
          <w:tcPr>
            <w:tcW w:w="611" w:type="pct"/>
            <w:tcBorders>
              <w:top w:val="single" w:color="auto" w:sz="4" w:space="0"/>
              <w:bottom w:val="single" w:color="auto" w:sz="4" w:space="0"/>
              <w:right w:val="single" w:color="auto" w:sz="4" w:space="0"/>
            </w:tcBorders>
            <w:shd w:val="clear" w:color="auto" w:fill="auto"/>
            <w:vAlign w:val="center"/>
          </w:tcPr>
          <w:p w14:paraId="38D73989">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r>
              <w:rPr>
                <w:rFonts w:hint="eastAsia" w:ascii="Times New Roman" w:hAnsi="Times New Roman" w:cs="Times New Roman"/>
                <w:color w:val="auto"/>
                <w:kern w:val="2"/>
                <w:sz w:val="21"/>
                <w:szCs w:val="21"/>
                <w:highlight w:val="none"/>
                <w:lang w:val="en-US" w:eastAsia="zh-CN"/>
              </w:rPr>
              <w:t>0.4</w:t>
            </w:r>
            <w:r>
              <w:rPr>
                <w:rFonts w:hint="default" w:ascii="Times New Roman" w:hAnsi="Times New Roman" w:cs="Times New Roman"/>
                <w:color w:val="auto"/>
                <w:kern w:val="2"/>
                <w:sz w:val="21"/>
                <w:szCs w:val="21"/>
                <w:highlight w:val="none"/>
              </w:rPr>
              <w:t>t/a</w:t>
            </w:r>
          </w:p>
        </w:tc>
      </w:tr>
      <w:tr w14:paraId="7718F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vMerge w:val="continue"/>
            <w:tcBorders>
              <w:left w:val="single" w:color="auto" w:sz="4" w:space="0"/>
            </w:tcBorders>
            <w:vAlign w:val="center"/>
          </w:tcPr>
          <w:p w14:paraId="25CAA9D9">
            <w:pPr>
              <w:keepNext w:val="0"/>
              <w:keepLines w:val="0"/>
              <w:widowControl/>
              <w:suppressLineNumbers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rPr>
            </w:pPr>
          </w:p>
        </w:tc>
        <w:tc>
          <w:tcPr>
            <w:tcW w:w="769" w:type="pct"/>
            <w:tcBorders>
              <w:top w:val="single" w:color="auto" w:sz="4" w:space="0"/>
              <w:bottom w:val="single" w:color="auto" w:sz="4" w:space="0"/>
            </w:tcBorders>
            <w:vAlign w:val="center"/>
          </w:tcPr>
          <w:p w14:paraId="7F05C29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废润滑油</w:t>
            </w:r>
          </w:p>
        </w:tc>
        <w:tc>
          <w:tcPr>
            <w:tcW w:w="535" w:type="pct"/>
            <w:tcBorders>
              <w:top w:val="single" w:color="auto" w:sz="4" w:space="0"/>
              <w:bottom w:val="single" w:color="auto" w:sz="4" w:space="0"/>
            </w:tcBorders>
          </w:tcPr>
          <w:p w14:paraId="08125114">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0.01t/a</w:t>
            </w:r>
          </w:p>
        </w:tc>
        <w:tc>
          <w:tcPr>
            <w:tcW w:w="1015" w:type="dxa"/>
            <w:tcBorders>
              <w:top w:val="single" w:color="auto" w:sz="4" w:space="0"/>
              <w:bottom w:val="single" w:color="auto" w:sz="4" w:space="0"/>
            </w:tcBorders>
            <w:vAlign w:val="center"/>
          </w:tcPr>
          <w:p w14:paraId="112449BC">
            <w:pPr>
              <w:keepNext w:val="0"/>
              <w:keepLines w:val="0"/>
              <w:widowControl/>
              <w:suppressLineNumbers w:val="0"/>
              <w:overflowPunct w:val="0"/>
              <w:spacing w:before="0" w:beforeAutospacing="0" w:after="0" w:afterAutospacing="0"/>
              <w:ind w:left="0" w:leftChars="0" w:right="0" w:rightChars="0"/>
              <w:jc w:val="center"/>
              <w:textAlignment w:val="baseline"/>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491" w:type="pct"/>
            <w:tcBorders>
              <w:top w:val="single" w:color="auto" w:sz="4" w:space="0"/>
              <w:bottom w:val="single" w:color="auto" w:sz="4" w:space="0"/>
            </w:tcBorders>
            <w:vAlign w:val="center"/>
          </w:tcPr>
          <w:p w14:paraId="238C75AC">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560" w:type="pct"/>
            <w:tcBorders>
              <w:top w:val="single" w:color="auto" w:sz="4" w:space="0"/>
              <w:bottom w:val="single" w:color="auto" w:sz="4" w:space="0"/>
            </w:tcBorders>
            <w:vAlign w:val="center"/>
          </w:tcPr>
          <w:p w14:paraId="527E3E6E">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0.01</w:t>
            </w:r>
            <w:r>
              <w:rPr>
                <w:rFonts w:hint="default" w:ascii="Times New Roman" w:hAnsi="Times New Roman" w:cs="Times New Roman"/>
                <w:color w:val="auto"/>
                <w:kern w:val="2"/>
                <w:sz w:val="21"/>
                <w:szCs w:val="21"/>
                <w:highlight w:val="none"/>
              </w:rPr>
              <w:t>t/a</w:t>
            </w:r>
          </w:p>
        </w:tc>
        <w:tc>
          <w:tcPr>
            <w:tcW w:w="446" w:type="pct"/>
            <w:tcBorders>
              <w:top w:val="single" w:color="auto" w:sz="4" w:space="0"/>
              <w:bottom w:val="single" w:color="auto" w:sz="4" w:space="0"/>
            </w:tcBorders>
            <w:vAlign w:val="center"/>
          </w:tcPr>
          <w:p w14:paraId="24B3560A">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p>
        </w:tc>
        <w:tc>
          <w:tcPr>
            <w:tcW w:w="713" w:type="pct"/>
            <w:tcBorders>
              <w:top w:val="single" w:color="auto" w:sz="4" w:space="0"/>
              <w:bottom w:val="single" w:color="auto" w:sz="4" w:space="0"/>
            </w:tcBorders>
            <w:vAlign w:val="center"/>
          </w:tcPr>
          <w:p w14:paraId="4C1E805B">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0.0</w:t>
            </w:r>
            <w:r>
              <w:rPr>
                <w:rFonts w:hint="eastAsia" w:ascii="Times New Roman" w:hAnsi="Times New Roman" w:cs="Times New Roman"/>
                <w:color w:val="auto"/>
                <w:kern w:val="2"/>
                <w:sz w:val="21"/>
                <w:szCs w:val="21"/>
                <w:highlight w:val="none"/>
              </w:rPr>
              <w:t>2</w:t>
            </w:r>
            <w:r>
              <w:rPr>
                <w:rFonts w:hint="default" w:ascii="Times New Roman" w:hAnsi="Times New Roman" w:cs="Times New Roman"/>
                <w:color w:val="auto"/>
                <w:kern w:val="2"/>
                <w:sz w:val="21"/>
                <w:szCs w:val="21"/>
                <w:highlight w:val="none"/>
              </w:rPr>
              <w:t>t/a</w:t>
            </w:r>
          </w:p>
        </w:tc>
        <w:tc>
          <w:tcPr>
            <w:tcW w:w="611" w:type="pct"/>
            <w:tcBorders>
              <w:top w:val="single" w:color="auto" w:sz="4" w:space="0"/>
              <w:bottom w:val="single" w:color="auto" w:sz="4" w:space="0"/>
              <w:right w:val="single" w:color="auto" w:sz="4" w:space="0"/>
            </w:tcBorders>
            <w:shd w:val="clear" w:color="auto" w:fill="auto"/>
            <w:vAlign w:val="center"/>
          </w:tcPr>
          <w:p w14:paraId="0F4B1A3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r>
              <w:rPr>
                <w:rFonts w:hint="eastAsia" w:ascii="Times New Roman" w:hAnsi="Times New Roman" w:cs="Times New Roman"/>
                <w:color w:val="auto"/>
                <w:kern w:val="2"/>
                <w:sz w:val="21"/>
                <w:szCs w:val="21"/>
                <w:highlight w:val="none"/>
              </w:rPr>
              <w:t>0.01</w:t>
            </w:r>
            <w:r>
              <w:rPr>
                <w:rFonts w:hint="default" w:ascii="Times New Roman" w:hAnsi="Times New Roman" w:cs="Times New Roman"/>
                <w:color w:val="auto"/>
                <w:kern w:val="2"/>
                <w:sz w:val="21"/>
                <w:szCs w:val="21"/>
                <w:highlight w:val="none"/>
              </w:rPr>
              <w:t>t/a</w:t>
            </w:r>
          </w:p>
        </w:tc>
      </w:tr>
      <w:tr w14:paraId="11A82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vMerge w:val="continue"/>
            <w:tcBorders>
              <w:left w:val="single" w:color="auto" w:sz="4" w:space="0"/>
            </w:tcBorders>
            <w:vAlign w:val="center"/>
          </w:tcPr>
          <w:p w14:paraId="0C63FDE2">
            <w:pPr>
              <w:keepNext w:val="0"/>
              <w:keepLines w:val="0"/>
              <w:widowControl/>
              <w:suppressLineNumbers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rPr>
            </w:pPr>
          </w:p>
        </w:tc>
        <w:tc>
          <w:tcPr>
            <w:tcW w:w="769" w:type="pct"/>
            <w:tcBorders>
              <w:top w:val="single" w:color="auto" w:sz="4" w:space="0"/>
              <w:bottom w:val="single" w:color="auto" w:sz="4" w:space="0"/>
            </w:tcBorders>
            <w:vAlign w:val="center"/>
          </w:tcPr>
          <w:p w14:paraId="32663A0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含油抹布</w:t>
            </w:r>
          </w:p>
        </w:tc>
        <w:tc>
          <w:tcPr>
            <w:tcW w:w="535" w:type="pct"/>
            <w:tcBorders>
              <w:top w:val="single" w:color="auto" w:sz="4" w:space="0"/>
              <w:bottom w:val="single" w:color="auto" w:sz="4" w:space="0"/>
            </w:tcBorders>
          </w:tcPr>
          <w:p w14:paraId="6E3CBB4F">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2t/a</w:t>
            </w:r>
          </w:p>
        </w:tc>
        <w:tc>
          <w:tcPr>
            <w:tcW w:w="1015" w:type="dxa"/>
            <w:tcBorders>
              <w:top w:val="single" w:color="auto" w:sz="4" w:space="0"/>
              <w:bottom w:val="single" w:color="auto" w:sz="4" w:space="0"/>
            </w:tcBorders>
            <w:vAlign w:val="center"/>
          </w:tcPr>
          <w:p w14:paraId="1E544B71">
            <w:pPr>
              <w:keepNext w:val="0"/>
              <w:keepLines w:val="0"/>
              <w:widowControl/>
              <w:suppressLineNumbers w:val="0"/>
              <w:overflowPunct w:val="0"/>
              <w:spacing w:before="0" w:beforeAutospacing="0" w:after="0" w:afterAutospacing="0"/>
              <w:ind w:left="0" w:leftChars="0" w:right="0" w:rightChars="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491" w:type="pct"/>
            <w:tcBorders>
              <w:top w:val="single" w:color="auto" w:sz="4" w:space="0"/>
              <w:bottom w:val="single" w:color="auto" w:sz="4" w:space="0"/>
            </w:tcBorders>
            <w:vAlign w:val="center"/>
          </w:tcPr>
          <w:p w14:paraId="757B6B6B">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560" w:type="pct"/>
            <w:tcBorders>
              <w:top w:val="single" w:color="auto" w:sz="4" w:space="0"/>
              <w:bottom w:val="single" w:color="auto" w:sz="4" w:space="0"/>
            </w:tcBorders>
            <w:vAlign w:val="center"/>
          </w:tcPr>
          <w:p w14:paraId="20D57ED5">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0.2</w:t>
            </w:r>
            <w:r>
              <w:rPr>
                <w:rFonts w:hint="default" w:ascii="Times New Roman" w:hAnsi="Times New Roman" w:cs="Times New Roman"/>
                <w:color w:val="auto"/>
                <w:kern w:val="2"/>
                <w:sz w:val="21"/>
                <w:szCs w:val="21"/>
                <w:highlight w:val="none"/>
              </w:rPr>
              <w:t>t/a</w:t>
            </w:r>
          </w:p>
        </w:tc>
        <w:tc>
          <w:tcPr>
            <w:tcW w:w="446" w:type="pct"/>
            <w:tcBorders>
              <w:top w:val="single" w:color="auto" w:sz="4" w:space="0"/>
              <w:bottom w:val="single" w:color="auto" w:sz="4" w:space="0"/>
            </w:tcBorders>
            <w:vAlign w:val="center"/>
          </w:tcPr>
          <w:p w14:paraId="44D49ABC">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713" w:type="pct"/>
            <w:tcBorders>
              <w:top w:val="single" w:color="auto" w:sz="4" w:space="0"/>
              <w:bottom w:val="single" w:color="auto" w:sz="4" w:space="0"/>
            </w:tcBorders>
            <w:vAlign w:val="center"/>
          </w:tcPr>
          <w:p w14:paraId="6AFF025A">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2.2t/a</w:t>
            </w:r>
          </w:p>
        </w:tc>
        <w:tc>
          <w:tcPr>
            <w:tcW w:w="611" w:type="pct"/>
            <w:tcBorders>
              <w:top w:val="single" w:color="auto" w:sz="4" w:space="0"/>
              <w:bottom w:val="single" w:color="auto" w:sz="4" w:space="0"/>
              <w:right w:val="single" w:color="auto" w:sz="4" w:space="0"/>
            </w:tcBorders>
            <w:shd w:val="clear" w:color="auto" w:fill="auto"/>
            <w:vAlign w:val="center"/>
          </w:tcPr>
          <w:p w14:paraId="4678B2D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r>
              <w:rPr>
                <w:rFonts w:hint="eastAsia" w:ascii="Times New Roman" w:hAnsi="Times New Roman" w:cs="Times New Roman"/>
                <w:color w:val="auto"/>
                <w:kern w:val="2"/>
                <w:sz w:val="21"/>
                <w:szCs w:val="21"/>
                <w:highlight w:val="none"/>
              </w:rPr>
              <w:t>0.2</w:t>
            </w:r>
            <w:r>
              <w:rPr>
                <w:rFonts w:hint="default" w:ascii="Times New Roman" w:hAnsi="Times New Roman" w:cs="Times New Roman"/>
                <w:color w:val="auto"/>
                <w:kern w:val="2"/>
                <w:sz w:val="21"/>
                <w:szCs w:val="21"/>
                <w:highlight w:val="none"/>
              </w:rPr>
              <w:t>t/a</w:t>
            </w:r>
          </w:p>
        </w:tc>
      </w:tr>
      <w:tr w14:paraId="285A8C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vMerge w:val="continue"/>
            <w:tcBorders>
              <w:left w:val="single" w:color="auto" w:sz="4" w:space="0"/>
            </w:tcBorders>
            <w:vAlign w:val="center"/>
          </w:tcPr>
          <w:p w14:paraId="5CAA6F43">
            <w:pPr>
              <w:keepNext w:val="0"/>
              <w:keepLines w:val="0"/>
              <w:widowControl/>
              <w:suppressLineNumbers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rPr>
            </w:pPr>
          </w:p>
        </w:tc>
        <w:tc>
          <w:tcPr>
            <w:tcW w:w="769" w:type="pct"/>
            <w:tcBorders>
              <w:top w:val="single" w:color="auto" w:sz="4" w:space="0"/>
              <w:bottom w:val="single" w:color="auto" w:sz="4" w:space="0"/>
            </w:tcBorders>
            <w:vAlign w:val="center"/>
          </w:tcPr>
          <w:p w14:paraId="7EB5F8A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废包装桶</w:t>
            </w:r>
          </w:p>
        </w:tc>
        <w:tc>
          <w:tcPr>
            <w:tcW w:w="535" w:type="pct"/>
            <w:tcBorders>
              <w:top w:val="single" w:color="auto" w:sz="4" w:space="0"/>
              <w:bottom w:val="single" w:color="auto" w:sz="4" w:space="0"/>
            </w:tcBorders>
          </w:tcPr>
          <w:p w14:paraId="7CFDA9BE">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1.5t/a</w:t>
            </w:r>
          </w:p>
        </w:tc>
        <w:tc>
          <w:tcPr>
            <w:tcW w:w="1015" w:type="dxa"/>
            <w:tcBorders>
              <w:top w:val="single" w:color="auto" w:sz="4" w:space="0"/>
              <w:bottom w:val="single" w:color="auto" w:sz="4" w:space="0"/>
            </w:tcBorders>
            <w:vAlign w:val="center"/>
          </w:tcPr>
          <w:p w14:paraId="1D376AB3">
            <w:pPr>
              <w:keepNext w:val="0"/>
              <w:keepLines w:val="0"/>
              <w:widowControl/>
              <w:suppressLineNumbers w:val="0"/>
              <w:overflowPunct w:val="0"/>
              <w:spacing w:before="0" w:beforeAutospacing="0" w:after="0" w:afterAutospacing="0"/>
              <w:ind w:left="0" w:leftChars="0" w:right="0" w:rightChars="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491" w:type="pct"/>
            <w:tcBorders>
              <w:top w:val="single" w:color="auto" w:sz="4" w:space="0"/>
              <w:bottom w:val="single" w:color="auto" w:sz="4" w:space="0"/>
            </w:tcBorders>
            <w:vAlign w:val="center"/>
          </w:tcPr>
          <w:p w14:paraId="6B344E4D">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560" w:type="pct"/>
            <w:tcBorders>
              <w:top w:val="single" w:color="auto" w:sz="4" w:space="0"/>
              <w:bottom w:val="single" w:color="auto" w:sz="4" w:space="0"/>
            </w:tcBorders>
            <w:vAlign w:val="center"/>
          </w:tcPr>
          <w:p w14:paraId="4E173F3D">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0.3</w:t>
            </w:r>
            <w:r>
              <w:rPr>
                <w:rFonts w:hint="default" w:ascii="Times New Roman" w:hAnsi="Times New Roman" w:cs="Times New Roman"/>
                <w:color w:val="auto"/>
                <w:kern w:val="2"/>
                <w:sz w:val="21"/>
                <w:szCs w:val="21"/>
                <w:highlight w:val="none"/>
              </w:rPr>
              <w:t>t/a</w:t>
            </w:r>
          </w:p>
        </w:tc>
        <w:tc>
          <w:tcPr>
            <w:tcW w:w="446" w:type="pct"/>
            <w:tcBorders>
              <w:top w:val="single" w:color="auto" w:sz="4" w:space="0"/>
              <w:bottom w:val="single" w:color="auto" w:sz="4" w:space="0"/>
            </w:tcBorders>
            <w:vAlign w:val="center"/>
          </w:tcPr>
          <w:p w14:paraId="6B50F96C">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713" w:type="pct"/>
            <w:tcBorders>
              <w:top w:val="single" w:color="auto" w:sz="4" w:space="0"/>
              <w:bottom w:val="single" w:color="auto" w:sz="4" w:space="0"/>
            </w:tcBorders>
            <w:shd w:val="clear" w:color="auto" w:fill="auto"/>
            <w:vAlign w:val="center"/>
          </w:tcPr>
          <w:p w14:paraId="48DDF0EA">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1.8</w:t>
            </w:r>
            <w:r>
              <w:rPr>
                <w:rFonts w:hint="default" w:ascii="Times New Roman" w:hAnsi="Times New Roman" w:cs="Times New Roman"/>
                <w:color w:val="auto"/>
                <w:kern w:val="2"/>
                <w:sz w:val="21"/>
                <w:szCs w:val="21"/>
                <w:highlight w:val="none"/>
              </w:rPr>
              <w:t>t/a</w:t>
            </w:r>
          </w:p>
        </w:tc>
        <w:tc>
          <w:tcPr>
            <w:tcW w:w="611" w:type="pct"/>
            <w:tcBorders>
              <w:top w:val="single" w:color="auto" w:sz="4" w:space="0"/>
              <w:bottom w:val="single" w:color="auto" w:sz="4" w:space="0"/>
              <w:right w:val="single" w:color="auto" w:sz="4" w:space="0"/>
            </w:tcBorders>
            <w:shd w:val="clear" w:color="auto" w:fill="auto"/>
            <w:vAlign w:val="center"/>
          </w:tcPr>
          <w:p w14:paraId="2AD595F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r>
              <w:rPr>
                <w:rFonts w:hint="eastAsia" w:ascii="Times New Roman" w:hAnsi="Times New Roman" w:cs="Times New Roman"/>
                <w:color w:val="auto"/>
                <w:kern w:val="2"/>
                <w:sz w:val="21"/>
                <w:szCs w:val="21"/>
                <w:highlight w:val="none"/>
              </w:rPr>
              <w:t>0.3</w:t>
            </w:r>
            <w:r>
              <w:rPr>
                <w:rFonts w:hint="default" w:ascii="Times New Roman" w:hAnsi="Times New Roman" w:cs="Times New Roman"/>
                <w:color w:val="auto"/>
                <w:kern w:val="2"/>
                <w:sz w:val="21"/>
                <w:szCs w:val="21"/>
                <w:highlight w:val="none"/>
              </w:rPr>
              <w:t>t/a</w:t>
            </w:r>
          </w:p>
        </w:tc>
      </w:tr>
      <w:tr w14:paraId="375289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vMerge w:val="continue"/>
            <w:tcBorders>
              <w:left w:val="single" w:color="auto" w:sz="4" w:space="0"/>
            </w:tcBorders>
            <w:vAlign w:val="center"/>
          </w:tcPr>
          <w:p w14:paraId="07D7F1EB">
            <w:pPr>
              <w:keepNext w:val="0"/>
              <w:keepLines w:val="0"/>
              <w:widowControl/>
              <w:suppressLineNumbers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rPr>
            </w:pPr>
          </w:p>
        </w:tc>
        <w:tc>
          <w:tcPr>
            <w:tcW w:w="769" w:type="pct"/>
            <w:tcBorders>
              <w:top w:val="single" w:color="auto" w:sz="4" w:space="0"/>
              <w:bottom w:val="single" w:color="auto" w:sz="4" w:space="0"/>
            </w:tcBorders>
            <w:vAlign w:val="center"/>
          </w:tcPr>
          <w:p w14:paraId="30F0546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废胶管</w:t>
            </w:r>
          </w:p>
        </w:tc>
        <w:tc>
          <w:tcPr>
            <w:tcW w:w="535" w:type="pct"/>
            <w:tcBorders>
              <w:top w:val="single" w:color="auto" w:sz="4" w:space="0"/>
              <w:bottom w:val="single" w:color="auto" w:sz="4" w:space="0"/>
            </w:tcBorders>
          </w:tcPr>
          <w:p w14:paraId="133B6879">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0.06t/a</w:t>
            </w:r>
          </w:p>
        </w:tc>
        <w:tc>
          <w:tcPr>
            <w:tcW w:w="1015" w:type="dxa"/>
            <w:tcBorders>
              <w:top w:val="single" w:color="auto" w:sz="4" w:space="0"/>
              <w:bottom w:val="single" w:color="auto" w:sz="4" w:space="0"/>
            </w:tcBorders>
            <w:vAlign w:val="center"/>
          </w:tcPr>
          <w:p w14:paraId="3F4AAD9F">
            <w:pPr>
              <w:keepNext w:val="0"/>
              <w:keepLines w:val="0"/>
              <w:widowControl/>
              <w:suppressLineNumbers w:val="0"/>
              <w:overflowPunct w:val="0"/>
              <w:spacing w:before="0" w:beforeAutospacing="0" w:after="0" w:afterAutospacing="0"/>
              <w:ind w:left="0" w:leftChars="0" w:right="0" w:rightChars="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491" w:type="pct"/>
            <w:tcBorders>
              <w:top w:val="single" w:color="auto" w:sz="4" w:space="0"/>
              <w:bottom w:val="single" w:color="auto" w:sz="4" w:space="0"/>
            </w:tcBorders>
            <w:vAlign w:val="center"/>
          </w:tcPr>
          <w:p w14:paraId="4F600CB9">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560" w:type="pct"/>
            <w:tcBorders>
              <w:top w:val="single" w:color="auto" w:sz="4" w:space="0"/>
              <w:bottom w:val="single" w:color="auto" w:sz="4" w:space="0"/>
            </w:tcBorders>
            <w:vAlign w:val="center"/>
          </w:tcPr>
          <w:p w14:paraId="46997100">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0.06</w:t>
            </w:r>
            <w:r>
              <w:rPr>
                <w:rFonts w:hint="default" w:ascii="Times New Roman" w:hAnsi="Times New Roman" w:cs="Times New Roman"/>
                <w:color w:val="auto"/>
                <w:kern w:val="2"/>
                <w:sz w:val="21"/>
                <w:szCs w:val="21"/>
                <w:highlight w:val="none"/>
              </w:rPr>
              <w:t>t/a</w:t>
            </w:r>
          </w:p>
        </w:tc>
        <w:tc>
          <w:tcPr>
            <w:tcW w:w="446" w:type="pct"/>
            <w:tcBorders>
              <w:top w:val="single" w:color="auto" w:sz="4" w:space="0"/>
              <w:bottom w:val="single" w:color="auto" w:sz="4" w:space="0"/>
            </w:tcBorders>
            <w:vAlign w:val="center"/>
          </w:tcPr>
          <w:p w14:paraId="7DE5BDF7">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713" w:type="pct"/>
            <w:tcBorders>
              <w:top w:val="single" w:color="auto" w:sz="4" w:space="0"/>
              <w:bottom w:val="single" w:color="auto" w:sz="4" w:space="0"/>
            </w:tcBorders>
            <w:shd w:val="clear" w:color="auto" w:fill="auto"/>
            <w:vAlign w:val="center"/>
          </w:tcPr>
          <w:p w14:paraId="7A720366">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0.12</w:t>
            </w:r>
            <w:r>
              <w:rPr>
                <w:rFonts w:hint="default" w:ascii="Times New Roman" w:hAnsi="Times New Roman" w:cs="Times New Roman"/>
                <w:color w:val="auto"/>
                <w:kern w:val="2"/>
                <w:sz w:val="21"/>
                <w:szCs w:val="21"/>
                <w:highlight w:val="none"/>
              </w:rPr>
              <w:t>t/a</w:t>
            </w:r>
          </w:p>
        </w:tc>
        <w:tc>
          <w:tcPr>
            <w:tcW w:w="611" w:type="pct"/>
            <w:tcBorders>
              <w:top w:val="single" w:color="auto" w:sz="4" w:space="0"/>
              <w:bottom w:val="single" w:color="auto" w:sz="4" w:space="0"/>
              <w:right w:val="single" w:color="auto" w:sz="4" w:space="0"/>
            </w:tcBorders>
            <w:shd w:val="clear" w:color="auto" w:fill="auto"/>
            <w:vAlign w:val="center"/>
          </w:tcPr>
          <w:p w14:paraId="3829DFDA">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r>
              <w:rPr>
                <w:rFonts w:hint="eastAsia" w:ascii="Times New Roman" w:hAnsi="Times New Roman" w:cs="Times New Roman"/>
                <w:color w:val="auto"/>
                <w:kern w:val="2"/>
                <w:sz w:val="21"/>
                <w:szCs w:val="21"/>
                <w:highlight w:val="none"/>
              </w:rPr>
              <w:t>0.06</w:t>
            </w:r>
            <w:r>
              <w:rPr>
                <w:rFonts w:hint="default" w:ascii="Times New Roman" w:hAnsi="Times New Roman" w:cs="Times New Roman"/>
                <w:color w:val="auto"/>
                <w:kern w:val="2"/>
                <w:sz w:val="21"/>
                <w:szCs w:val="21"/>
                <w:highlight w:val="none"/>
              </w:rPr>
              <w:t>t/a</w:t>
            </w:r>
          </w:p>
        </w:tc>
      </w:tr>
      <w:tr w14:paraId="287C11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vMerge w:val="continue"/>
            <w:tcBorders>
              <w:left w:val="single" w:color="auto" w:sz="4" w:space="0"/>
            </w:tcBorders>
            <w:vAlign w:val="center"/>
          </w:tcPr>
          <w:p w14:paraId="0A88F595">
            <w:pPr>
              <w:keepNext w:val="0"/>
              <w:keepLines w:val="0"/>
              <w:widowControl/>
              <w:suppressLineNumbers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rPr>
            </w:pPr>
          </w:p>
        </w:tc>
        <w:tc>
          <w:tcPr>
            <w:tcW w:w="769" w:type="pct"/>
            <w:tcBorders>
              <w:top w:val="single" w:color="auto" w:sz="4" w:space="0"/>
              <w:bottom w:val="single" w:color="auto" w:sz="4" w:space="0"/>
            </w:tcBorders>
            <w:vAlign w:val="center"/>
          </w:tcPr>
          <w:p w14:paraId="1B45249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碳氢清洗蒸馏废液</w:t>
            </w:r>
          </w:p>
        </w:tc>
        <w:tc>
          <w:tcPr>
            <w:tcW w:w="535" w:type="pct"/>
            <w:tcBorders>
              <w:top w:val="single" w:color="auto" w:sz="4" w:space="0"/>
              <w:bottom w:val="single" w:color="auto" w:sz="4" w:space="0"/>
            </w:tcBorders>
          </w:tcPr>
          <w:p w14:paraId="6866CA7A">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1.04t/a</w:t>
            </w:r>
          </w:p>
        </w:tc>
        <w:tc>
          <w:tcPr>
            <w:tcW w:w="1015" w:type="dxa"/>
            <w:tcBorders>
              <w:top w:val="single" w:color="auto" w:sz="4" w:space="0"/>
              <w:bottom w:val="single" w:color="auto" w:sz="4" w:space="0"/>
            </w:tcBorders>
            <w:vAlign w:val="center"/>
          </w:tcPr>
          <w:p w14:paraId="454230F4">
            <w:pPr>
              <w:keepNext w:val="0"/>
              <w:keepLines w:val="0"/>
              <w:widowControl/>
              <w:suppressLineNumbers w:val="0"/>
              <w:overflowPunct w:val="0"/>
              <w:spacing w:before="0" w:beforeAutospacing="0" w:after="0" w:afterAutospacing="0"/>
              <w:ind w:left="0" w:leftChars="0" w:right="0" w:rightChars="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491" w:type="pct"/>
            <w:tcBorders>
              <w:top w:val="single" w:color="auto" w:sz="4" w:space="0"/>
              <w:bottom w:val="single" w:color="auto" w:sz="4" w:space="0"/>
            </w:tcBorders>
            <w:vAlign w:val="center"/>
          </w:tcPr>
          <w:p w14:paraId="75554C67">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560" w:type="pct"/>
            <w:tcBorders>
              <w:top w:val="single" w:color="auto" w:sz="4" w:space="0"/>
              <w:bottom w:val="single" w:color="auto" w:sz="4" w:space="0"/>
            </w:tcBorders>
            <w:vAlign w:val="center"/>
          </w:tcPr>
          <w:p w14:paraId="5BE50C6C">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446" w:type="pct"/>
            <w:tcBorders>
              <w:top w:val="single" w:color="auto" w:sz="4" w:space="0"/>
              <w:bottom w:val="single" w:color="auto" w:sz="4" w:space="0"/>
            </w:tcBorders>
            <w:vAlign w:val="center"/>
          </w:tcPr>
          <w:p w14:paraId="5394DDD1">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713" w:type="pct"/>
            <w:tcBorders>
              <w:top w:val="single" w:color="auto" w:sz="4" w:space="0"/>
              <w:bottom w:val="single" w:color="auto" w:sz="4" w:space="0"/>
            </w:tcBorders>
          </w:tcPr>
          <w:p w14:paraId="3B66461D">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1.04t/a</w:t>
            </w:r>
          </w:p>
        </w:tc>
        <w:tc>
          <w:tcPr>
            <w:tcW w:w="611" w:type="pct"/>
            <w:tcBorders>
              <w:top w:val="single" w:color="auto" w:sz="4" w:space="0"/>
              <w:bottom w:val="single" w:color="auto" w:sz="4" w:space="0"/>
              <w:right w:val="single" w:color="auto" w:sz="4" w:space="0"/>
            </w:tcBorders>
            <w:vAlign w:val="center"/>
          </w:tcPr>
          <w:p w14:paraId="2C661E3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r>
      <w:tr w14:paraId="70EE29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vMerge w:val="continue"/>
            <w:tcBorders>
              <w:left w:val="single" w:color="auto" w:sz="4" w:space="0"/>
            </w:tcBorders>
            <w:vAlign w:val="center"/>
          </w:tcPr>
          <w:p w14:paraId="623CC0AE">
            <w:pPr>
              <w:keepNext w:val="0"/>
              <w:keepLines w:val="0"/>
              <w:widowControl/>
              <w:suppressLineNumbers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rPr>
            </w:pPr>
          </w:p>
        </w:tc>
        <w:tc>
          <w:tcPr>
            <w:tcW w:w="769" w:type="pct"/>
            <w:tcBorders>
              <w:top w:val="single" w:color="auto" w:sz="4" w:space="0"/>
              <w:bottom w:val="single" w:color="auto" w:sz="4" w:space="0"/>
            </w:tcBorders>
            <w:vAlign w:val="center"/>
          </w:tcPr>
          <w:p w14:paraId="2EC7920F">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废槽液</w:t>
            </w:r>
          </w:p>
        </w:tc>
        <w:tc>
          <w:tcPr>
            <w:tcW w:w="535" w:type="pct"/>
            <w:tcBorders>
              <w:top w:val="single" w:color="auto" w:sz="4" w:space="0"/>
              <w:bottom w:val="single" w:color="auto" w:sz="4" w:space="0"/>
            </w:tcBorders>
          </w:tcPr>
          <w:p w14:paraId="163E9E16">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2.16t/a</w:t>
            </w:r>
          </w:p>
        </w:tc>
        <w:tc>
          <w:tcPr>
            <w:tcW w:w="1015" w:type="dxa"/>
            <w:tcBorders>
              <w:top w:val="single" w:color="auto" w:sz="4" w:space="0"/>
              <w:bottom w:val="single" w:color="auto" w:sz="4" w:space="0"/>
            </w:tcBorders>
            <w:vAlign w:val="center"/>
          </w:tcPr>
          <w:p w14:paraId="26C7DE97">
            <w:pPr>
              <w:keepNext w:val="0"/>
              <w:keepLines w:val="0"/>
              <w:widowControl/>
              <w:suppressLineNumbers w:val="0"/>
              <w:overflowPunct w:val="0"/>
              <w:spacing w:before="0" w:beforeAutospacing="0" w:after="0" w:afterAutospacing="0"/>
              <w:ind w:left="0" w:leftChars="0" w:right="0" w:rightChars="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491" w:type="pct"/>
            <w:tcBorders>
              <w:top w:val="single" w:color="auto" w:sz="4" w:space="0"/>
              <w:bottom w:val="single" w:color="auto" w:sz="4" w:space="0"/>
            </w:tcBorders>
            <w:vAlign w:val="center"/>
          </w:tcPr>
          <w:p w14:paraId="74CB4F6C">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560" w:type="pct"/>
            <w:tcBorders>
              <w:top w:val="single" w:color="auto" w:sz="4" w:space="0"/>
              <w:bottom w:val="single" w:color="auto" w:sz="4" w:space="0"/>
            </w:tcBorders>
            <w:vAlign w:val="center"/>
          </w:tcPr>
          <w:p w14:paraId="23319BD6">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1.054</w:t>
            </w:r>
            <w:r>
              <w:rPr>
                <w:rFonts w:hint="default" w:ascii="Times New Roman" w:hAnsi="Times New Roman" w:cs="Times New Roman"/>
                <w:color w:val="auto"/>
                <w:kern w:val="2"/>
                <w:sz w:val="21"/>
                <w:szCs w:val="21"/>
                <w:highlight w:val="none"/>
              </w:rPr>
              <w:t>t/a</w:t>
            </w:r>
          </w:p>
        </w:tc>
        <w:tc>
          <w:tcPr>
            <w:tcW w:w="446" w:type="pct"/>
            <w:tcBorders>
              <w:top w:val="single" w:color="auto" w:sz="4" w:space="0"/>
              <w:bottom w:val="single" w:color="auto" w:sz="4" w:space="0"/>
            </w:tcBorders>
            <w:vAlign w:val="center"/>
          </w:tcPr>
          <w:p w14:paraId="19DDC36A">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713" w:type="pct"/>
            <w:tcBorders>
              <w:top w:val="single" w:color="auto" w:sz="4" w:space="0"/>
              <w:bottom w:val="single" w:color="auto" w:sz="4" w:space="0"/>
            </w:tcBorders>
          </w:tcPr>
          <w:p w14:paraId="63712A84">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lang w:val="en-US" w:eastAsia="zh-CN"/>
              </w:rPr>
              <w:t>3.214</w:t>
            </w:r>
            <w:r>
              <w:rPr>
                <w:rFonts w:hint="eastAsia" w:ascii="Times New Roman" w:hAnsi="Times New Roman" w:cs="Times New Roman"/>
                <w:color w:val="auto"/>
                <w:kern w:val="2"/>
                <w:sz w:val="21"/>
                <w:szCs w:val="21"/>
                <w:highlight w:val="none"/>
              </w:rPr>
              <w:t>t/a</w:t>
            </w:r>
          </w:p>
        </w:tc>
        <w:tc>
          <w:tcPr>
            <w:tcW w:w="611" w:type="pct"/>
            <w:tcBorders>
              <w:top w:val="single" w:color="auto" w:sz="4" w:space="0"/>
              <w:bottom w:val="single" w:color="auto" w:sz="4" w:space="0"/>
              <w:right w:val="single" w:color="auto" w:sz="4" w:space="0"/>
            </w:tcBorders>
            <w:vAlign w:val="center"/>
          </w:tcPr>
          <w:p w14:paraId="6B44C28C">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r>
              <w:rPr>
                <w:rFonts w:hint="eastAsia" w:ascii="Times New Roman" w:hAnsi="Times New Roman" w:cs="Times New Roman"/>
                <w:color w:val="auto"/>
                <w:kern w:val="2"/>
                <w:sz w:val="21"/>
                <w:szCs w:val="21"/>
                <w:highlight w:val="none"/>
                <w:lang w:val="en-US" w:eastAsia="zh-CN"/>
              </w:rPr>
              <w:t>1.054</w:t>
            </w:r>
            <w:r>
              <w:rPr>
                <w:rFonts w:hint="default" w:ascii="Times New Roman" w:hAnsi="Times New Roman" w:cs="Times New Roman"/>
                <w:color w:val="auto"/>
                <w:kern w:val="2"/>
                <w:sz w:val="21"/>
                <w:szCs w:val="21"/>
                <w:highlight w:val="none"/>
              </w:rPr>
              <w:t>t/a</w:t>
            </w:r>
          </w:p>
        </w:tc>
      </w:tr>
      <w:tr w14:paraId="65A0BC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vMerge w:val="continue"/>
            <w:tcBorders>
              <w:left w:val="single" w:color="auto" w:sz="4" w:space="0"/>
            </w:tcBorders>
            <w:vAlign w:val="center"/>
          </w:tcPr>
          <w:p w14:paraId="417673C9">
            <w:pPr>
              <w:keepNext w:val="0"/>
              <w:keepLines w:val="0"/>
              <w:widowControl/>
              <w:suppressLineNumbers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rPr>
            </w:pPr>
          </w:p>
        </w:tc>
        <w:tc>
          <w:tcPr>
            <w:tcW w:w="769" w:type="pct"/>
            <w:tcBorders>
              <w:top w:val="single" w:color="auto" w:sz="4" w:space="0"/>
              <w:bottom w:val="single" w:color="auto" w:sz="4" w:space="0"/>
            </w:tcBorders>
            <w:vAlign w:val="center"/>
          </w:tcPr>
          <w:p w14:paraId="140C82E7">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废滤芯</w:t>
            </w:r>
          </w:p>
        </w:tc>
        <w:tc>
          <w:tcPr>
            <w:tcW w:w="535" w:type="pct"/>
            <w:tcBorders>
              <w:top w:val="single" w:color="auto" w:sz="4" w:space="0"/>
              <w:bottom w:val="single" w:color="auto" w:sz="4" w:space="0"/>
            </w:tcBorders>
          </w:tcPr>
          <w:p w14:paraId="2BBC15B0">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0.6t/a</w:t>
            </w:r>
          </w:p>
        </w:tc>
        <w:tc>
          <w:tcPr>
            <w:tcW w:w="1015" w:type="dxa"/>
            <w:tcBorders>
              <w:top w:val="single" w:color="auto" w:sz="4" w:space="0"/>
              <w:bottom w:val="single" w:color="auto" w:sz="4" w:space="0"/>
            </w:tcBorders>
            <w:vAlign w:val="center"/>
          </w:tcPr>
          <w:p w14:paraId="45F24224">
            <w:pPr>
              <w:keepNext w:val="0"/>
              <w:keepLines w:val="0"/>
              <w:widowControl/>
              <w:suppressLineNumbers w:val="0"/>
              <w:overflowPunct w:val="0"/>
              <w:spacing w:before="0" w:beforeAutospacing="0" w:after="0" w:afterAutospacing="0"/>
              <w:ind w:left="0" w:leftChars="0" w:right="0" w:rightChars="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491" w:type="pct"/>
            <w:tcBorders>
              <w:top w:val="single" w:color="auto" w:sz="4" w:space="0"/>
              <w:bottom w:val="single" w:color="auto" w:sz="4" w:space="0"/>
            </w:tcBorders>
            <w:vAlign w:val="center"/>
          </w:tcPr>
          <w:p w14:paraId="3FC24831">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560" w:type="pct"/>
            <w:tcBorders>
              <w:top w:val="single" w:color="auto" w:sz="4" w:space="0"/>
              <w:bottom w:val="single" w:color="auto" w:sz="4" w:space="0"/>
            </w:tcBorders>
            <w:vAlign w:val="center"/>
          </w:tcPr>
          <w:p w14:paraId="4E923B6F">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eastAsia="宋体" w:cs="Times New Roman"/>
                <w:color w:val="auto"/>
                <w:kern w:val="2"/>
                <w:sz w:val="21"/>
                <w:szCs w:val="21"/>
                <w:highlight w:val="none"/>
                <w:lang w:val="en-US" w:eastAsia="zh-CN"/>
              </w:rPr>
            </w:pPr>
            <w:r>
              <w:rPr>
                <w:rFonts w:hint="eastAsia" w:ascii="Times New Roman" w:hAnsi="Times New Roman" w:cs="Times New Roman"/>
                <w:color w:val="auto"/>
                <w:kern w:val="2"/>
                <w:sz w:val="21"/>
                <w:szCs w:val="21"/>
                <w:highlight w:val="none"/>
                <w:lang w:val="en-US" w:eastAsia="zh-CN"/>
              </w:rPr>
              <w:t>0.15</w:t>
            </w:r>
            <w:r>
              <w:rPr>
                <w:rFonts w:hint="default" w:ascii="Times New Roman" w:hAnsi="Times New Roman" w:cs="Times New Roman"/>
                <w:color w:val="auto"/>
                <w:kern w:val="2"/>
                <w:sz w:val="21"/>
                <w:szCs w:val="21"/>
                <w:highlight w:val="none"/>
              </w:rPr>
              <w:t>t/a</w:t>
            </w:r>
          </w:p>
        </w:tc>
        <w:tc>
          <w:tcPr>
            <w:tcW w:w="446" w:type="pct"/>
            <w:tcBorders>
              <w:top w:val="single" w:color="auto" w:sz="4" w:space="0"/>
              <w:bottom w:val="single" w:color="auto" w:sz="4" w:space="0"/>
            </w:tcBorders>
            <w:vAlign w:val="center"/>
          </w:tcPr>
          <w:p w14:paraId="637FB487">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713" w:type="pct"/>
            <w:tcBorders>
              <w:top w:val="single" w:color="auto" w:sz="4" w:space="0"/>
              <w:bottom w:val="single" w:color="auto" w:sz="4" w:space="0"/>
            </w:tcBorders>
          </w:tcPr>
          <w:p w14:paraId="62554123">
            <w:pPr>
              <w:keepNext w:val="0"/>
              <w:keepLines w:val="0"/>
              <w:widowControl/>
              <w:suppressLineNumbers w:val="0"/>
              <w:overflowPunct w:val="0"/>
              <w:spacing w:before="0" w:beforeAutospacing="0" w:after="0" w:afterAutospacing="0"/>
              <w:ind w:left="0" w:right="0"/>
              <w:jc w:val="center"/>
              <w:textAlignment w:val="baseline"/>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0.</w:t>
            </w:r>
            <w:r>
              <w:rPr>
                <w:rFonts w:hint="eastAsia" w:ascii="Times New Roman" w:hAnsi="Times New Roman" w:cs="Times New Roman"/>
                <w:color w:val="auto"/>
                <w:kern w:val="2"/>
                <w:sz w:val="21"/>
                <w:szCs w:val="21"/>
                <w:highlight w:val="none"/>
                <w:lang w:val="en-US" w:eastAsia="zh-CN"/>
              </w:rPr>
              <w:t>75</w:t>
            </w:r>
            <w:r>
              <w:rPr>
                <w:rFonts w:hint="eastAsia" w:ascii="Times New Roman" w:hAnsi="Times New Roman" w:cs="Times New Roman"/>
                <w:color w:val="auto"/>
                <w:kern w:val="2"/>
                <w:sz w:val="21"/>
                <w:szCs w:val="21"/>
                <w:highlight w:val="none"/>
              </w:rPr>
              <w:t>t/a</w:t>
            </w:r>
          </w:p>
        </w:tc>
        <w:tc>
          <w:tcPr>
            <w:tcW w:w="611" w:type="pct"/>
            <w:tcBorders>
              <w:top w:val="single" w:color="auto" w:sz="4" w:space="0"/>
              <w:bottom w:val="single" w:color="auto" w:sz="4" w:space="0"/>
              <w:right w:val="single" w:color="auto" w:sz="4" w:space="0"/>
            </w:tcBorders>
            <w:vAlign w:val="center"/>
          </w:tcPr>
          <w:p w14:paraId="6400DCE6">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w:t>
            </w:r>
            <w:r>
              <w:rPr>
                <w:rFonts w:hint="eastAsia" w:ascii="Times New Roman" w:hAnsi="Times New Roman" w:cs="Times New Roman"/>
                <w:color w:val="auto"/>
                <w:kern w:val="2"/>
                <w:sz w:val="21"/>
                <w:szCs w:val="21"/>
                <w:highlight w:val="none"/>
              </w:rPr>
              <w:t>0.</w:t>
            </w:r>
            <w:r>
              <w:rPr>
                <w:rFonts w:hint="eastAsia" w:ascii="Times New Roman" w:hAnsi="Times New Roman" w:cs="Times New Roman"/>
                <w:color w:val="auto"/>
                <w:kern w:val="2"/>
                <w:sz w:val="21"/>
                <w:szCs w:val="21"/>
                <w:highlight w:val="none"/>
                <w:lang w:val="en-US" w:eastAsia="zh-CN"/>
              </w:rPr>
              <w:t>15</w:t>
            </w:r>
            <w:r>
              <w:rPr>
                <w:rFonts w:hint="default" w:ascii="Times New Roman" w:hAnsi="Times New Roman" w:cs="Times New Roman"/>
                <w:color w:val="auto"/>
                <w:kern w:val="2"/>
                <w:sz w:val="21"/>
                <w:szCs w:val="21"/>
                <w:highlight w:val="none"/>
              </w:rPr>
              <w:t>t/a</w:t>
            </w:r>
          </w:p>
        </w:tc>
      </w:tr>
      <w:tr w14:paraId="0B9618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487" w:type="pct"/>
            <w:tcBorders>
              <w:top w:val="single" w:color="auto" w:sz="4" w:space="0"/>
              <w:left w:val="single" w:color="auto" w:sz="4" w:space="0"/>
              <w:bottom w:val="single" w:color="auto" w:sz="4" w:space="0"/>
            </w:tcBorders>
            <w:vAlign w:val="center"/>
          </w:tcPr>
          <w:p w14:paraId="30719987">
            <w:pPr>
              <w:keepNext w:val="0"/>
              <w:keepLines w:val="0"/>
              <w:widowControl/>
              <w:suppressLineNumbers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rPr>
            </w:pPr>
            <w:r>
              <w:rPr>
                <w:rFonts w:hint="default" w:ascii="Times New Roman" w:cs="Times New Roman"/>
                <w:snapToGrid w:val="0"/>
                <w:color w:val="auto"/>
                <w:kern w:val="21"/>
                <w:sz w:val="21"/>
                <w:szCs w:val="21"/>
                <w:highlight w:val="none"/>
              </w:rPr>
              <w:t>生活垃圾</w:t>
            </w:r>
          </w:p>
        </w:tc>
        <w:tc>
          <w:tcPr>
            <w:tcW w:w="769" w:type="pct"/>
            <w:tcBorders>
              <w:top w:val="single" w:color="auto" w:sz="4" w:space="0"/>
              <w:bottom w:val="single" w:color="auto" w:sz="4" w:space="0"/>
            </w:tcBorders>
            <w:vAlign w:val="center"/>
          </w:tcPr>
          <w:p w14:paraId="09538313">
            <w:pPr>
              <w:keepNext w:val="0"/>
              <w:keepLines w:val="0"/>
              <w:widowControl/>
              <w:suppressLineNumbers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生活垃圾</w:t>
            </w:r>
          </w:p>
        </w:tc>
        <w:tc>
          <w:tcPr>
            <w:tcW w:w="535" w:type="pct"/>
            <w:tcBorders>
              <w:top w:val="single" w:color="auto" w:sz="4" w:space="0"/>
              <w:bottom w:val="single" w:color="auto" w:sz="4" w:space="0"/>
            </w:tcBorders>
            <w:vAlign w:val="center"/>
          </w:tcPr>
          <w:p w14:paraId="2783A18F">
            <w:pPr>
              <w:keepNext w:val="0"/>
              <w:keepLines w:val="0"/>
              <w:widowControl/>
              <w:suppressLineNumbers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color w:val="auto"/>
                <w:kern w:val="2"/>
                <w:sz w:val="21"/>
                <w:szCs w:val="21"/>
                <w:highlight w:val="none"/>
              </w:rPr>
              <w:t>39t/a</w:t>
            </w:r>
          </w:p>
        </w:tc>
        <w:tc>
          <w:tcPr>
            <w:tcW w:w="1015" w:type="dxa"/>
            <w:tcBorders>
              <w:top w:val="single" w:color="auto" w:sz="4" w:space="0"/>
              <w:bottom w:val="single" w:color="auto" w:sz="4" w:space="0"/>
            </w:tcBorders>
            <w:vAlign w:val="center"/>
          </w:tcPr>
          <w:p w14:paraId="1BB22245">
            <w:pPr>
              <w:keepNext w:val="0"/>
              <w:keepLines w:val="0"/>
              <w:widowControl/>
              <w:suppressLineNumbers w:val="0"/>
              <w:spacing w:before="0" w:beforeAutospacing="0" w:after="0" w:afterAutospacing="0"/>
              <w:ind w:left="0" w:leftChars="0" w:right="0" w:rightChars="0"/>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491" w:type="pct"/>
            <w:tcBorders>
              <w:top w:val="single" w:color="auto" w:sz="4" w:space="0"/>
              <w:bottom w:val="single" w:color="auto" w:sz="4" w:space="0"/>
            </w:tcBorders>
            <w:vAlign w:val="center"/>
          </w:tcPr>
          <w:p w14:paraId="16983933">
            <w:pPr>
              <w:keepNext w:val="0"/>
              <w:keepLines w:val="0"/>
              <w:widowControl/>
              <w:suppressLineNumbers w:val="0"/>
              <w:spacing w:before="0" w:beforeAutospacing="0" w:after="0" w:afterAutospacing="0"/>
              <w:ind w:left="0" w:right="0"/>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w:t>
            </w:r>
          </w:p>
        </w:tc>
        <w:tc>
          <w:tcPr>
            <w:tcW w:w="560" w:type="pct"/>
            <w:tcBorders>
              <w:top w:val="single" w:color="auto" w:sz="4" w:space="0"/>
              <w:bottom w:val="single" w:color="auto" w:sz="4" w:space="0"/>
            </w:tcBorders>
            <w:vAlign w:val="center"/>
          </w:tcPr>
          <w:p w14:paraId="46F9E35B">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w:t>
            </w:r>
          </w:p>
        </w:tc>
        <w:tc>
          <w:tcPr>
            <w:tcW w:w="446" w:type="pct"/>
            <w:tcBorders>
              <w:top w:val="single" w:color="auto" w:sz="4" w:space="0"/>
              <w:bottom w:val="single" w:color="auto" w:sz="4" w:space="0"/>
            </w:tcBorders>
            <w:vAlign w:val="center"/>
          </w:tcPr>
          <w:p w14:paraId="12272902">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snapToGrid w:val="0"/>
                <w:color w:val="auto"/>
                <w:kern w:val="21"/>
                <w:sz w:val="21"/>
                <w:szCs w:val="21"/>
                <w:highlight w:val="none"/>
              </w:rPr>
              <w:t>/</w:t>
            </w:r>
          </w:p>
        </w:tc>
        <w:tc>
          <w:tcPr>
            <w:tcW w:w="713" w:type="pct"/>
            <w:tcBorders>
              <w:top w:val="single" w:color="auto" w:sz="4" w:space="0"/>
              <w:bottom w:val="single" w:color="auto" w:sz="4" w:space="0"/>
            </w:tcBorders>
            <w:vAlign w:val="center"/>
          </w:tcPr>
          <w:p w14:paraId="1444A214">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eastAsia" w:ascii="Times New Roman" w:hAnsi="Times New Roman" w:cs="Times New Roman"/>
                <w:color w:val="auto"/>
                <w:kern w:val="2"/>
                <w:sz w:val="21"/>
                <w:szCs w:val="21"/>
                <w:highlight w:val="none"/>
              </w:rPr>
              <w:t>6.6</w:t>
            </w:r>
            <w:r>
              <w:rPr>
                <w:rFonts w:hint="default" w:ascii="Times New Roman" w:hAnsi="Times New Roman" w:cs="Times New Roman"/>
                <w:color w:val="auto"/>
                <w:kern w:val="2"/>
                <w:sz w:val="21"/>
                <w:szCs w:val="21"/>
                <w:highlight w:val="none"/>
              </w:rPr>
              <w:t>t/a</w:t>
            </w:r>
          </w:p>
        </w:tc>
        <w:tc>
          <w:tcPr>
            <w:tcW w:w="611" w:type="pct"/>
            <w:tcBorders>
              <w:top w:val="single" w:color="auto" w:sz="4" w:space="0"/>
              <w:bottom w:val="single" w:color="auto" w:sz="4" w:space="0"/>
              <w:right w:val="single" w:color="auto" w:sz="4" w:space="0"/>
            </w:tcBorders>
            <w:vAlign w:val="center"/>
          </w:tcPr>
          <w:p w14:paraId="75C24733">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+0.</w:t>
            </w:r>
            <w:r>
              <w:rPr>
                <w:rFonts w:hint="eastAsia" w:ascii="Times New Roman" w:hAnsi="Times New Roman" w:cs="Times New Roman"/>
                <w:color w:val="auto"/>
                <w:kern w:val="2"/>
                <w:sz w:val="21"/>
                <w:szCs w:val="21"/>
                <w:highlight w:val="none"/>
              </w:rPr>
              <w:t>6</w:t>
            </w:r>
            <w:r>
              <w:rPr>
                <w:rFonts w:hint="default" w:ascii="Times New Roman" w:hAnsi="Times New Roman" w:cs="Times New Roman"/>
                <w:color w:val="auto"/>
                <w:kern w:val="2"/>
                <w:sz w:val="21"/>
                <w:szCs w:val="21"/>
                <w:highlight w:val="none"/>
              </w:rPr>
              <w:t>t/a</w:t>
            </w:r>
          </w:p>
        </w:tc>
      </w:tr>
    </w:tbl>
    <w:p w14:paraId="0984C06C">
      <w:pPr>
        <w:pStyle w:val="58"/>
        <w:spacing w:beforeLines="80" w:after="31"/>
        <w:jc w:val="left"/>
        <w:rPr>
          <w:rFonts w:ascii="Times New Roman" w:hAnsi="Times New Roman"/>
          <w:snapToGrid w:val="0"/>
          <w:color w:val="auto"/>
          <w:spacing w:val="-6"/>
          <w:kern w:val="21"/>
          <w:szCs w:val="21"/>
          <w:highlight w:val="red"/>
        </w:rPr>
      </w:pPr>
      <w:r>
        <w:rPr>
          <w:rFonts w:ascii="Times New Roman" w:hAnsi="Times New Roman"/>
          <w:snapToGrid w:val="0"/>
          <w:color w:val="auto"/>
          <w:kern w:val="21"/>
          <w:szCs w:val="21"/>
          <w:highlight w:val="none"/>
        </w:rPr>
        <w:t>注：</w:t>
      </w:r>
      <w:r>
        <w:rPr>
          <w:rFonts w:ascii="Times New Roman" w:hAnsi="Times New Roman"/>
          <w:snapToGrid w:val="0"/>
          <w:color w:val="auto"/>
          <w:spacing w:val="-16"/>
          <w:kern w:val="21"/>
          <w:szCs w:val="21"/>
          <w:highlight w:val="none"/>
        </w:rPr>
        <w:fldChar w:fldCharType="begin"/>
      </w:r>
      <w:r>
        <w:rPr>
          <w:rFonts w:ascii="Times New Roman" w:hAnsi="Times New Roman"/>
          <w:snapToGrid w:val="0"/>
          <w:color w:val="auto"/>
          <w:spacing w:val="-16"/>
          <w:kern w:val="21"/>
          <w:szCs w:val="21"/>
          <w:highlight w:val="none"/>
        </w:rPr>
        <w:instrText xml:space="preserve"> = 6 \* GB3 \* MERGEFORMAT </w:instrText>
      </w:r>
      <w:r>
        <w:rPr>
          <w:rFonts w:ascii="Times New Roman" w:hAnsi="Times New Roman"/>
          <w:snapToGrid w:val="0"/>
          <w:color w:val="auto"/>
          <w:spacing w:val="-16"/>
          <w:kern w:val="21"/>
          <w:szCs w:val="21"/>
          <w:highlight w:val="none"/>
        </w:rPr>
        <w:fldChar w:fldCharType="separate"/>
      </w:r>
      <w:r>
        <w:rPr>
          <w:rFonts w:hint="eastAsia" w:ascii="Times New Roman" w:hAnsi="Times New Roman"/>
          <w:color w:val="auto"/>
          <w:szCs w:val="21"/>
          <w:highlight w:val="none"/>
        </w:rPr>
        <w:t>⑥</w:t>
      </w:r>
      <w:r>
        <w:rPr>
          <w:rFonts w:ascii="Times New Roman" w:hAnsi="Times New Roman"/>
          <w:snapToGrid w:val="0"/>
          <w:color w:val="auto"/>
          <w:spacing w:val="-16"/>
          <w:kern w:val="21"/>
          <w:szCs w:val="21"/>
          <w:highlight w:val="none"/>
        </w:rPr>
        <w:fldChar w:fldCharType="end"/>
      </w:r>
      <w:r>
        <w:rPr>
          <w:rFonts w:ascii="Times New Roman" w:hAnsi="Times New Roman"/>
          <w:snapToGrid w:val="0"/>
          <w:color w:val="auto"/>
          <w:spacing w:val="-16"/>
          <w:kern w:val="21"/>
          <w:szCs w:val="21"/>
          <w:highlight w:val="none"/>
        </w:rPr>
        <w:t>=</w:t>
      </w:r>
      <w:r>
        <w:rPr>
          <w:rFonts w:ascii="Times New Roman" w:hAnsi="Times New Roman"/>
          <w:snapToGrid w:val="0"/>
          <w:color w:val="auto"/>
          <w:spacing w:val="-6"/>
          <w:kern w:val="21"/>
          <w:szCs w:val="21"/>
          <w:highlight w:val="none"/>
        </w:rPr>
        <w:fldChar w:fldCharType="begin"/>
      </w:r>
      <w:r>
        <w:rPr>
          <w:rFonts w:ascii="Times New Roman" w:hAnsi="Times New Roman"/>
          <w:snapToGrid w:val="0"/>
          <w:color w:val="auto"/>
          <w:spacing w:val="-6"/>
          <w:kern w:val="21"/>
          <w:szCs w:val="21"/>
          <w:highlight w:val="none"/>
        </w:rPr>
        <w:instrText xml:space="preserve"> = 1 \* GB3 \* MERGEFORMAT </w:instrText>
      </w:r>
      <w:r>
        <w:rPr>
          <w:rFonts w:ascii="Times New Roman" w:hAnsi="Times New Roman"/>
          <w:snapToGrid w:val="0"/>
          <w:color w:val="auto"/>
          <w:spacing w:val="-6"/>
          <w:kern w:val="21"/>
          <w:szCs w:val="21"/>
          <w:highlight w:val="none"/>
        </w:rPr>
        <w:fldChar w:fldCharType="separate"/>
      </w:r>
      <w:r>
        <w:rPr>
          <w:rFonts w:hint="eastAsia" w:ascii="Times New Roman" w:hAnsi="Times New Roman"/>
          <w:color w:val="auto"/>
          <w:szCs w:val="21"/>
          <w:highlight w:val="none"/>
        </w:rPr>
        <w:t>①</w:t>
      </w:r>
      <w:r>
        <w:rPr>
          <w:rFonts w:ascii="Times New Roman" w:hAnsi="Times New Roman"/>
          <w:snapToGrid w:val="0"/>
          <w:color w:val="auto"/>
          <w:spacing w:val="-6"/>
          <w:kern w:val="21"/>
          <w:szCs w:val="21"/>
          <w:highlight w:val="none"/>
        </w:rPr>
        <w:fldChar w:fldCharType="end"/>
      </w:r>
      <w:r>
        <w:rPr>
          <w:rFonts w:ascii="Times New Roman" w:hAnsi="Times New Roman"/>
          <w:snapToGrid w:val="0"/>
          <w:color w:val="auto"/>
          <w:spacing w:val="-6"/>
          <w:kern w:val="21"/>
          <w:szCs w:val="21"/>
          <w:highlight w:val="none"/>
        </w:rPr>
        <w:t>+</w:t>
      </w:r>
      <w:r>
        <w:rPr>
          <w:rFonts w:ascii="Times New Roman" w:hAnsi="Times New Roman"/>
          <w:snapToGrid w:val="0"/>
          <w:color w:val="auto"/>
          <w:spacing w:val="-6"/>
          <w:kern w:val="21"/>
          <w:szCs w:val="21"/>
          <w:highlight w:val="none"/>
        </w:rPr>
        <w:fldChar w:fldCharType="begin"/>
      </w:r>
      <w:r>
        <w:rPr>
          <w:rFonts w:ascii="Times New Roman" w:hAnsi="Times New Roman"/>
          <w:snapToGrid w:val="0"/>
          <w:color w:val="auto"/>
          <w:spacing w:val="-6"/>
          <w:kern w:val="21"/>
          <w:szCs w:val="21"/>
          <w:highlight w:val="none"/>
        </w:rPr>
        <w:instrText xml:space="preserve"> = 3 \* GB3 \* MERGEFORMAT </w:instrText>
      </w:r>
      <w:r>
        <w:rPr>
          <w:rFonts w:ascii="Times New Roman" w:hAnsi="Times New Roman"/>
          <w:snapToGrid w:val="0"/>
          <w:color w:val="auto"/>
          <w:spacing w:val="-6"/>
          <w:kern w:val="21"/>
          <w:szCs w:val="21"/>
          <w:highlight w:val="none"/>
        </w:rPr>
        <w:fldChar w:fldCharType="separate"/>
      </w:r>
      <w:r>
        <w:rPr>
          <w:rFonts w:hint="eastAsia" w:ascii="Times New Roman" w:hAnsi="Times New Roman"/>
          <w:color w:val="auto"/>
          <w:szCs w:val="21"/>
          <w:highlight w:val="none"/>
        </w:rPr>
        <w:t>③</w:t>
      </w:r>
      <w:r>
        <w:rPr>
          <w:rFonts w:ascii="Times New Roman" w:hAnsi="Times New Roman"/>
          <w:snapToGrid w:val="0"/>
          <w:color w:val="auto"/>
          <w:spacing w:val="-6"/>
          <w:kern w:val="21"/>
          <w:szCs w:val="21"/>
          <w:highlight w:val="none"/>
        </w:rPr>
        <w:fldChar w:fldCharType="end"/>
      </w:r>
      <w:r>
        <w:rPr>
          <w:rFonts w:ascii="Times New Roman" w:hAnsi="Times New Roman"/>
          <w:snapToGrid w:val="0"/>
          <w:color w:val="auto"/>
          <w:spacing w:val="-6"/>
          <w:kern w:val="21"/>
          <w:szCs w:val="21"/>
          <w:highlight w:val="none"/>
        </w:rPr>
        <w:t>+</w:t>
      </w:r>
      <w:r>
        <w:rPr>
          <w:rFonts w:ascii="Times New Roman" w:hAnsi="Times New Roman"/>
          <w:snapToGrid w:val="0"/>
          <w:color w:val="auto"/>
          <w:spacing w:val="-6"/>
          <w:kern w:val="21"/>
          <w:szCs w:val="21"/>
          <w:highlight w:val="none"/>
        </w:rPr>
        <w:fldChar w:fldCharType="begin"/>
      </w:r>
      <w:r>
        <w:rPr>
          <w:rFonts w:ascii="Times New Roman" w:hAnsi="Times New Roman"/>
          <w:snapToGrid w:val="0"/>
          <w:color w:val="auto"/>
          <w:spacing w:val="-6"/>
          <w:kern w:val="21"/>
          <w:szCs w:val="21"/>
          <w:highlight w:val="none"/>
        </w:rPr>
        <w:instrText xml:space="preserve"> = 4 \* GB3 \* MERGEFORMAT </w:instrText>
      </w:r>
      <w:r>
        <w:rPr>
          <w:rFonts w:ascii="Times New Roman" w:hAnsi="Times New Roman"/>
          <w:snapToGrid w:val="0"/>
          <w:color w:val="auto"/>
          <w:spacing w:val="-6"/>
          <w:kern w:val="21"/>
          <w:szCs w:val="21"/>
          <w:highlight w:val="none"/>
        </w:rPr>
        <w:fldChar w:fldCharType="separate"/>
      </w:r>
      <w:r>
        <w:rPr>
          <w:rFonts w:hint="eastAsia" w:ascii="Times New Roman" w:hAnsi="Times New Roman"/>
          <w:color w:val="auto"/>
          <w:szCs w:val="21"/>
          <w:highlight w:val="none"/>
        </w:rPr>
        <w:t>④</w:t>
      </w:r>
      <w:r>
        <w:rPr>
          <w:rFonts w:ascii="Times New Roman" w:hAnsi="Times New Roman"/>
          <w:snapToGrid w:val="0"/>
          <w:color w:val="auto"/>
          <w:spacing w:val="-6"/>
          <w:kern w:val="21"/>
          <w:szCs w:val="21"/>
          <w:highlight w:val="none"/>
        </w:rPr>
        <w:fldChar w:fldCharType="end"/>
      </w:r>
      <w:r>
        <w:rPr>
          <w:rFonts w:ascii="Times New Roman" w:hAnsi="Times New Roman"/>
          <w:snapToGrid w:val="0"/>
          <w:color w:val="auto"/>
          <w:spacing w:val="-6"/>
          <w:kern w:val="21"/>
          <w:szCs w:val="21"/>
          <w:highlight w:val="none"/>
        </w:rPr>
        <w:t>-</w:t>
      </w:r>
      <w:r>
        <w:rPr>
          <w:rFonts w:ascii="Times New Roman" w:hAnsi="Times New Roman"/>
          <w:snapToGrid w:val="0"/>
          <w:color w:val="auto"/>
          <w:spacing w:val="-16"/>
          <w:kern w:val="21"/>
          <w:szCs w:val="21"/>
          <w:highlight w:val="none"/>
        </w:rPr>
        <w:fldChar w:fldCharType="begin"/>
      </w:r>
      <w:r>
        <w:rPr>
          <w:rFonts w:ascii="Times New Roman" w:hAnsi="Times New Roman"/>
          <w:snapToGrid w:val="0"/>
          <w:color w:val="auto"/>
          <w:spacing w:val="-16"/>
          <w:kern w:val="21"/>
          <w:szCs w:val="21"/>
          <w:highlight w:val="none"/>
        </w:rPr>
        <w:instrText xml:space="preserve"> = 5 \* GB3 \* MERGEFORMAT </w:instrText>
      </w:r>
      <w:r>
        <w:rPr>
          <w:rFonts w:ascii="Times New Roman" w:hAnsi="Times New Roman"/>
          <w:snapToGrid w:val="0"/>
          <w:color w:val="auto"/>
          <w:spacing w:val="-16"/>
          <w:kern w:val="21"/>
          <w:szCs w:val="21"/>
          <w:highlight w:val="none"/>
        </w:rPr>
        <w:fldChar w:fldCharType="separate"/>
      </w:r>
      <w:r>
        <w:rPr>
          <w:rFonts w:hint="eastAsia" w:ascii="Times New Roman" w:hAnsi="Times New Roman"/>
          <w:color w:val="auto"/>
          <w:szCs w:val="21"/>
          <w:highlight w:val="none"/>
        </w:rPr>
        <w:t>⑤</w:t>
      </w:r>
      <w:r>
        <w:rPr>
          <w:rFonts w:ascii="Times New Roman" w:hAnsi="Times New Roman"/>
          <w:snapToGrid w:val="0"/>
          <w:color w:val="auto"/>
          <w:spacing w:val="-16"/>
          <w:kern w:val="21"/>
          <w:szCs w:val="21"/>
          <w:highlight w:val="none"/>
        </w:rPr>
        <w:fldChar w:fldCharType="end"/>
      </w:r>
      <w:r>
        <w:rPr>
          <w:rFonts w:ascii="Times New Roman" w:hAnsi="Times New Roman"/>
          <w:snapToGrid w:val="0"/>
          <w:color w:val="auto"/>
          <w:spacing w:val="-16"/>
          <w:kern w:val="21"/>
          <w:szCs w:val="21"/>
          <w:highlight w:val="none"/>
        </w:rPr>
        <w:t>；</w:t>
      </w:r>
      <w:r>
        <w:rPr>
          <w:rFonts w:ascii="Times New Roman" w:hAnsi="Times New Roman"/>
          <w:snapToGrid w:val="0"/>
          <w:color w:val="auto"/>
          <w:spacing w:val="-6"/>
          <w:kern w:val="21"/>
          <w:szCs w:val="21"/>
          <w:highlight w:val="none"/>
        </w:rPr>
        <w:fldChar w:fldCharType="begin"/>
      </w:r>
      <w:r>
        <w:rPr>
          <w:rFonts w:ascii="Times New Roman" w:hAnsi="Times New Roman"/>
          <w:snapToGrid w:val="0"/>
          <w:color w:val="auto"/>
          <w:spacing w:val="-6"/>
          <w:kern w:val="21"/>
          <w:szCs w:val="21"/>
          <w:highlight w:val="none"/>
        </w:rPr>
        <w:instrText xml:space="preserve"> = 7 \* GB3 \* MERGEFORMAT </w:instrText>
      </w:r>
      <w:r>
        <w:rPr>
          <w:rFonts w:ascii="Times New Roman" w:hAnsi="Times New Roman"/>
          <w:snapToGrid w:val="0"/>
          <w:color w:val="auto"/>
          <w:spacing w:val="-6"/>
          <w:kern w:val="21"/>
          <w:szCs w:val="21"/>
          <w:highlight w:val="none"/>
        </w:rPr>
        <w:fldChar w:fldCharType="separate"/>
      </w:r>
      <w:r>
        <w:rPr>
          <w:rFonts w:hint="eastAsia" w:ascii="Times New Roman" w:hAnsi="Times New Roman"/>
          <w:color w:val="auto"/>
          <w:szCs w:val="21"/>
          <w:highlight w:val="none"/>
        </w:rPr>
        <w:t>⑦</w:t>
      </w:r>
      <w:r>
        <w:rPr>
          <w:rFonts w:ascii="Times New Roman" w:hAnsi="Times New Roman"/>
          <w:snapToGrid w:val="0"/>
          <w:color w:val="auto"/>
          <w:spacing w:val="-6"/>
          <w:kern w:val="21"/>
          <w:szCs w:val="21"/>
          <w:highlight w:val="none"/>
        </w:rPr>
        <w:fldChar w:fldCharType="end"/>
      </w:r>
      <w:r>
        <w:rPr>
          <w:rFonts w:ascii="Times New Roman" w:hAnsi="Times New Roman"/>
          <w:snapToGrid w:val="0"/>
          <w:color w:val="auto"/>
          <w:spacing w:val="-6"/>
          <w:kern w:val="21"/>
          <w:szCs w:val="21"/>
          <w:highlight w:val="none"/>
        </w:rPr>
        <w:t>=</w:t>
      </w:r>
      <w:r>
        <w:rPr>
          <w:rFonts w:ascii="Times New Roman" w:hAnsi="Times New Roman"/>
          <w:snapToGrid w:val="0"/>
          <w:color w:val="auto"/>
          <w:spacing w:val="-16"/>
          <w:kern w:val="21"/>
          <w:szCs w:val="21"/>
          <w:highlight w:val="none"/>
        </w:rPr>
        <w:fldChar w:fldCharType="begin"/>
      </w:r>
      <w:r>
        <w:rPr>
          <w:rFonts w:ascii="Times New Roman" w:hAnsi="Times New Roman"/>
          <w:snapToGrid w:val="0"/>
          <w:color w:val="auto"/>
          <w:spacing w:val="-16"/>
          <w:kern w:val="21"/>
          <w:szCs w:val="21"/>
          <w:highlight w:val="none"/>
        </w:rPr>
        <w:instrText xml:space="preserve"> = 6 \* GB3 \* MERGEFORMAT </w:instrText>
      </w:r>
      <w:r>
        <w:rPr>
          <w:rFonts w:ascii="Times New Roman" w:hAnsi="Times New Roman"/>
          <w:snapToGrid w:val="0"/>
          <w:color w:val="auto"/>
          <w:spacing w:val="-16"/>
          <w:kern w:val="21"/>
          <w:szCs w:val="21"/>
          <w:highlight w:val="none"/>
        </w:rPr>
        <w:fldChar w:fldCharType="separate"/>
      </w:r>
      <w:r>
        <w:rPr>
          <w:rFonts w:hint="eastAsia" w:ascii="Times New Roman" w:hAnsi="Times New Roman"/>
          <w:color w:val="auto"/>
          <w:szCs w:val="21"/>
          <w:highlight w:val="none"/>
        </w:rPr>
        <w:t>⑥</w:t>
      </w:r>
      <w:r>
        <w:rPr>
          <w:rFonts w:ascii="Times New Roman" w:hAnsi="Times New Roman"/>
          <w:snapToGrid w:val="0"/>
          <w:color w:val="auto"/>
          <w:spacing w:val="-16"/>
          <w:kern w:val="21"/>
          <w:szCs w:val="21"/>
          <w:highlight w:val="none"/>
        </w:rPr>
        <w:fldChar w:fldCharType="end"/>
      </w:r>
      <w:r>
        <w:rPr>
          <w:rFonts w:ascii="Times New Roman" w:hAnsi="Times New Roman"/>
          <w:snapToGrid w:val="0"/>
          <w:color w:val="auto"/>
          <w:spacing w:val="-16"/>
          <w:kern w:val="21"/>
          <w:szCs w:val="21"/>
          <w:highlight w:val="none"/>
        </w:rPr>
        <w:t>-</w:t>
      </w:r>
      <w:r>
        <w:rPr>
          <w:rFonts w:ascii="Times New Roman" w:hAnsi="Times New Roman"/>
          <w:snapToGrid w:val="0"/>
          <w:color w:val="auto"/>
          <w:spacing w:val="-6"/>
          <w:kern w:val="21"/>
          <w:szCs w:val="21"/>
          <w:highlight w:val="none"/>
        </w:rPr>
        <w:fldChar w:fldCharType="begin"/>
      </w:r>
      <w:r>
        <w:rPr>
          <w:rFonts w:ascii="Times New Roman" w:hAnsi="Times New Roman"/>
          <w:snapToGrid w:val="0"/>
          <w:color w:val="auto"/>
          <w:spacing w:val="-6"/>
          <w:kern w:val="21"/>
          <w:szCs w:val="21"/>
          <w:highlight w:val="none"/>
        </w:rPr>
        <w:instrText xml:space="preserve"> = 1 \* GB3 \* MERGEFORMAT </w:instrText>
      </w:r>
      <w:r>
        <w:rPr>
          <w:rFonts w:ascii="Times New Roman" w:hAnsi="Times New Roman"/>
          <w:snapToGrid w:val="0"/>
          <w:color w:val="auto"/>
          <w:spacing w:val="-6"/>
          <w:kern w:val="21"/>
          <w:szCs w:val="21"/>
          <w:highlight w:val="none"/>
        </w:rPr>
        <w:fldChar w:fldCharType="separate"/>
      </w:r>
      <w:r>
        <w:rPr>
          <w:rFonts w:hint="eastAsia" w:ascii="Times New Roman" w:hAnsi="Times New Roman"/>
          <w:color w:val="auto"/>
          <w:szCs w:val="21"/>
          <w:highlight w:val="none"/>
        </w:rPr>
        <w:t>①</w:t>
      </w:r>
      <w:r>
        <w:rPr>
          <w:rFonts w:ascii="Times New Roman" w:hAnsi="Times New Roman"/>
          <w:snapToGrid w:val="0"/>
          <w:color w:val="auto"/>
          <w:spacing w:val="-6"/>
          <w:kern w:val="21"/>
          <w:szCs w:val="21"/>
          <w:highlight w:val="none"/>
        </w:rPr>
        <w:fldChar w:fldCharType="end"/>
      </w:r>
    </w:p>
    <w:sectPr>
      <w:pgSz w:w="16838" w:h="11906" w:orient="landscape"/>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行楷">
    <w:altName w:val="微软雅黑"/>
    <w:panose1 w:val="02010800040101010101"/>
    <w:charset w:val="86"/>
    <w:family w:val="auto"/>
    <w:pitch w:val="default"/>
    <w:sig w:usb0="00000000" w:usb1="00000000" w:usb2="00000000" w:usb3="00000000" w:csb0="00040000" w:csb1="00000000"/>
  </w:font>
  <w:font w:name="Noto Sans CJK JP Regular">
    <w:altName w:val="Segoe Print"/>
    <w:panose1 w:val="00000000000000000000"/>
    <w:charset w:val="00"/>
    <w:family w:val="swiss"/>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等线">
    <w:altName w:val="微软雅黑"/>
    <w:panose1 w:val="02010600030101010101"/>
    <w:charset w:val="86"/>
    <w:family w:val="auto"/>
    <w:pitch w:val="default"/>
    <w:sig w:usb0="00000000" w:usb1="00000000" w:usb2="00000016" w:usb3="00000000" w:csb0="0004000F"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Wingdings">
    <w:panose1 w:val="05000000000000000000"/>
    <w:charset w:val="00"/>
    <w:family w:val="auto"/>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MS Mincho">
    <w:panose1 w:val="02020609040205080304"/>
    <w:charset w:val="80"/>
    <w:family w:val="modern"/>
    <w:pitch w:val="default"/>
    <w:sig w:usb0="E00002FF" w:usb1="6AC7FDFB" w:usb2="00000012" w:usb3="00000000" w:csb0="4002009F" w:csb1="DFD7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5D79E">
    <w:pPr>
      <w:pStyle w:val="14"/>
      <w:jc w:val="cen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lang w:val="zh-CN"/>
      </w:rPr>
      <w:t>27</w:t>
    </w:r>
    <w:r>
      <w:rPr>
        <w:rFonts w:ascii="Times New Roman" w:hAnsi="Times New Roman" w:cs="Times New Roman"/>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CC6408">
    <w:pPr>
      <w:pStyle w:val="14"/>
      <w:jc w:val="cen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lang w:val="zh-CN"/>
      </w:rPr>
      <w:t>88</w:t>
    </w:r>
    <w:r>
      <w:rPr>
        <w:rFonts w:ascii="Times New Roman" w:hAnsi="Times New Roman" w:cs="Times New Roman"/>
        <w:sz w:val="20"/>
        <w:szCs w:val="20"/>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649C47">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C5C8B">
    <w:pPr>
      <w:pStyle w:val="1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BA578">
    <w:pPr>
      <w:pStyle w:val="15"/>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4E875">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1263"/>
    <w:multiLevelType w:val="singleLevel"/>
    <w:tmpl w:val="86321263"/>
    <w:lvl w:ilvl="0" w:tentative="0">
      <w:start w:val="2"/>
      <w:numFmt w:val="decimal"/>
      <w:suff w:val="nothing"/>
      <w:lvlText w:val="（%1）"/>
      <w:lvlJc w:val="left"/>
    </w:lvl>
  </w:abstractNum>
  <w:abstractNum w:abstractNumId="1">
    <w:nsid w:val="150A84CD"/>
    <w:multiLevelType w:val="singleLevel"/>
    <w:tmpl w:val="150A84CD"/>
    <w:lvl w:ilvl="0" w:tentative="0">
      <w:start w:val="2"/>
      <w:numFmt w:val="decimal"/>
      <w:suff w:val="nothing"/>
      <w:lvlText w:val="%1、"/>
      <w:lvlJc w:val="left"/>
    </w:lvl>
  </w:abstractNum>
  <w:abstractNum w:abstractNumId="2">
    <w:nsid w:val="427C7544"/>
    <w:multiLevelType w:val="singleLevel"/>
    <w:tmpl w:val="427C7544"/>
    <w:lvl w:ilvl="0" w:tentative="0">
      <w:start w:val="4"/>
      <w:numFmt w:val="decimal"/>
      <w:suff w:val="nothing"/>
      <w:lvlText w:val="%1、"/>
      <w:lvlJc w:val="left"/>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zhj">
    <w15:presenceInfo w15:providerId="WPS Office" w15:userId="2834073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99D"/>
    <w:rsid w:val="0000037A"/>
    <w:rsid w:val="00000412"/>
    <w:rsid w:val="000005F6"/>
    <w:rsid w:val="000007E8"/>
    <w:rsid w:val="000009DA"/>
    <w:rsid w:val="00000ABA"/>
    <w:rsid w:val="00000BA8"/>
    <w:rsid w:val="00000C30"/>
    <w:rsid w:val="00000CB5"/>
    <w:rsid w:val="00000E28"/>
    <w:rsid w:val="00000EEC"/>
    <w:rsid w:val="00000F9B"/>
    <w:rsid w:val="00000FFF"/>
    <w:rsid w:val="00001168"/>
    <w:rsid w:val="0000120C"/>
    <w:rsid w:val="00001264"/>
    <w:rsid w:val="000014BF"/>
    <w:rsid w:val="00001565"/>
    <w:rsid w:val="000016D7"/>
    <w:rsid w:val="0000185D"/>
    <w:rsid w:val="00001962"/>
    <w:rsid w:val="00001EF2"/>
    <w:rsid w:val="000021DF"/>
    <w:rsid w:val="000021F4"/>
    <w:rsid w:val="000024B5"/>
    <w:rsid w:val="000025B7"/>
    <w:rsid w:val="0000286A"/>
    <w:rsid w:val="00002B4A"/>
    <w:rsid w:val="000032FD"/>
    <w:rsid w:val="00003341"/>
    <w:rsid w:val="000034BB"/>
    <w:rsid w:val="000034C2"/>
    <w:rsid w:val="000034D9"/>
    <w:rsid w:val="0000354C"/>
    <w:rsid w:val="00003739"/>
    <w:rsid w:val="0000386D"/>
    <w:rsid w:val="00003D35"/>
    <w:rsid w:val="00003E73"/>
    <w:rsid w:val="00004041"/>
    <w:rsid w:val="000040A8"/>
    <w:rsid w:val="0000427C"/>
    <w:rsid w:val="000042C1"/>
    <w:rsid w:val="00004319"/>
    <w:rsid w:val="0000435A"/>
    <w:rsid w:val="00004371"/>
    <w:rsid w:val="000047DD"/>
    <w:rsid w:val="000048E7"/>
    <w:rsid w:val="00004C0B"/>
    <w:rsid w:val="00004E68"/>
    <w:rsid w:val="0000520F"/>
    <w:rsid w:val="00005754"/>
    <w:rsid w:val="00005BD4"/>
    <w:rsid w:val="00005C4D"/>
    <w:rsid w:val="00005DC8"/>
    <w:rsid w:val="000061B2"/>
    <w:rsid w:val="0000641C"/>
    <w:rsid w:val="00006674"/>
    <w:rsid w:val="00006695"/>
    <w:rsid w:val="000067C0"/>
    <w:rsid w:val="000068AF"/>
    <w:rsid w:val="0000691F"/>
    <w:rsid w:val="00006A7B"/>
    <w:rsid w:val="00006B4F"/>
    <w:rsid w:val="00006D0B"/>
    <w:rsid w:val="00006F6C"/>
    <w:rsid w:val="000071A5"/>
    <w:rsid w:val="000074DF"/>
    <w:rsid w:val="00007607"/>
    <w:rsid w:val="0000768E"/>
    <w:rsid w:val="0000795C"/>
    <w:rsid w:val="00007AA5"/>
    <w:rsid w:val="00007CAE"/>
    <w:rsid w:val="00007FA7"/>
    <w:rsid w:val="00007FBD"/>
    <w:rsid w:val="0001005D"/>
    <w:rsid w:val="000100EF"/>
    <w:rsid w:val="00010281"/>
    <w:rsid w:val="00010349"/>
    <w:rsid w:val="0001081F"/>
    <w:rsid w:val="00010B8A"/>
    <w:rsid w:val="00010CFE"/>
    <w:rsid w:val="00010F7C"/>
    <w:rsid w:val="000110CD"/>
    <w:rsid w:val="0001130B"/>
    <w:rsid w:val="0001138C"/>
    <w:rsid w:val="00011501"/>
    <w:rsid w:val="0001177F"/>
    <w:rsid w:val="000118E3"/>
    <w:rsid w:val="00011D37"/>
    <w:rsid w:val="00011E6A"/>
    <w:rsid w:val="00012074"/>
    <w:rsid w:val="00012083"/>
    <w:rsid w:val="000120FB"/>
    <w:rsid w:val="000122B4"/>
    <w:rsid w:val="000122BF"/>
    <w:rsid w:val="00012418"/>
    <w:rsid w:val="00012575"/>
    <w:rsid w:val="00012723"/>
    <w:rsid w:val="00012E70"/>
    <w:rsid w:val="0001301A"/>
    <w:rsid w:val="000132D1"/>
    <w:rsid w:val="0001330C"/>
    <w:rsid w:val="00013427"/>
    <w:rsid w:val="00013C81"/>
    <w:rsid w:val="00014591"/>
    <w:rsid w:val="00014613"/>
    <w:rsid w:val="00014D31"/>
    <w:rsid w:val="00014E43"/>
    <w:rsid w:val="000150C6"/>
    <w:rsid w:val="00015174"/>
    <w:rsid w:val="000153CA"/>
    <w:rsid w:val="000154C0"/>
    <w:rsid w:val="000158B8"/>
    <w:rsid w:val="000158CF"/>
    <w:rsid w:val="00015CAB"/>
    <w:rsid w:val="000161FD"/>
    <w:rsid w:val="00016218"/>
    <w:rsid w:val="00016271"/>
    <w:rsid w:val="0001636E"/>
    <w:rsid w:val="00016874"/>
    <w:rsid w:val="000168FE"/>
    <w:rsid w:val="00016A0C"/>
    <w:rsid w:val="00016A44"/>
    <w:rsid w:val="00016D43"/>
    <w:rsid w:val="00016EB3"/>
    <w:rsid w:val="0001708A"/>
    <w:rsid w:val="00017140"/>
    <w:rsid w:val="000173FC"/>
    <w:rsid w:val="0001741B"/>
    <w:rsid w:val="000177BF"/>
    <w:rsid w:val="000179FB"/>
    <w:rsid w:val="00017A79"/>
    <w:rsid w:val="00017AB6"/>
    <w:rsid w:val="00017D79"/>
    <w:rsid w:val="00017DC8"/>
    <w:rsid w:val="000200C3"/>
    <w:rsid w:val="000204CE"/>
    <w:rsid w:val="00020530"/>
    <w:rsid w:val="000207D5"/>
    <w:rsid w:val="00020863"/>
    <w:rsid w:val="00020940"/>
    <w:rsid w:val="0002096C"/>
    <w:rsid w:val="00021136"/>
    <w:rsid w:val="000212C1"/>
    <w:rsid w:val="000214EF"/>
    <w:rsid w:val="0002150D"/>
    <w:rsid w:val="0002170D"/>
    <w:rsid w:val="000217AA"/>
    <w:rsid w:val="00021A99"/>
    <w:rsid w:val="00021CB0"/>
    <w:rsid w:val="00021E04"/>
    <w:rsid w:val="00021F06"/>
    <w:rsid w:val="000221BA"/>
    <w:rsid w:val="00022259"/>
    <w:rsid w:val="00022486"/>
    <w:rsid w:val="000224CD"/>
    <w:rsid w:val="00022535"/>
    <w:rsid w:val="0002261E"/>
    <w:rsid w:val="00022773"/>
    <w:rsid w:val="00022C8D"/>
    <w:rsid w:val="00023003"/>
    <w:rsid w:val="00023326"/>
    <w:rsid w:val="0002373B"/>
    <w:rsid w:val="000237E9"/>
    <w:rsid w:val="00023865"/>
    <w:rsid w:val="00023C0C"/>
    <w:rsid w:val="00023C3F"/>
    <w:rsid w:val="00023C5C"/>
    <w:rsid w:val="00023D69"/>
    <w:rsid w:val="00024141"/>
    <w:rsid w:val="00024346"/>
    <w:rsid w:val="00024677"/>
    <w:rsid w:val="000246F9"/>
    <w:rsid w:val="00024B40"/>
    <w:rsid w:val="00024E65"/>
    <w:rsid w:val="00024E71"/>
    <w:rsid w:val="0002519A"/>
    <w:rsid w:val="000251AA"/>
    <w:rsid w:val="00025253"/>
    <w:rsid w:val="0002545F"/>
    <w:rsid w:val="00025709"/>
    <w:rsid w:val="000258A1"/>
    <w:rsid w:val="00025AC1"/>
    <w:rsid w:val="00025B1E"/>
    <w:rsid w:val="00025E46"/>
    <w:rsid w:val="0002615D"/>
    <w:rsid w:val="00026200"/>
    <w:rsid w:val="00026345"/>
    <w:rsid w:val="00026506"/>
    <w:rsid w:val="000265CB"/>
    <w:rsid w:val="000267BB"/>
    <w:rsid w:val="00026C77"/>
    <w:rsid w:val="00026C8A"/>
    <w:rsid w:val="000270AD"/>
    <w:rsid w:val="000270B8"/>
    <w:rsid w:val="0002716F"/>
    <w:rsid w:val="000272AE"/>
    <w:rsid w:val="000272CB"/>
    <w:rsid w:val="0002730A"/>
    <w:rsid w:val="00027345"/>
    <w:rsid w:val="000274AA"/>
    <w:rsid w:val="000277C9"/>
    <w:rsid w:val="000279FB"/>
    <w:rsid w:val="00027B0F"/>
    <w:rsid w:val="00030180"/>
    <w:rsid w:val="00030268"/>
    <w:rsid w:val="000306A8"/>
    <w:rsid w:val="0003078F"/>
    <w:rsid w:val="000307AD"/>
    <w:rsid w:val="000307D2"/>
    <w:rsid w:val="00030D05"/>
    <w:rsid w:val="00030D9E"/>
    <w:rsid w:val="00030E8B"/>
    <w:rsid w:val="00030F05"/>
    <w:rsid w:val="00030F17"/>
    <w:rsid w:val="00030F9E"/>
    <w:rsid w:val="00031321"/>
    <w:rsid w:val="0003135A"/>
    <w:rsid w:val="0003157D"/>
    <w:rsid w:val="00031802"/>
    <w:rsid w:val="0003190D"/>
    <w:rsid w:val="00031933"/>
    <w:rsid w:val="00031B9B"/>
    <w:rsid w:val="00031F01"/>
    <w:rsid w:val="00032083"/>
    <w:rsid w:val="00032107"/>
    <w:rsid w:val="0003219D"/>
    <w:rsid w:val="000321AA"/>
    <w:rsid w:val="000321B5"/>
    <w:rsid w:val="00032200"/>
    <w:rsid w:val="000322BF"/>
    <w:rsid w:val="0003246B"/>
    <w:rsid w:val="00032608"/>
    <w:rsid w:val="0003272E"/>
    <w:rsid w:val="00032827"/>
    <w:rsid w:val="00032834"/>
    <w:rsid w:val="000329DC"/>
    <w:rsid w:val="0003301D"/>
    <w:rsid w:val="000331A7"/>
    <w:rsid w:val="000331FB"/>
    <w:rsid w:val="00033279"/>
    <w:rsid w:val="000333B0"/>
    <w:rsid w:val="000333C1"/>
    <w:rsid w:val="00033B8C"/>
    <w:rsid w:val="00033D2D"/>
    <w:rsid w:val="00033DA6"/>
    <w:rsid w:val="0003403E"/>
    <w:rsid w:val="00034091"/>
    <w:rsid w:val="000341AF"/>
    <w:rsid w:val="0003435B"/>
    <w:rsid w:val="00034396"/>
    <w:rsid w:val="000343FE"/>
    <w:rsid w:val="000347A8"/>
    <w:rsid w:val="00034A5B"/>
    <w:rsid w:val="00034C12"/>
    <w:rsid w:val="00035298"/>
    <w:rsid w:val="0003592A"/>
    <w:rsid w:val="00035C54"/>
    <w:rsid w:val="000361A2"/>
    <w:rsid w:val="00036469"/>
    <w:rsid w:val="0003656C"/>
    <w:rsid w:val="00036A1F"/>
    <w:rsid w:val="00036DA6"/>
    <w:rsid w:val="00036F08"/>
    <w:rsid w:val="00036FFB"/>
    <w:rsid w:val="00037064"/>
    <w:rsid w:val="0003709D"/>
    <w:rsid w:val="00037603"/>
    <w:rsid w:val="000377A6"/>
    <w:rsid w:val="000378AB"/>
    <w:rsid w:val="00037BBF"/>
    <w:rsid w:val="0004030F"/>
    <w:rsid w:val="0004041B"/>
    <w:rsid w:val="0004048D"/>
    <w:rsid w:val="000404D0"/>
    <w:rsid w:val="000405CB"/>
    <w:rsid w:val="00040866"/>
    <w:rsid w:val="00040A04"/>
    <w:rsid w:val="00040A60"/>
    <w:rsid w:val="000410EB"/>
    <w:rsid w:val="000411B3"/>
    <w:rsid w:val="00041924"/>
    <w:rsid w:val="000419C1"/>
    <w:rsid w:val="00041B46"/>
    <w:rsid w:val="00041BC3"/>
    <w:rsid w:val="000420EE"/>
    <w:rsid w:val="00042226"/>
    <w:rsid w:val="00042491"/>
    <w:rsid w:val="0004274F"/>
    <w:rsid w:val="00042A8B"/>
    <w:rsid w:val="00042B1B"/>
    <w:rsid w:val="00042BA3"/>
    <w:rsid w:val="00042C27"/>
    <w:rsid w:val="00042C54"/>
    <w:rsid w:val="00042C82"/>
    <w:rsid w:val="00043028"/>
    <w:rsid w:val="0004305D"/>
    <w:rsid w:val="0004316B"/>
    <w:rsid w:val="000431B3"/>
    <w:rsid w:val="000435AF"/>
    <w:rsid w:val="00043AB4"/>
    <w:rsid w:val="00043B5E"/>
    <w:rsid w:val="00043B62"/>
    <w:rsid w:val="00043CE2"/>
    <w:rsid w:val="00044232"/>
    <w:rsid w:val="000443E4"/>
    <w:rsid w:val="00044405"/>
    <w:rsid w:val="00044485"/>
    <w:rsid w:val="00044645"/>
    <w:rsid w:val="00044BBD"/>
    <w:rsid w:val="00044C5A"/>
    <w:rsid w:val="00044CED"/>
    <w:rsid w:val="00044E38"/>
    <w:rsid w:val="00044E5F"/>
    <w:rsid w:val="00045718"/>
    <w:rsid w:val="00045959"/>
    <w:rsid w:val="00045AD1"/>
    <w:rsid w:val="00045B61"/>
    <w:rsid w:val="00045CF1"/>
    <w:rsid w:val="00045D1F"/>
    <w:rsid w:val="00046072"/>
    <w:rsid w:val="000460E1"/>
    <w:rsid w:val="00046107"/>
    <w:rsid w:val="0004616B"/>
    <w:rsid w:val="000461F9"/>
    <w:rsid w:val="000463BF"/>
    <w:rsid w:val="000464E5"/>
    <w:rsid w:val="00046A86"/>
    <w:rsid w:val="00046B07"/>
    <w:rsid w:val="00046D4A"/>
    <w:rsid w:val="00046E9A"/>
    <w:rsid w:val="00046F6F"/>
    <w:rsid w:val="000471A7"/>
    <w:rsid w:val="00047298"/>
    <w:rsid w:val="0004747B"/>
    <w:rsid w:val="00047597"/>
    <w:rsid w:val="000475B9"/>
    <w:rsid w:val="000476DE"/>
    <w:rsid w:val="00047A85"/>
    <w:rsid w:val="00047D09"/>
    <w:rsid w:val="00047D2C"/>
    <w:rsid w:val="00047DA8"/>
    <w:rsid w:val="00047E46"/>
    <w:rsid w:val="000501C5"/>
    <w:rsid w:val="000501F0"/>
    <w:rsid w:val="000507B0"/>
    <w:rsid w:val="000507B4"/>
    <w:rsid w:val="000507FB"/>
    <w:rsid w:val="000508C9"/>
    <w:rsid w:val="000508CB"/>
    <w:rsid w:val="0005097D"/>
    <w:rsid w:val="00050A69"/>
    <w:rsid w:val="00050C9E"/>
    <w:rsid w:val="00050D18"/>
    <w:rsid w:val="00050D74"/>
    <w:rsid w:val="00050EB7"/>
    <w:rsid w:val="00051BE7"/>
    <w:rsid w:val="00051DCF"/>
    <w:rsid w:val="00051F8F"/>
    <w:rsid w:val="0005241D"/>
    <w:rsid w:val="00052436"/>
    <w:rsid w:val="0005287D"/>
    <w:rsid w:val="000528A6"/>
    <w:rsid w:val="00052C48"/>
    <w:rsid w:val="00052D99"/>
    <w:rsid w:val="00052E44"/>
    <w:rsid w:val="00052FC8"/>
    <w:rsid w:val="00053487"/>
    <w:rsid w:val="0005353E"/>
    <w:rsid w:val="000537FF"/>
    <w:rsid w:val="000538C8"/>
    <w:rsid w:val="00053B80"/>
    <w:rsid w:val="00053E5C"/>
    <w:rsid w:val="00053F84"/>
    <w:rsid w:val="00054283"/>
    <w:rsid w:val="00055112"/>
    <w:rsid w:val="00055121"/>
    <w:rsid w:val="0005512C"/>
    <w:rsid w:val="00055154"/>
    <w:rsid w:val="00055868"/>
    <w:rsid w:val="00055B0B"/>
    <w:rsid w:val="00055BC8"/>
    <w:rsid w:val="00055DF0"/>
    <w:rsid w:val="00055FEA"/>
    <w:rsid w:val="000563D5"/>
    <w:rsid w:val="00056476"/>
    <w:rsid w:val="00056551"/>
    <w:rsid w:val="0005685A"/>
    <w:rsid w:val="00056BEC"/>
    <w:rsid w:val="00056D8A"/>
    <w:rsid w:val="000572F5"/>
    <w:rsid w:val="00057562"/>
    <w:rsid w:val="000576B6"/>
    <w:rsid w:val="000579F8"/>
    <w:rsid w:val="00057A8A"/>
    <w:rsid w:val="00057E43"/>
    <w:rsid w:val="00057E5B"/>
    <w:rsid w:val="000601E4"/>
    <w:rsid w:val="00060373"/>
    <w:rsid w:val="00060378"/>
    <w:rsid w:val="000606D5"/>
    <w:rsid w:val="00060719"/>
    <w:rsid w:val="00060826"/>
    <w:rsid w:val="000609BD"/>
    <w:rsid w:val="00060F2F"/>
    <w:rsid w:val="000612AA"/>
    <w:rsid w:val="00061317"/>
    <w:rsid w:val="00061568"/>
    <w:rsid w:val="000615D7"/>
    <w:rsid w:val="000616CB"/>
    <w:rsid w:val="000616D5"/>
    <w:rsid w:val="00061862"/>
    <w:rsid w:val="00061914"/>
    <w:rsid w:val="00061C2A"/>
    <w:rsid w:val="00061CEB"/>
    <w:rsid w:val="0006200A"/>
    <w:rsid w:val="0006211C"/>
    <w:rsid w:val="0006223F"/>
    <w:rsid w:val="000624C8"/>
    <w:rsid w:val="00062536"/>
    <w:rsid w:val="00062867"/>
    <w:rsid w:val="000628DB"/>
    <w:rsid w:val="0006293D"/>
    <w:rsid w:val="00062CAD"/>
    <w:rsid w:val="00062D28"/>
    <w:rsid w:val="00062FB3"/>
    <w:rsid w:val="00063243"/>
    <w:rsid w:val="000635C8"/>
    <w:rsid w:val="00063A34"/>
    <w:rsid w:val="00063C01"/>
    <w:rsid w:val="00064186"/>
    <w:rsid w:val="00064272"/>
    <w:rsid w:val="00064579"/>
    <w:rsid w:val="00064702"/>
    <w:rsid w:val="0006472A"/>
    <w:rsid w:val="00064919"/>
    <w:rsid w:val="00064AA0"/>
    <w:rsid w:val="00064E2A"/>
    <w:rsid w:val="00064FDC"/>
    <w:rsid w:val="000651C9"/>
    <w:rsid w:val="0006527A"/>
    <w:rsid w:val="0006530F"/>
    <w:rsid w:val="00065443"/>
    <w:rsid w:val="00065D08"/>
    <w:rsid w:val="00065D4E"/>
    <w:rsid w:val="00065E32"/>
    <w:rsid w:val="00066174"/>
    <w:rsid w:val="0006633D"/>
    <w:rsid w:val="000669E3"/>
    <w:rsid w:val="00066AA4"/>
    <w:rsid w:val="0006762C"/>
    <w:rsid w:val="00067875"/>
    <w:rsid w:val="00067901"/>
    <w:rsid w:val="00067B89"/>
    <w:rsid w:val="00067E84"/>
    <w:rsid w:val="0007012C"/>
    <w:rsid w:val="000703F1"/>
    <w:rsid w:val="00070443"/>
    <w:rsid w:val="000707DD"/>
    <w:rsid w:val="000709A9"/>
    <w:rsid w:val="00070D21"/>
    <w:rsid w:val="00070F59"/>
    <w:rsid w:val="00071246"/>
    <w:rsid w:val="00071342"/>
    <w:rsid w:val="000713F0"/>
    <w:rsid w:val="00071429"/>
    <w:rsid w:val="0007186C"/>
    <w:rsid w:val="00071924"/>
    <w:rsid w:val="00071C60"/>
    <w:rsid w:val="00071DBB"/>
    <w:rsid w:val="0007219A"/>
    <w:rsid w:val="00072A86"/>
    <w:rsid w:val="00072E00"/>
    <w:rsid w:val="00073111"/>
    <w:rsid w:val="00073A7C"/>
    <w:rsid w:val="0007410B"/>
    <w:rsid w:val="000742A7"/>
    <w:rsid w:val="0007452A"/>
    <w:rsid w:val="00074542"/>
    <w:rsid w:val="00074813"/>
    <w:rsid w:val="00074F3F"/>
    <w:rsid w:val="00074FA0"/>
    <w:rsid w:val="000754F1"/>
    <w:rsid w:val="0007554C"/>
    <w:rsid w:val="00075908"/>
    <w:rsid w:val="00075A23"/>
    <w:rsid w:val="00075EBC"/>
    <w:rsid w:val="00076003"/>
    <w:rsid w:val="00076248"/>
    <w:rsid w:val="00076515"/>
    <w:rsid w:val="0007669F"/>
    <w:rsid w:val="000768CD"/>
    <w:rsid w:val="00076BAB"/>
    <w:rsid w:val="00076E86"/>
    <w:rsid w:val="0007727C"/>
    <w:rsid w:val="00077319"/>
    <w:rsid w:val="000774C7"/>
    <w:rsid w:val="00077581"/>
    <w:rsid w:val="00077654"/>
    <w:rsid w:val="0007779B"/>
    <w:rsid w:val="00077C57"/>
    <w:rsid w:val="00080045"/>
    <w:rsid w:val="00080986"/>
    <w:rsid w:val="00080AF8"/>
    <w:rsid w:val="00080EBF"/>
    <w:rsid w:val="000810C1"/>
    <w:rsid w:val="000810C3"/>
    <w:rsid w:val="00081143"/>
    <w:rsid w:val="00081AEF"/>
    <w:rsid w:val="00081DF3"/>
    <w:rsid w:val="00081E6A"/>
    <w:rsid w:val="00081EAE"/>
    <w:rsid w:val="00081F32"/>
    <w:rsid w:val="0008207A"/>
    <w:rsid w:val="00082200"/>
    <w:rsid w:val="00082313"/>
    <w:rsid w:val="000824C4"/>
    <w:rsid w:val="00082892"/>
    <w:rsid w:val="000829B3"/>
    <w:rsid w:val="00082B26"/>
    <w:rsid w:val="00082BD1"/>
    <w:rsid w:val="00082E52"/>
    <w:rsid w:val="00083587"/>
    <w:rsid w:val="00083655"/>
    <w:rsid w:val="000836ED"/>
    <w:rsid w:val="00083E31"/>
    <w:rsid w:val="00083F0F"/>
    <w:rsid w:val="00083F5E"/>
    <w:rsid w:val="00084248"/>
    <w:rsid w:val="00084258"/>
    <w:rsid w:val="00084608"/>
    <w:rsid w:val="000847AC"/>
    <w:rsid w:val="0008487F"/>
    <w:rsid w:val="000848CC"/>
    <w:rsid w:val="00084BCD"/>
    <w:rsid w:val="00084C26"/>
    <w:rsid w:val="0008507E"/>
    <w:rsid w:val="000852F0"/>
    <w:rsid w:val="0008531B"/>
    <w:rsid w:val="000854D2"/>
    <w:rsid w:val="00085686"/>
    <w:rsid w:val="000856BF"/>
    <w:rsid w:val="000857BB"/>
    <w:rsid w:val="0008586E"/>
    <w:rsid w:val="0008594F"/>
    <w:rsid w:val="000859D1"/>
    <w:rsid w:val="00085B6C"/>
    <w:rsid w:val="00085BF4"/>
    <w:rsid w:val="00085D33"/>
    <w:rsid w:val="00085DA4"/>
    <w:rsid w:val="00085EF5"/>
    <w:rsid w:val="00085F08"/>
    <w:rsid w:val="00086080"/>
    <w:rsid w:val="000860C7"/>
    <w:rsid w:val="000861C1"/>
    <w:rsid w:val="000864DF"/>
    <w:rsid w:val="00086C04"/>
    <w:rsid w:val="00086D16"/>
    <w:rsid w:val="00087281"/>
    <w:rsid w:val="00087377"/>
    <w:rsid w:val="00087700"/>
    <w:rsid w:val="0008775C"/>
    <w:rsid w:val="00087EDA"/>
    <w:rsid w:val="00087F66"/>
    <w:rsid w:val="00087FC9"/>
    <w:rsid w:val="000900AC"/>
    <w:rsid w:val="00090316"/>
    <w:rsid w:val="000903B5"/>
    <w:rsid w:val="00090457"/>
    <w:rsid w:val="0009045A"/>
    <w:rsid w:val="00090C0B"/>
    <w:rsid w:val="00090C5A"/>
    <w:rsid w:val="00090ECD"/>
    <w:rsid w:val="00091239"/>
    <w:rsid w:val="0009131B"/>
    <w:rsid w:val="00091605"/>
    <w:rsid w:val="0009160F"/>
    <w:rsid w:val="00091C6C"/>
    <w:rsid w:val="00091DBB"/>
    <w:rsid w:val="00091FAC"/>
    <w:rsid w:val="00091FC7"/>
    <w:rsid w:val="0009215D"/>
    <w:rsid w:val="000922B2"/>
    <w:rsid w:val="000923D7"/>
    <w:rsid w:val="00092401"/>
    <w:rsid w:val="00092718"/>
    <w:rsid w:val="000927CE"/>
    <w:rsid w:val="00092ABE"/>
    <w:rsid w:val="00092CC3"/>
    <w:rsid w:val="00092E99"/>
    <w:rsid w:val="000932DF"/>
    <w:rsid w:val="00093909"/>
    <w:rsid w:val="00093D65"/>
    <w:rsid w:val="00093DF7"/>
    <w:rsid w:val="00093EE6"/>
    <w:rsid w:val="00094238"/>
    <w:rsid w:val="0009457C"/>
    <w:rsid w:val="0009478A"/>
    <w:rsid w:val="000948CB"/>
    <w:rsid w:val="00094BC8"/>
    <w:rsid w:val="00094EDF"/>
    <w:rsid w:val="00094F08"/>
    <w:rsid w:val="000951E7"/>
    <w:rsid w:val="00095212"/>
    <w:rsid w:val="00095364"/>
    <w:rsid w:val="0009549F"/>
    <w:rsid w:val="0009566B"/>
    <w:rsid w:val="00095721"/>
    <w:rsid w:val="000957ED"/>
    <w:rsid w:val="00095BE9"/>
    <w:rsid w:val="00095DBD"/>
    <w:rsid w:val="00095FAF"/>
    <w:rsid w:val="0009607E"/>
    <w:rsid w:val="000961B7"/>
    <w:rsid w:val="000963AB"/>
    <w:rsid w:val="0009650F"/>
    <w:rsid w:val="0009655A"/>
    <w:rsid w:val="000966CF"/>
    <w:rsid w:val="000966F1"/>
    <w:rsid w:val="00096AAD"/>
    <w:rsid w:val="00096CB6"/>
    <w:rsid w:val="00096D15"/>
    <w:rsid w:val="00097060"/>
    <w:rsid w:val="00097C06"/>
    <w:rsid w:val="00097CB5"/>
    <w:rsid w:val="00097DF3"/>
    <w:rsid w:val="000A01EF"/>
    <w:rsid w:val="000A03DB"/>
    <w:rsid w:val="000A048C"/>
    <w:rsid w:val="000A06F3"/>
    <w:rsid w:val="000A09EB"/>
    <w:rsid w:val="000A0A69"/>
    <w:rsid w:val="000A0E88"/>
    <w:rsid w:val="000A0F75"/>
    <w:rsid w:val="000A0FD5"/>
    <w:rsid w:val="000A1116"/>
    <w:rsid w:val="000A13F6"/>
    <w:rsid w:val="000A1A0D"/>
    <w:rsid w:val="000A1E25"/>
    <w:rsid w:val="000A1E29"/>
    <w:rsid w:val="000A1F07"/>
    <w:rsid w:val="000A2059"/>
    <w:rsid w:val="000A2157"/>
    <w:rsid w:val="000A227F"/>
    <w:rsid w:val="000A2549"/>
    <w:rsid w:val="000A2611"/>
    <w:rsid w:val="000A2669"/>
    <w:rsid w:val="000A2728"/>
    <w:rsid w:val="000A283B"/>
    <w:rsid w:val="000A2AD0"/>
    <w:rsid w:val="000A2F21"/>
    <w:rsid w:val="000A2F2D"/>
    <w:rsid w:val="000A348D"/>
    <w:rsid w:val="000A34A4"/>
    <w:rsid w:val="000A3659"/>
    <w:rsid w:val="000A37C9"/>
    <w:rsid w:val="000A395F"/>
    <w:rsid w:val="000A3FA4"/>
    <w:rsid w:val="000A3FD5"/>
    <w:rsid w:val="000A4265"/>
    <w:rsid w:val="000A4300"/>
    <w:rsid w:val="000A440A"/>
    <w:rsid w:val="000A4599"/>
    <w:rsid w:val="000A46D9"/>
    <w:rsid w:val="000A4E9D"/>
    <w:rsid w:val="000A5184"/>
    <w:rsid w:val="000A51FD"/>
    <w:rsid w:val="000A5278"/>
    <w:rsid w:val="000A53B3"/>
    <w:rsid w:val="000A53CC"/>
    <w:rsid w:val="000A5645"/>
    <w:rsid w:val="000A5918"/>
    <w:rsid w:val="000A59F1"/>
    <w:rsid w:val="000A5B1B"/>
    <w:rsid w:val="000A5E65"/>
    <w:rsid w:val="000A61E7"/>
    <w:rsid w:val="000A684D"/>
    <w:rsid w:val="000A68ED"/>
    <w:rsid w:val="000A698F"/>
    <w:rsid w:val="000A6A36"/>
    <w:rsid w:val="000A6AD0"/>
    <w:rsid w:val="000A6C28"/>
    <w:rsid w:val="000A6DEA"/>
    <w:rsid w:val="000A6FB4"/>
    <w:rsid w:val="000A72AF"/>
    <w:rsid w:val="000A7391"/>
    <w:rsid w:val="000A7583"/>
    <w:rsid w:val="000A7610"/>
    <w:rsid w:val="000A7625"/>
    <w:rsid w:val="000A78F8"/>
    <w:rsid w:val="000A7A23"/>
    <w:rsid w:val="000A7CEB"/>
    <w:rsid w:val="000A7D98"/>
    <w:rsid w:val="000A7F77"/>
    <w:rsid w:val="000B0381"/>
    <w:rsid w:val="000B038F"/>
    <w:rsid w:val="000B0778"/>
    <w:rsid w:val="000B09D8"/>
    <w:rsid w:val="000B0A12"/>
    <w:rsid w:val="000B0B5D"/>
    <w:rsid w:val="000B0C22"/>
    <w:rsid w:val="000B0D8E"/>
    <w:rsid w:val="000B0EA0"/>
    <w:rsid w:val="000B120E"/>
    <w:rsid w:val="000B12A6"/>
    <w:rsid w:val="000B141F"/>
    <w:rsid w:val="000B15D8"/>
    <w:rsid w:val="000B17C9"/>
    <w:rsid w:val="000B181D"/>
    <w:rsid w:val="000B1CF2"/>
    <w:rsid w:val="000B1EDA"/>
    <w:rsid w:val="000B1F55"/>
    <w:rsid w:val="000B2068"/>
    <w:rsid w:val="000B2095"/>
    <w:rsid w:val="000B21C0"/>
    <w:rsid w:val="000B23FC"/>
    <w:rsid w:val="000B2548"/>
    <w:rsid w:val="000B270E"/>
    <w:rsid w:val="000B2773"/>
    <w:rsid w:val="000B2888"/>
    <w:rsid w:val="000B2889"/>
    <w:rsid w:val="000B28BF"/>
    <w:rsid w:val="000B2E26"/>
    <w:rsid w:val="000B2FD9"/>
    <w:rsid w:val="000B3140"/>
    <w:rsid w:val="000B3186"/>
    <w:rsid w:val="000B3221"/>
    <w:rsid w:val="000B337F"/>
    <w:rsid w:val="000B3743"/>
    <w:rsid w:val="000B377C"/>
    <w:rsid w:val="000B3A5C"/>
    <w:rsid w:val="000B3B87"/>
    <w:rsid w:val="000B3FFC"/>
    <w:rsid w:val="000B4080"/>
    <w:rsid w:val="000B43C9"/>
    <w:rsid w:val="000B45B7"/>
    <w:rsid w:val="000B45F9"/>
    <w:rsid w:val="000B4917"/>
    <w:rsid w:val="000B4A05"/>
    <w:rsid w:val="000B4C19"/>
    <w:rsid w:val="000B4FE2"/>
    <w:rsid w:val="000B52DA"/>
    <w:rsid w:val="000B5445"/>
    <w:rsid w:val="000B56AC"/>
    <w:rsid w:val="000B581C"/>
    <w:rsid w:val="000B5845"/>
    <w:rsid w:val="000B5B70"/>
    <w:rsid w:val="000B6012"/>
    <w:rsid w:val="000B6252"/>
    <w:rsid w:val="000B62B8"/>
    <w:rsid w:val="000B647A"/>
    <w:rsid w:val="000B669D"/>
    <w:rsid w:val="000B68E0"/>
    <w:rsid w:val="000B6D8B"/>
    <w:rsid w:val="000B6F05"/>
    <w:rsid w:val="000B7279"/>
    <w:rsid w:val="000B785A"/>
    <w:rsid w:val="000B790E"/>
    <w:rsid w:val="000B7A4F"/>
    <w:rsid w:val="000B7B77"/>
    <w:rsid w:val="000B7C37"/>
    <w:rsid w:val="000B7CC9"/>
    <w:rsid w:val="000B7DEB"/>
    <w:rsid w:val="000C0131"/>
    <w:rsid w:val="000C0139"/>
    <w:rsid w:val="000C025E"/>
    <w:rsid w:val="000C10EC"/>
    <w:rsid w:val="000C1167"/>
    <w:rsid w:val="000C11F2"/>
    <w:rsid w:val="000C1273"/>
    <w:rsid w:val="000C1429"/>
    <w:rsid w:val="000C14ED"/>
    <w:rsid w:val="000C1530"/>
    <w:rsid w:val="000C17DC"/>
    <w:rsid w:val="000C1A40"/>
    <w:rsid w:val="000C1BEE"/>
    <w:rsid w:val="000C1E3C"/>
    <w:rsid w:val="000C246B"/>
    <w:rsid w:val="000C253D"/>
    <w:rsid w:val="000C28DA"/>
    <w:rsid w:val="000C293A"/>
    <w:rsid w:val="000C2F99"/>
    <w:rsid w:val="000C3256"/>
    <w:rsid w:val="000C3287"/>
    <w:rsid w:val="000C34B5"/>
    <w:rsid w:val="000C3599"/>
    <w:rsid w:val="000C38FE"/>
    <w:rsid w:val="000C3B6E"/>
    <w:rsid w:val="000C3CFA"/>
    <w:rsid w:val="000C3D6D"/>
    <w:rsid w:val="000C3EE1"/>
    <w:rsid w:val="000C407F"/>
    <w:rsid w:val="000C419A"/>
    <w:rsid w:val="000C4338"/>
    <w:rsid w:val="000C447B"/>
    <w:rsid w:val="000C46F8"/>
    <w:rsid w:val="000C4A4D"/>
    <w:rsid w:val="000C4B4E"/>
    <w:rsid w:val="000C4CE9"/>
    <w:rsid w:val="000C4F5E"/>
    <w:rsid w:val="000C5039"/>
    <w:rsid w:val="000C516C"/>
    <w:rsid w:val="000C5259"/>
    <w:rsid w:val="000C57B2"/>
    <w:rsid w:val="000C5894"/>
    <w:rsid w:val="000C599B"/>
    <w:rsid w:val="000C59D7"/>
    <w:rsid w:val="000C5AA8"/>
    <w:rsid w:val="000C5D30"/>
    <w:rsid w:val="000C5D43"/>
    <w:rsid w:val="000C6054"/>
    <w:rsid w:val="000C62DF"/>
    <w:rsid w:val="000C6343"/>
    <w:rsid w:val="000C650B"/>
    <w:rsid w:val="000C653F"/>
    <w:rsid w:val="000C6732"/>
    <w:rsid w:val="000C6897"/>
    <w:rsid w:val="000C692A"/>
    <w:rsid w:val="000C698A"/>
    <w:rsid w:val="000C6A0E"/>
    <w:rsid w:val="000C6B69"/>
    <w:rsid w:val="000C6C1F"/>
    <w:rsid w:val="000C6CD5"/>
    <w:rsid w:val="000C71D0"/>
    <w:rsid w:val="000C751E"/>
    <w:rsid w:val="000C76DB"/>
    <w:rsid w:val="000C77AA"/>
    <w:rsid w:val="000C77E8"/>
    <w:rsid w:val="000C79FB"/>
    <w:rsid w:val="000C7AAD"/>
    <w:rsid w:val="000C7B65"/>
    <w:rsid w:val="000C7E56"/>
    <w:rsid w:val="000C7E66"/>
    <w:rsid w:val="000D02C2"/>
    <w:rsid w:val="000D03ED"/>
    <w:rsid w:val="000D046B"/>
    <w:rsid w:val="000D0560"/>
    <w:rsid w:val="000D0842"/>
    <w:rsid w:val="000D0C4E"/>
    <w:rsid w:val="000D0CD4"/>
    <w:rsid w:val="000D0F67"/>
    <w:rsid w:val="000D146C"/>
    <w:rsid w:val="000D1559"/>
    <w:rsid w:val="000D16BF"/>
    <w:rsid w:val="000D1AA4"/>
    <w:rsid w:val="000D1B77"/>
    <w:rsid w:val="000D1B9E"/>
    <w:rsid w:val="000D1BD4"/>
    <w:rsid w:val="000D1C1D"/>
    <w:rsid w:val="000D1CE2"/>
    <w:rsid w:val="000D1D8F"/>
    <w:rsid w:val="000D1FFD"/>
    <w:rsid w:val="000D2068"/>
    <w:rsid w:val="000D206A"/>
    <w:rsid w:val="000D20EE"/>
    <w:rsid w:val="000D2107"/>
    <w:rsid w:val="000D2111"/>
    <w:rsid w:val="000D2273"/>
    <w:rsid w:val="000D2290"/>
    <w:rsid w:val="000D2323"/>
    <w:rsid w:val="000D247F"/>
    <w:rsid w:val="000D26E9"/>
    <w:rsid w:val="000D2F04"/>
    <w:rsid w:val="000D33AA"/>
    <w:rsid w:val="000D3713"/>
    <w:rsid w:val="000D3931"/>
    <w:rsid w:val="000D41E4"/>
    <w:rsid w:val="000D44E8"/>
    <w:rsid w:val="000D45C2"/>
    <w:rsid w:val="000D473C"/>
    <w:rsid w:val="000D47E2"/>
    <w:rsid w:val="000D4815"/>
    <w:rsid w:val="000D4858"/>
    <w:rsid w:val="000D4B51"/>
    <w:rsid w:val="000D53CB"/>
    <w:rsid w:val="000D554E"/>
    <w:rsid w:val="000D5CA6"/>
    <w:rsid w:val="000D5CFB"/>
    <w:rsid w:val="000D5EED"/>
    <w:rsid w:val="000D63C8"/>
    <w:rsid w:val="000D6420"/>
    <w:rsid w:val="000D68B7"/>
    <w:rsid w:val="000D6C22"/>
    <w:rsid w:val="000D6F65"/>
    <w:rsid w:val="000D7192"/>
    <w:rsid w:val="000D71BA"/>
    <w:rsid w:val="000D7443"/>
    <w:rsid w:val="000D748B"/>
    <w:rsid w:val="000D7636"/>
    <w:rsid w:val="000D7674"/>
    <w:rsid w:val="000D7891"/>
    <w:rsid w:val="000D78FE"/>
    <w:rsid w:val="000D7D3B"/>
    <w:rsid w:val="000D7D4A"/>
    <w:rsid w:val="000D7E73"/>
    <w:rsid w:val="000D7ED5"/>
    <w:rsid w:val="000E0386"/>
    <w:rsid w:val="000E0398"/>
    <w:rsid w:val="000E0563"/>
    <w:rsid w:val="000E0A21"/>
    <w:rsid w:val="000E0DAE"/>
    <w:rsid w:val="000E0E46"/>
    <w:rsid w:val="000E0F8A"/>
    <w:rsid w:val="000E13F1"/>
    <w:rsid w:val="000E1569"/>
    <w:rsid w:val="000E1799"/>
    <w:rsid w:val="000E18A5"/>
    <w:rsid w:val="000E1DA9"/>
    <w:rsid w:val="000E1F31"/>
    <w:rsid w:val="000E20EB"/>
    <w:rsid w:val="000E215D"/>
    <w:rsid w:val="000E23E7"/>
    <w:rsid w:val="000E256C"/>
    <w:rsid w:val="000E2B21"/>
    <w:rsid w:val="000E2F04"/>
    <w:rsid w:val="000E308D"/>
    <w:rsid w:val="000E3298"/>
    <w:rsid w:val="000E3517"/>
    <w:rsid w:val="000E3626"/>
    <w:rsid w:val="000E3C59"/>
    <w:rsid w:val="000E3E4C"/>
    <w:rsid w:val="000E3EA5"/>
    <w:rsid w:val="000E3F59"/>
    <w:rsid w:val="000E3FE8"/>
    <w:rsid w:val="000E4102"/>
    <w:rsid w:val="000E448A"/>
    <w:rsid w:val="000E45F2"/>
    <w:rsid w:val="000E47C1"/>
    <w:rsid w:val="000E492A"/>
    <w:rsid w:val="000E4BE4"/>
    <w:rsid w:val="000E4DA5"/>
    <w:rsid w:val="000E51D7"/>
    <w:rsid w:val="000E54A8"/>
    <w:rsid w:val="000E55F9"/>
    <w:rsid w:val="000E5747"/>
    <w:rsid w:val="000E5774"/>
    <w:rsid w:val="000E5916"/>
    <w:rsid w:val="000E5FAC"/>
    <w:rsid w:val="000E6019"/>
    <w:rsid w:val="000E613F"/>
    <w:rsid w:val="000E638B"/>
    <w:rsid w:val="000E64D3"/>
    <w:rsid w:val="000E6A07"/>
    <w:rsid w:val="000E6A2D"/>
    <w:rsid w:val="000E6A33"/>
    <w:rsid w:val="000E6CD7"/>
    <w:rsid w:val="000E6E5C"/>
    <w:rsid w:val="000E714D"/>
    <w:rsid w:val="000E73DE"/>
    <w:rsid w:val="000E7978"/>
    <w:rsid w:val="000E7C60"/>
    <w:rsid w:val="000E7D15"/>
    <w:rsid w:val="000E7DC5"/>
    <w:rsid w:val="000E7DEC"/>
    <w:rsid w:val="000E7E6F"/>
    <w:rsid w:val="000F0158"/>
    <w:rsid w:val="000F01DC"/>
    <w:rsid w:val="000F0304"/>
    <w:rsid w:val="000F048D"/>
    <w:rsid w:val="000F05A3"/>
    <w:rsid w:val="000F0EA0"/>
    <w:rsid w:val="000F102B"/>
    <w:rsid w:val="000F137C"/>
    <w:rsid w:val="000F18B4"/>
    <w:rsid w:val="000F18B5"/>
    <w:rsid w:val="000F19F1"/>
    <w:rsid w:val="000F1A80"/>
    <w:rsid w:val="000F1B99"/>
    <w:rsid w:val="000F1E5C"/>
    <w:rsid w:val="000F1E64"/>
    <w:rsid w:val="000F1FA4"/>
    <w:rsid w:val="000F206D"/>
    <w:rsid w:val="000F210E"/>
    <w:rsid w:val="000F2231"/>
    <w:rsid w:val="000F2423"/>
    <w:rsid w:val="000F25F4"/>
    <w:rsid w:val="000F2B35"/>
    <w:rsid w:val="000F2E34"/>
    <w:rsid w:val="000F3015"/>
    <w:rsid w:val="000F3080"/>
    <w:rsid w:val="000F331A"/>
    <w:rsid w:val="000F348C"/>
    <w:rsid w:val="000F349C"/>
    <w:rsid w:val="000F3572"/>
    <w:rsid w:val="000F35A3"/>
    <w:rsid w:val="000F35C7"/>
    <w:rsid w:val="000F3909"/>
    <w:rsid w:val="000F39D2"/>
    <w:rsid w:val="000F3A1D"/>
    <w:rsid w:val="000F3BA8"/>
    <w:rsid w:val="000F3DC5"/>
    <w:rsid w:val="000F4429"/>
    <w:rsid w:val="000F46A3"/>
    <w:rsid w:val="000F4AC3"/>
    <w:rsid w:val="000F4B31"/>
    <w:rsid w:val="000F4F1F"/>
    <w:rsid w:val="000F5142"/>
    <w:rsid w:val="000F514D"/>
    <w:rsid w:val="000F51B4"/>
    <w:rsid w:val="000F5469"/>
    <w:rsid w:val="000F54C0"/>
    <w:rsid w:val="000F55B9"/>
    <w:rsid w:val="000F57FE"/>
    <w:rsid w:val="000F592E"/>
    <w:rsid w:val="000F5973"/>
    <w:rsid w:val="000F5AA4"/>
    <w:rsid w:val="000F5F1F"/>
    <w:rsid w:val="000F6031"/>
    <w:rsid w:val="000F6111"/>
    <w:rsid w:val="000F684A"/>
    <w:rsid w:val="000F6A41"/>
    <w:rsid w:val="000F6BA9"/>
    <w:rsid w:val="000F6C2D"/>
    <w:rsid w:val="000F6C35"/>
    <w:rsid w:val="000F6EDC"/>
    <w:rsid w:val="000F710C"/>
    <w:rsid w:val="000F71A6"/>
    <w:rsid w:val="000F74CA"/>
    <w:rsid w:val="000F77F3"/>
    <w:rsid w:val="000F78A0"/>
    <w:rsid w:val="000F7ABD"/>
    <w:rsid w:val="000F7EE1"/>
    <w:rsid w:val="000F7EE9"/>
    <w:rsid w:val="00100580"/>
    <w:rsid w:val="001006F6"/>
    <w:rsid w:val="00100B23"/>
    <w:rsid w:val="00100B3B"/>
    <w:rsid w:val="00100D4F"/>
    <w:rsid w:val="00100EDF"/>
    <w:rsid w:val="00100F55"/>
    <w:rsid w:val="0010109A"/>
    <w:rsid w:val="001014E7"/>
    <w:rsid w:val="001018D0"/>
    <w:rsid w:val="001018EC"/>
    <w:rsid w:val="00101D54"/>
    <w:rsid w:val="00101DBC"/>
    <w:rsid w:val="00102275"/>
    <w:rsid w:val="001022F3"/>
    <w:rsid w:val="00102715"/>
    <w:rsid w:val="00103237"/>
    <w:rsid w:val="00103473"/>
    <w:rsid w:val="00103603"/>
    <w:rsid w:val="00103A98"/>
    <w:rsid w:val="00103B35"/>
    <w:rsid w:val="00103FB7"/>
    <w:rsid w:val="00104318"/>
    <w:rsid w:val="00104356"/>
    <w:rsid w:val="00104440"/>
    <w:rsid w:val="001044DA"/>
    <w:rsid w:val="001047DC"/>
    <w:rsid w:val="00104971"/>
    <w:rsid w:val="00104BBB"/>
    <w:rsid w:val="00104C08"/>
    <w:rsid w:val="0010501F"/>
    <w:rsid w:val="001051DB"/>
    <w:rsid w:val="001051F9"/>
    <w:rsid w:val="0010524E"/>
    <w:rsid w:val="001052C7"/>
    <w:rsid w:val="001056C9"/>
    <w:rsid w:val="00105893"/>
    <w:rsid w:val="00105B14"/>
    <w:rsid w:val="00105B17"/>
    <w:rsid w:val="00105BF4"/>
    <w:rsid w:val="00106087"/>
    <w:rsid w:val="00106152"/>
    <w:rsid w:val="00106304"/>
    <w:rsid w:val="0010631D"/>
    <w:rsid w:val="00106874"/>
    <w:rsid w:val="001068D1"/>
    <w:rsid w:val="00106A1D"/>
    <w:rsid w:val="00106C0F"/>
    <w:rsid w:val="001070AF"/>
    <w:rsid w:val="001072CE"/>
    <w:rsid w:val="0010732D"/>
    <w:rsid w:val="001074BE"/>
    <w:rsid w:val="00107594"/>
    <w:rsid w:val="00107672"/>
    <w:rsid w:val="00107699"/>
    <w:rsid w:val="001079B8"/>
    <w:rsid w:val="00107A1C"/>
    <w:rsid w:val="00107C02"/>
    <w:rsid w:val="0011006F"/>
    <w:rsid w:val="00110523"/>
    <w:rsid w:val="0011057D"/>
    <w:rsid w:val="0011091D"/>
    <w:rsid w:val="00110A49"/>
    <w:rsid w:val="00110D0D"/>
    <w:rsid w:val="00110D14"/>
    <w:rsid w:val="00110EE0"/>
    <w:rsid w:val="00110F73"/>
    <w:rsid w:val="0011118E"/>
    <w:rsid w:val="001113F1"/>
    <w:rsid w:val="00111507"/>
    <w:rsid w:val="00111764"/>
    <w:rsid w:val="00111774"/>
    <w:rsid w:val="00111909"/>
    <w:rsid w:val="0011199E"/>
    <w:rsid w:val="00111DEB"/>
    <w:rsid w:val="00111F88"/>
    <w:rsid w:val="001120D8"/>
    <w:rsid w:val="001122D8"/>
    <w:rsid w:val="00112534"/>
    <w:rsid w:val="0011270F"/>
    <w:rsid w:val="00112BFB"/>
    <w:rsid w:val="00112EBC"/>
    <w:rsid w:val="00112EC2"/>
    <w:rsid w:val="00112FDD"/>
    <w:rsid w:val="00113308"/>
    <w:rsid w:val="0011364C"/>
    <w:rsid w:val="001136D7"/>
    <w:rsid w:val="001136FD"/>
    <w:rsid w:val="00113831"/>
    <w:rsid w:val="00113E14"/>
    <w:rsid w:val="00114012"/>
    <w:rsid w:val="001140AB"/>
    <w:rsid w:val="00114193"/>
    <w:rsid w:val="0011424F"/>
    <w:rsid w:val="00114482"/>
    <w:rsid w:val="001145D7"/>
    <w:rsid w:val="0011488D"/>
    <w:rsid w:val="00114C34"/>
    <w:rsid w:val="00114DE5"/>
    <w:rsid w:val="0011504B"/>
    <w:rsid w:val="001152B9"/>
    <w:rsid w:val="001152EA"/>
    <w:rsid w:val="00115620"/>
    <w:rsid w:val="00115D5E"/>
    <w:rsid w:val="00116620"/>
    <w:rsid w:val="001167DF"/>
    <w:rsid w:val="00116EC1"/>
    <w:rsid w:val="00116ED4"/>
    <w:rsid w:val="00116F1F"/>
    <w:rsid w:val="00117087"/>
    <w:rsid w:val="001171A5"/>
    <w:rsid w:val="001172A2"/>
    <w:rsid w:val="00117378"/>
    <w:rsid w:val="001173B5"/>
    <w:rsid w:val="0011772A"/>
    <w:rsid w:val="0011777B"/>
    <w:rsid w:val="00117B7B"/>
    <w:rsid w:val="00117DD7"/>
    <w:rsid w:val="0012010C"/>
    <w:rsid w:val="0012018D"/>
    <w:rsid w:val="001201BF"/>
    <w:rsid w:val="00120449"/>
    <w:rsid w:val="00120468"/>
    <w:rsid w:val="001204B3"/>
    <w:rsid w:val="001207F2"/>
    <w:rsid w:val="00120826"/>
    <w:rsid w:val="00120C0A"/>
    <w:rsid w:val="00120CB9"/>
    <w:rsid w:val="00120D40"/>
    <w:rsid w:val="00120E35"/>
    <w:rsid w:val="00121463"/>
    <w:rsid w:val="001214D9"/>
    <w:rsid w:val="00121579"/>
    <w:rsid w:val="00121941"/>
    <w:rsid w:val="00121B9B"/>
    <w:rsid w:val="00121D48"/>
    <w:rsid w:val="00121D5F"/>
    <w:rsid w:val="001222F5"/>
    <w:rsid w:val="0012251E"/>
    <w:rsid w:val="00122588"/>
    <w:rsid w:val="00122CEE"/>
    <w:rsid w:val="00123277"/>
    <w:rsid w:val="001233C3"/>
    <w:rsid w:val="00123433"/>
    <w:rsid w:val="00123692"/>
    <w:rsid w:val="0012384F"/>
    <w:rsid w:val="0012389B"/>
    <w:rsid w:val="00123B0A"/>
    <w:rsid w:val="00123E01"/>
    <w:rsid w:val="001240DC"/>
    <w:rsid w:val="001240E3"/>
    <w:rsid w:val="001243E7"/>
    <w:rsid w:val="00124435"/>
    <w:rsid w:val="00124449"/>
    <w:rsid w:val="00124451"/>
    <w:rsid w:val="0012463B"/>
    <w:rsid w:val="0012482C"/>
    <w:rsid w:val="00124C5E"/>
    <w:rsid w:val="00124D48"/>
    <w:rsid w:val="00124ED3"/>
    <w:rsid w:val="001251B3"/>
    <w:rsid w:val="0012522F"/>
    <w:rsid w:val="001252FB"/>
    <w:rsid w:val="00125365"/>
    <w:rsid w:val="0012547A"/>
    <w:rsid w:val="00125627"/>
    <w:rsid w:val="001259B4"/>
    <w:rsid w:val="00125A53"/>
    <w:rsid w:val="00125EE6"/>
    <w:rsid w:val="00126196"/>
    <w:rsid w:val="0012640B"/>
    <w:rsid w:val="00126428"/>
    <w:rsid w:val="001265CE"/>
    <w:rsid w:val="00126B2F"/>
    <w:rsid w:val="00126B8D"/>
    <w:rsid w:val="00126D30"/>
    <w:rsid w:val="00127049"/>
    <w:rsid w:val="00127058"/>
    <w:rsid w:val="0012724D"/>
    <w:rsid w:val="00127346"/>
    <w:rsid w:val="001273D4"/>
    <w:rsid w:val="0012767B"/>
    <w:rsid w:val="001278EA"/>
    <w:rsid w:val="00127AC6"/>
    <w:rsid w:val="00127DB4"/>
    <w:rsid w:val="00127E49"/>
    <w:rsid w:val="0013027F"/>
    <w:rsid w:val="0013041C"/>
    <w:rsid w:val="00130446"/>
    <w:rsid w:val="00130644"/>
    <w:rsid w:val="0013091F"/>
    <w:rsid w:val="00130B2B"/>
    <w:rsid w:val="00130C52"/>
    <w:rsid w:val="00130E7C"/>
    <w:rsid w:val="0013104F"/>
    <w:rsid w:val="0013125C"/>
    <w:rsid w:val="0013126E"/>
    <w:rsid w:val="00131302"/>
    <w:rsid w:val="001313FB"/>
    <w:rsid w:val="0013140E"/>
    <w:rsid w:val="00131824"/>
    <w:rsid w:val="00131BDF"/>
    <w:rsid w:val="00131E6D"/>
    <w:rsid w:val="00131F07"/>
    <w:rsid w:val="0013211A"/>
    <w:rsid w:val="001321D2"/>
    <w:rsid w:val="001322A1"/>
    <w:rsid w:val="00132574"/>
    <w:rsid w:val="00132634"/>
    <w:rsid w:val="0013278E"/>
    <w:rsid w:val="0013296E"/>
    <w:rsid w:val="00132E53"/>
    <w:rsid w:val="00132F18"/>
    <w:rsid w:val="0013300A"/>
    <w:rsid w:val="0013310A"/>
    <w:rsid w:val="0013317C"/>
    <w:rsid w:val="0013318B"/>
    <w:rsid w:val="0013321C"/>
    <w:rsid w:val="001332D3"/>
    <w:rsid w:val="0013358E"/>
    <w:rsid w:val="001336A8"/>
    <w:rsid w:val="00133897"/>
    <w:rsid w:val="001338ED"/>
    <w:rsid w:val="00133B0B"/>
    <w:rsid w:val="00133EAD"/>
    <w:rsid w:val="0013411C"/>
    <w:rsid w:val="001341F0"/>
    <w:rsid w:val="00134348"/>
    <w:rsid w:val="00134827"/>
    <w:rsid w:val="00134C07"/>
    <w:rsid w:val="00134C63"/>
    <w:rsid w:val="00134FB3"/>
    <w:rsid w:val="00135043"/>
    <w:rsid w:val="00135062"/>
    <w:rsid w:val="00135085"/>
    <w:rsid w:val="00135109"/>
    <w:rsid w:val="001351E0"/>
    <w:rsid w:val="0013584E"/>
    <w:rsid w:val="00135855"/>
    <w:rsid w:val="00135B38"/>
    <w:rsid w:val="00135D8B"/>
    <w:rsid w:val="00135DDE"/>
    <w:rsid w:val="001361BF"/>
    <w:rsid w:val="001366EF"/>
    <w:rsid w:val="0013681D"/>
    <w:rsid w:val="00136DB7"/>
    <w:rsid w:val="00136E51"/>
    <w:rsid w:val="00136FE9"/>
    <w:rsid w:val="00137060"/>
    <w:rsid w:val="00137303"/>
    <w:rsid w:val="001373CA"/>
    <w:rsid w:val="001374BB"/>
    <w:rsid w:val="001378C4"/>
    <w:rsid w:val="00137BFC"/>
    <w:rsid w:val="00137FD6"/>
    <w:rsid w:val="00140066"/>
    <w:rsid w:val="00140170"/>
    <w:rsid w:val="001401E7"/>
    <w:rsid w:val="00140232"/>
    <w:rsid w:val="0014039D"/>
    <w:rsid w:val="001405F9"/>
    <w:rsid w:val="00140647"/>
    <w:rsid w:val="00140B8B"/>
    <w:rsid w:val="00140CC9"/>
    <w:rsid w:val="00140E92"/>
    <w:rsid w:val="00140FC1"/>
    <w:rsid w:val="00141AAA"/>
    <w:rsid w:val="00141BD0"/>
    <w:rsid w:val="00141D5A"/>
    <w:rsid w:val="00141EC2"/>
    <w:rsid w:val="00142044"/>
    <w:rsid w:val="0014234A"/>
    <w:rsid w:val="00142438"/>
    <w:rsid w:val="0014271C"/>
    <w:rsid w:val="00142850"/>
    <w:rsid w:val="00142AAC"/>
    <w:rsid w:val="00142C62"/>
    <w:rsid w:val="00142E21"/>
    <w:rsid w:val="00143396"/>
    <w:rsid w:val="001433C5"/>
    <w:rsid w:val="001434A8"/>
    <w:rsid w:val="00143CDB"/>
    <w:rsid w:val="00143D05"/>
    <w:rsid w:val="00144212"/>
    <w:rsid w:val="0014433D"/>
    <w:rsid w:val="00144669"/>
    <w:rsid w:val="001447E0"/>
    <w:rsid w:val="001448EA"/>
    <w:rsid w:val="0014491A"/>
    <w:rsid w:val="001449C5"/>
    <w:rsid w:val="00144BF1"/>
    <w:rsid w:val="00144CA2"/>
    <w:rsid w:val="00144F78"/>
    <w:rsid w:val="00144FF4"/>
    <w:rsid w:val="0014529E"/>
    <w:rsid w:val="00145325"/>
    <w:rsid w:val="001455F5"/>
    <w:rsid w:val="00145751"/>
    <w:rsid w:val="00145910"/>
    <w:rsid w:val="0014593D"/>
    <w:rsid w:val="00145AAA"/>
    <w:rsid w:val="0014616A"/>
    <w:rsid w:val="00146351"/>
    <w:rsid w:val="0014648A"/>
    <w:rsid w:val="00146910"/>
    <w:rsid w:val="00146E26"/>
    <w:rsid w:val="00146F3B"/>
    <w:rsid w:val="0014773E"/>
    <w:rsid w:val="0014779F"/>
    <w:rsid w:val="001479B8"/>
    <w:rsid w:val="001479F9"/>
    <w:rsid w:val="00147AED"/>
    <w:rsid w:val="00147D42"/>
    <w:rsid w:val="00147DD6"/>
    <w:rsid w:val="00150188"/>
    <w:rsid w:val="00150281"/>
    <w:rsid w:val="001505DB"/>
    <w:rsid w:val="00150869"/>
    <w:rsid w:val="00150A20"/>
    <w:rsid w:val="00150C07"/>
    <w:rsid w:val="00150D61"/>
    <w:rsid w:val="00150D81"/>
    <w:rsid w:val="00150EE1"/>
    <w:rsid w:val="00150F4A"/>
    <w:rsid w:val="00151046"/>
    <w:rsid w:val="001511A2"/>
    <w:rsid w:val="001517FC"/>
    <w:rsid w:val="00151E9D"/>
    <w:rsid w:val="00151ECD"/>
    <w:rsid w:val="001522A4"/>
    <w:rsid w:val="00152795"/>
    <w:rsid w:val="00152832"/>
    <w:rsid w:val="00152877"/>
    <w:rsid w:val="00152AFF"/>
    <w:rsid w:val="00152C8A"/>
    <w:rsid w:val="00153250"/>
    <w:rsid w:val="00153465"/>
    <w:rsid w:val="00153531"/>
    <w:rsid w:val="001538F8"/>
    <w:rsid w:val="00153F42"/>
    <w:rsid w:val="00153FEE"/>
    <w:rsid w:val="00154139"/>
    <w:rsid w:val="0015434F"/>
    <w:rsid w:val="0015441A"/>
    <w:rsid w:val="00154595"/>
    <w:rsid w:val="0015473F"/>
    <w:rsid w:val="00154F32"/>
    <w:rsid w:val="00154FCD"/>
    <w:rsid w:val="001552A6"/>
    <w:rsid w:val="0015548C"/>
    <w:rsid w:val="001557E5"/>
    <w:rsid w:val="00155A77"/>
    <w:rsid w:val="00155B28"/>
    <w:rsid w:val="00155D54"/>
    <w:rsid w:val="00155E9F"/>
    <w:rsid w:val="0015622F"/>
    <w:rsid w:val="001562CE"/>
    <w:rsid w:val="00156423"/>
    <w:rsid w:val="00156565"/>
    <w:rsid w:val="001568F6"/>
    <w:rsid w:val="00156D2C"/>
    <w:rsid w:val="001574CA"/>
    <w:rsid w:val="00157515"/>
    <w:rsid w:val="00157526"/>
    <w:rsid w:val="001576E0"/>
    <w:rsid w:val="00157818"/>
    <w:rsid w:val="00157B13"/>
    <w:rsid w:val="00157B2A"/>
    <w:rsid w:val="00157C34"/>
    <w:rsid w:val="00160131"/>
    <w:rsid w:val="001603BB"/>
    <w:rsid w:val="0016042D"/>
    <w:rsid w:val="0016068E"/>
    <w:rsid w:val="00160B93"/>
    <w:rsid w:val="00161187"/>
    <w:rsid w:val="001612F8"/>
    <w:rsid w:val="00161317"/>
    <w:rsid w:val="0016180B"/>
    <w:rsid w:val="00161940"/>
    <w:rsid w:val="00161A28"/>
    <w:rsid w:val="00161BCC"/>
    <w:rsid w:val="00161C23"/>
    <w:rsid w:val="00161C3E"/>
    <w:rsid w:val="00161C41"/>
    <w:rsid w:val="00161CE9"/>
    <w:rsid w:val="00161DA0"/>
    <w:rsid w:val="00161FCF"/>
    <w:rsid w:val="00162090"/>
    <w:rsid w:val="001620B1"/>
    <w:rsid w:val="001620F8"/>
    <w:rsid w:val="001622B2"/>
    <w:rsid w:val="00162324"/>
    <w:rsid w:val="0016236F"/>
    <w:rsid w:val="001629BD"/>
    <w:rsid w:val="001637E0"/>
    <w:rsid w:val="001637E4"/>
    <w:rsid w:val="001638A1"/>
    <w:rsid w:val="001638AB"/>
    <w:rsid w:val="001638FD"/>
    <w:rsid w:val="00163A88"/>
    <w:rsid w:val="00163DB7"/>
    <w:rsid w:val="00163EC6"/>
    <w:rsid w:val="00163F19"/>
    <w:rsid w:val="001642E5"/>
    <w:rsid w:val="001644F9"/>
    <w:rsid w:val="001645F1"/>
    <w:rsid w:val="00164762"/>
    <w:rsid w:val="00164B46"/>
    <w:rsid w:val="00164F8D"/>
    <w:rsid w:val="001650F5"/>
    <w:rsid w:val="0016516C"/>
    <w:rsid w:val="0016534B"/>
    <w:rsid w:val="00165478"/>
    <w:rsid w:val="001656CB"/>
    <w:rsid w:val="001657D3"/>
    <w:rsid w:val="001657D6"/>
    <w:rsid w:val="00165AEC"/>
    <w:rsid w:val="00165BC8"/>
    <w:rsid w:val="00165C0D"/>
    <w:rsid w:val="00165D57"/>
    <w:rsid w:val="001660EA"/>
    <w:rsid w:val="00166282"/>
    <w:rsid w:val="0016631D"/>
    <w:rsid w:val="00166CE6"/>
    <w:rsid w:val="00166F50"/>
    <w:rsid w:val="00167370"/>
    <w:rsid w:val="001676AF"/>
    <w:rsid w:val="001676BB"/>
    <w:rsid w:val="001676D6"/>
    <w:rsid w:val="00167BD3"/>
    <w:rsid w:val="00167EA9"/>
    <w:rsid w:val="00167EC1"/>
    <w:rsid w:val="00167F3B"/>
    <w:rsid w:val="001701A8"/>
    <w:rsid w:val="0017042E"/>
    <w:rsid w:val="00170488"/>
    <w:rsid w:val="00170508"/>
    <w:rsid w:val="001708A4"/>
    <w:rsid w:val="00170C3B"/>
    <w:rsid w:val="00170D69"/>
    <w:rsid w:val="00170DB1"/>
    <w:rsid w:val="00170ECE"/>
    <w:rsid w:val="001719E0"/>
    <w:rsid w:val="00171B03"/>
    <w:rsid w:val="00171C0D"/>
    <w:rsid w:val="00171CC3"/>
    <w:rsid w:val="00172584"/>
    <w:rsid w:val="0017265E"/>
    <w:rsid w:val="0017271A"/>
    <w:rsid w:val="00172B0F"/>
    <w:rsid w:val="00172C42"/>
    <w:rsid w:val="00172D67"/>
    <w:rsid w:val="00172E0F"/>
    <w:rsid w:val="001731D7"/>
    <w:rsid w:val="00173599"/>
    <w:rsid w:val="0017384A"/>
    <w:rsid w:val="00173DAA"/>
    <w:rsid w:val="00173F53"/>
    <w:rsid w:val="001742C1"/>
    <w:rsid w:val="00174328"/>
    <w:rsid w:val="0017480E"/>
    <w:rsid w:val="001748FE"/>
    <w:rsid w:val="001750D7"/>
    <w:rsid w:val="001753DA"/>
    <w:rsid w:val="001755D9"/>
    <w:rsid w:val="001756FA"/>
    <w:rsid w:val="00175AB5"/>
    <w:rsid w:val="00176012"/>
    <w:rsid w:val="001760D9"/>
    <w:rsid w:val="00176274"/>
    <w:rsid w:val="0017668E"/>
    <w:rsid w:val="00176939"/>
    <w:rsid w:val="00176DE0"/>
    <w:rsid w:val="00176EF6"/>
    <w:rsid w:val="00176F6A"/>
    <w:rsid w:val="00177005"/>
    <w:rsid w:val="0017726D"/>
    <w:rsid w:val="0017729E"/>
    <w:rsid w:val="001775D4"/>
    <w:rsid w:val="0017762F"/>
    <w:rsid w:val="001776B1"/>
    <w:rsid w:val="00177834"/>
    <w:rsid w:val="001778DE"/>
    <w:rsid w:val="001778E1"/>
    <w:rsid w:val="00177C23"/>
    <w:rsid w:val="00177E6E"/>
    <w:rsid w:val="00177F47"/>
    <w:rsid w:val="00180072"/>
    <w:rsid w:val="001800A0"/>
    <w:rsid w:val="0018016C"/>
    <w:rsid w:val="001801B0"/>
    <w:rsid w:val="001801B5"/>
    <w:rsid w:val="00180591"/>
    <w:rsid w:val="00180741"/>
    <w:rsid w:val="00180961"/>
    <w:rsid w:val="00180AA7"/>
    <w:rsid w:val="00180B88"/>
    <w:rsid w:val="00181326"/>
    <w:rsid w:val="0018133C"/>
    <w:rsid w:val="00181366"/>
    <w:rsid w:val="0018171D"/>
    <w:rsid w:val="00181A04"/>
    <w:rsid w:val="00181EE6"/>
    <w:rsid w:val="00181F7E"/>
    <w:rsid w:val="00182051"/>
    <w:rsid w:val="001824A0"/>
    <w:rsid w:val="001825AE"/>
    <w:rsid w:val="00182696"/>
    <w:rsid w:val="00182AF4"/>
    <w:rsid w:val="00182B98"/>
    <w:rsid w:val="00182CE5"/>
    <w:rsid w:val="00182E0F"/>
    <w:rsid w:val="00182F11"/>
    <w:rsid w:val="001830EB"/>
    <w:rsid w:val="00183347"/>
    <w:rsid w:val="001834F0"/>
    <w:rsid w:val="00183C6E"/>
    <w:rsid w:val="00183F35"/>
    <w:rsid w:val="0018429C"/>
    <w:rsid w:val="00184B79"/>
    <w:rsid w:val="0018516C"/>
    <w:rsid w:val="00185355"/>
    <w:rsid w:val="001853FB"/>
    <w:rsid w:val="0018575C"/>
    <w:rsid w:val="00185DE5"/>
    <w:rsid w:val="00185F81"/>
    <w:rsid w:val="0018628F"/>
    <w:rsid w:val="00186345"/>
    <w:rsid w:val="001869C9"/>
    <w:rsid w:val="00187176"/>
    <w:rsid w:val="00187290"/>
    <w:rsid w:val="001872A5"/>
    <w:rsid w:val="00187597"/>
    <w:rsid w:val="001878C4"/>
    <w:rsid w:val="0019024D"/>
    <w:rsid w:val="00190385"/>
    <w:rsid w:val="00190739"/>
    <w:rsid w:val="001908E1"/>
    <w:rsid w:val="001908E2"/>
    <w:rsid w:val="0019096F"/>
    <w:rsid w:val="00190A2F"/>
    <w:rsid w:val="00190A5D"/>
    <w:rsid w:val="00190BD3"/>
    <w:rsid w:val="00190CF8"/>
    <w:rsid w:val="00190DD0"/>
    <w:rsid w:val="00191304"/>
    <w:rsid w:val="001916CB"/>
    <w:rsid w:val="001916F4"/>
    <w:rsid w:val="001918B5"/>
    <w:rsid w:val="00191B02"/>
    <w:rsid w:val="00191B90"/>
    <w:rsid w:val="00191BAE"/>
    <w:rsid w:val="00191C6C"/>
    <w:rsid w:val="00191C7A"/>
    <w:rsid w:val="00192176"/>
    <w:rsid w:val="00192191"/>
    <w:rsid w:val="001923F4"/>
    <w:rsid w:val="00192434"/>
    <w:rsid w:val="00192485"/>
    <w:rsid w:val="00192491"/>
    <w:rsid w:val="0019282E"/>
    <w:rsid w:val="001929F4"/>
    <w:rsid w:val="00192B2B"/>
    <w:rsid w:val="00192CF2"/>
    <w:rsid w:val="00192F74"/>
    <w:rsid w:val="00192FC7"/>
    <w:rsid w:val="001930DF"/>
    <w:rsid w:val="00193120"/>
    <w:rsid w:val="0019345F"/>
    <w:rsid w:val="001938F4"/>
    <w:rsid w:val="001939AA"/>
    <w:rsid w:val="00193A51"/>
    <w:rsid w:val="00193C25"/>
    <w:rsid w:val="00194080"/>
    <w:rsid w:val="001941B1"/>
    <w:rsid w:val="001944FB"/>
    <w:rsid w:val="00194952"/>
    <w:rsid w:val="001949BF"/>
    <w:rsid w:val="00194B4C"/>
    <w:rsid w:val="00194B6A"/>
    <w:rsid w:val="00194D1E"/>
    <w:rsid w:val="00194F8A"/>
    <w:rsid w:val="00194FF4"/>
    <w:rsid w:val="0019535F"/>
    <w:rsid w:val="001953B0"/>
    <w:rsid w:val="00195966"/>
    <w:rsid w:val="001959A7"/>
    <w:rsid w:val="001959DD"/>
    <w:rsid w:val="00195B3B"/>
    <w:rsid w:val="00195C82"/>
    <w:rsid w:val="001960B2"/>
    <w:rsid w:val="001966E3"/>
    <w:rsid w:val="0019693B"/>
    <w:rsid w:val="00196B79"/>
    <w:rsid w:val="00196CB4"/>
    <w:rsid w:val="00197155"/>
    <w:rsid w:val="00197713"/>
    <w:rsid w:val="00197B07"/>
    <w:rsid w:val="00197DFD"/>
    <w:rsid w:val="00197E22"/>
    <w:rsid w:val="00197E81"/>
    <w:rsid w:val="001A08B6"/>
    <w:rsid w:val="001A090E"/>
    <w:rsid w:val="001A0E0F"/>
    <w:rsid w:val="001A1130"/>
    <w:rsid w:val="001A12E0"/>
    <w:rsid w:val="001A16ED"/>
    <w:rsid w:val="001A19DF"/>
    <w:rsid w:val="001A1C1F"/>
    <w:rsid w:val="001A1E36"/>
    <w:rsid w:val="001A205E"/>
    <w:rsid w:val="001A223D"/>
    <w:rsid w:val="001A276C"/>
    <w:rsid w:val="001A2828"/>
    <w:rsid w:val="001A2C32"/>
    <w:rsid w:val="001A2D03"/>
    <w:rsid w:val="001A300F"/>
    <w:rsid w:val="001A3320"/>
    <w:rsid w:val="001A336D"/>
    <w:rsid w:val="001A34C5"/>
    <w:rsid w:val="001A3630"/>
    <w:rsid w:val="001A3700"/>
    <w:rsid w:val="001A38D1"/>
    <w:rsid w:val="001A422B"/>
    <w:rsid w:val="001A436B"/>
    <w:rsid w:val="001A4B97"/>
    <w:rsid w:val="001A4DE1"/>
    <w:rsid w:val="001A4FD1"/>
    <w:rsid w:val="001A5031"/>
    <w:rsid w:val="001A507F"/>
    <w:rsid w:val="001A56E7"/>
    <w:rsid w:val="001A58BF"/>
    <w:rsid w:val="001A598A"/>
    <w:rsid w:val="001A5A1C"/>
    <w:rsid w:val="001A5C5D"/>
    <w:rsid w:val="001A5D99"/>
    <w:rsid w:val="001A5DD3"/>
    <w:rsid w:val="001A5DE4"/>
    <w:rsid w:val="001A5ED1"/>
    <w:rsid w:val="001A5F3C"/>
    <w:rsid w:val="001A6199"/>
    <w:rsid w:val="001A6AFA"/>
    <w:rsid w:val="001A6D7A"/>
    <w:rsid w:val="001A6E0C"/>
    <w:rsid w:val="001A6E82"/>
    <w:rsid w:val="001A77AD"/>
    <w:rsid w:val="001A788A"/>
    <w:rsid w:val="001A7972"/>
    <w:rsid w:val="001A7DB1"/>
    <w:rsid w:val="001B0151"/>
    <w:rsid w:val="001B033C"/>
    <w:rsid w:val="001B04E2"/>
    <w:rsid w:val="001B08B2"/>
    <w:rsid w:val="001B0D7B"/>
    <w:rsid w:val="001B10FA"/>
    <w:rsid w:val="001B11CC"/>
    <w:rsid w:val="001B12D3"/>
    <w:rsid w:val="001B163C"/>
    <w:rsid w:val="001B1928"/>
    <w:rsid w:val="001B1A35"/>
    <w:rsid w:val="001B1BD3"/>
    <w:rsid w:val="001B1D1E"/>
    <w:rsid w:val="001B1E6B"/>
    <w:rsid w:val="001B1FD6"/>
    <w:rsid w:val="001B2042"/>
    <w:rsid w:val="001B2368"/>
    <w:rsid w:val="001B2559"/>
    <w:rsid w:val="001B25E5"/>
    <w:rsid w:val="001B2A7B"/>
    <w:rsid w:val="001B2AA2"/>
    <w:rsid w:val="001B2AD6"/>
    <w:rsid w:val="001B2BDF"/>
    <w:rsid w:val="001B2D41"/>
    <w:rsid w:val="001B31A2"/>
    <w:rsid w:val="001B32F9"/>
    <w:rsid w:val="001B33E2"/>
    <w:rsid w:val="001B370C"/>
    <w:rsid w:val="001B3902"/>
    <w:rsid w:val="001B3BF2"/>
    <w:rsid w:val="001B3DBF"/>
    <w:rsid w:val="001B3FB6"/>
    <w:rsid w:val="001B4036"/>
    <w:rsid w:val="001B45B1"/>
    <w:rsid w:val="001B4851"/>
    <w:rsid w:val="001B4B3A"/>
    <w:rsid w:val="001B4D25"/>
    <w:rsid w:val="001B4D89"/>
    <w:rsid w:val="001B512B"/>
    <w:rsid w:val="001B5448"/>
    <w:rsid w:val="001B55C9"/>
    <w:rsid w:val="001B58E5"/>
    <w:rsid w:val="001B5A0D"/>
    <w:rsid w:val="001B5A76"/>
    <w:rsid w:val="001B5D8F"/>
    <w:rsid w:val="001B5FA1"/>
    <w:rsid w:val="001B607E"/>
    <w:rsid w:val="001B65D4"/>
    <w:rsid w:val="001B68E7"/>
    <w:rsid w:val="001B6968"/>
    <w:rsid w:val="001B69AC"/>
    <w:rsid w:val="001B6B81"/>
    <w:rsid w:val="001B6F2B"/>
    <w:rsid w:val="001B6F3D"/>
    <w:rsid w:val="001B7597"/>
    <w:rsid w:val="001B7892"/>
    <w:rsid w:val="001B7AD5"/>
    <w:rsid w:val="001B7AF0"/>
    <w:rsid w:val="001B7BB2"/>
    <w:rsid w:val="001B7FD2"/>
    <w:rsid w:val="001C0073"/>
    <w:rsid w:val="001C0232"/>
    <w:rsid w:val="001C058C"/>
    <w:rsid w:val="001C0647"/>
    <w:rsid w:val="001C081D"/>
    <w:rsid w:val="001C0E71"/>
    <w:rsid w:val="001C147A"/>
    <w:rsid w:val="001C1589"/>
    <w:rsid w:val="001C1630"/>
    <w:rsid w:val="001C17A2"/>
    <w:rsid w:val="001C19E4"/>
    <w:rsid w:val="001C1A78"/>
    <w:rsid w:val="001C1B24"/>
    <w:rsid w:val="001C1B49"/>
    <w:rsid w:val="001C1E70"/>
    <w:rsid w:val="001C237E"/>
    <w:rsid w:val="001C2835"/>
    <w:rsid w:val="001C2D65"/>
    <w:rsid w:val="001C2DC2"/>
    <w:rsid w:val="001C3123"/>
    <w:rsid w:val="001C31D4"/>
    <w:rsid w:val="001C32B6"/>
    <w:rsid w:val="001C32C1"/>
    <w:rsid w:val="001C332D"/>
    <w:rsid w:val="001C3AB4"/>
    <w:rsid w:val="001C3B0F"/>
    <w:rsid w:val="001C3F06"/>
    <w:rsid w:val="001C4078"/>
    <w:rsid w:val="001C4A4C"/>
    <w:rsid w:val="001C4CD9"/>
    <w:rsid w:val="001C4D1D"/>
    <w:rsid w:val="001C500B"/>
    <w:rsid w:val="001C516D"/>
    <w:rsid w:val="001C5357"/>
    <w:rsid w:val="001C5419"/>
    <w:rsid w:val="001C5476"/>
    <w:rsid w:val="001C5500"/>
    <w:rsid w:val="001C58F3"/>
    <w:rsid w:val="001C5A48"/>
    <w:rsid w:val="001C5AD4"/>
    <w:rsid w:val="001C5D27"/>
    <w:rsid w:val="001C5D48"/>
    <w:rsid w:val="001C5D75"/>
    <w:rsid w:val="001C5EFD"/>
    <w:rsid w:val="001C5FAE"/>
    <w:rsid w:val="001C61E7"/>
    <w:rsid w:val="001C6203"/>
    <w:rsid w:val="001C64F5"/>
    <w:rsid w:val="001C64F6"/>
    <w:rsid w:val="001C6837"/>
    <w:rsid w:val="001C6B6C"/>
    <w:rsid w:val="001C6D0C"/>
    <w:rsid w:val="001C6E1B"/>
    <w:rsid w:val="001C6F07"/>
    <w:rsid w:val="001C6F3C"/>
    <w:rsid w:val="001C6F8E"/>
    <w:rsid w:val="001C70E9"/>
    <w:rsid w:val="001C7110"/>
    <w:rsid w:val="001C7292"/>
    <w:rsid w:val="001C76C9"/>
    <w:rsid w:val="001C76D1"/>
    <w:rsid w:val="001C770C"/>
    <w:rsid w:val="001C793D"/>
    <w:rsid w:val="001C799C"/>
    <w:rsid w:val="001C7C3A"/>
    <w:rsid w:val="001C7D0D"/>
    <w:rsid w:val="001D0062"/>
    <w:rsid w:val="001D0258"/>
    <w:rsid w:val="001D02AB"/>
    <w:rsid w:val="001D03AB"/>
    <w:rsid w:val="001D03E8"/>
    <w:rsid w:val="001D040C"/>
    <w:rsid w:val="001D0C11"/>
    <w:rsid w:val="001D0E4D"/>
    <w:rsid w:val="001D0F51"/>
    <w:rsid w:val="001D128B"/>
    <w:rsid w:val="001D181B"/>
    <w:rsid w:val="001D1904"/>
    <w:rsid w:val="001D1A22"/>
    <w:rsid w:val="001D1A89"/>
    <w:rsid w:val="001D1E11"/>
    <w:rsid w:val="001D2036"/>
    <w:rsid w:val="001D23AD"/>
    <w:rsid w:val="001D23B1"/>
    <w:rsid w:val="001D23D2"/>
    <w:rsid w:val="001D2411"/>
    <w:rsid w:val="001D25FE"/>
    <w:rsid w:val="001D26D2"/>
    <w:rsid w:val="001D2B74"/>
    <w:rsid w:val="001D2C81"/>
    <w:rsid w:val="001D2D94"/>
    <w:rsid w:val="001D2EC4"/>
    <w:rsid w:val="001D30A0"/>
    <w:rsid w:val="001D33A2"/>
    <w:rsid w:val="001D33AC"/>
    <w:rsid w:val="001D33AE"/>
    <w:rsid w:val="001D3522"/>
    <w:rsid w:val="001D3A5B"/>
    <w:rsid w:val="001D3A98"/>
    <w:rsid w:val="001D3BAC"/>
    <w:rsid w:val="001D3D9C"/>
    <w:rsid w:val="001D413D"/>
    <w:rsid w:val="001D4380"/>
    <w:rsid w:val="001D44F1"/>
    <w:rsid w:val="001D4523"/>
    <w:rsid w:val="001D4777"/>
    <w:rsid w:val="001D48CB"/>
    <w:rsid w:val="001D48FD"/>
    <w:rsid w:val="001D4927"/>
    <w:rsid w:val="001D49B6"/>
    <w:rsid w:val="001D5023"/>
    <w:rsid w:val="001D519B"/>
    <w:rsid w:val="001D5761"/>
    <w:rsid w:val="001D5A55"/>
    <w:rsid w:val="001D5DDF"/>
    <w:rsid w:val="001D5E4B"/>
    <w:rsid w:val="001D5FDF"/>
    <w:rsid w:val="001D6095"/>
    <w:rsid w:val="001D62FB"/>
    <w:rsid w:val="001D65A1"/>
    <w:rsid w:val="001D678D"/>
    <w:rsid w:val="001D68F4"/>
    <w:rsid w:val="001D6A85"/>
    <w:rsid w:val="001D6BC2"/>
    <w:rsid w:val="001D6D1D"/>
    <w:rsid w:val="001D6E15"/>
    <w:rsid w:val="001D70FB"/>
    <w:rsid w:val="001D7ACB"/>
    <w:rsid w:val="001D7B84"/>
    <w:rsid w:val="001D7C19"/>
    <w:rsid w:val="001D7FCD"/>
    <w:rsid w:val="001E0252"/>
    <w:rsid w:val="001E030E"/>
    <w:rsid w:val="001E066E"/>
    <w:rsid w:val="001E0962"/>
    <w:rsid w:val="001E0AD3"/>
    <w:rsid w:val="001E104D"/>
    <w:rsid w:val="001E10DF"/>
    <w:rsid w:val="001E11FA"/>
    <w:rsid w:val="001E12D4"/>
    <w:rsid w:val="001E154B"/>
    <w:rsid w:val="001E1C0B"/>
    <w:rsid w:val="001E1C42"/>
    <w:rsid w:val="001E1C8C"/>
    <w:rsid w:val="001E1F43"/>
    <w:rsid w:val="001E23E7"/>
    <w:rsid w:val="001E24CC"/>
    <w:rsid w:val="001E2828"/>
    <w:rsid w:val="001E2897"/>
    <w:rsid w:val="001E2C16"/>
    <w:rsid w:val="001E2CEE"/>
    <w:rsid w:val="001E2DF7"/>
    <w:rsid w:val="001E2E68"/>
    <w:rsid w:val="001E2FCA"/>
    <w:rsid w:val="001E3170"/>
    <w:rsid w:val="001E31C4"/>
    <w:rsid w:val="001E31D9"/>
    <w:rsid w:val="001E3299"/>
    <w:rsid w:val="001E3478"/>
    <w:rsid w:val="001E35A3"/>
    <w:rsid w:val="001E3B0D"/>
    <w:rsid w:val="001E3D49"/>
    <w:rsid w:val="001E3D4A"/>
    <w:rsid w:val="001E4298"/>
    <w:rsid w:val="001E4446"/>
    <w:rsid w:val="001E45BF"/>
    <w:rsid w:val="001E4E1A"/>
    <w:rsid w:val="001E52B5"/>
    <w:rsid w:val="001E5306"/>
    <w:rsid w:val="001E57DB"/>
    <w:rsid w:val="001E597B"/>
    <w:rsid w:val="001E59F8"/>
    <w:rsid w:val="001E5B6D"/>
    <w:rsid w:val="001E5C3C"/>
    <w:rsid w:val="001E5E63"/>
    <w:rsid w:val="001E6192"/>
    <w:rsid w:val="001E62BA"/>
    <w:rsid w:val="001E676B"/>
    <w:rsid w:val="001E6957"/>
    <w:rsid w:val="001E6A6B"/>
    <w:rsid w:val="001E7076"/>
    <w:rsid w:val="001E7083"/>
    <w:rsid w:val="001E70D5"/>
    <w:rsid w:val="001E7300"/>
    <w:rsid w:val="001E7916"/>
    <w:rsid w:val="001E794C"/>
    <w:rsid w:val="001F0062"/>
    <w:rsid w:val="001F03DE"/>
    <w:rsid w:val="001F051B"/>
    <w:rsid w:val="001F0680"/>
    <w:rsid w:val="001F094F"/>
    <w:rsid w:val="001F0E44"/>
    <w:rsid w:val="001F0FB2"/>
    <w:rsid w:val="001F10B8"/>
    <w:rsid w:val="001F1A6F"/>
    <w:rsid w:val="001F1A7C"/>
    <w:rsid w:val="001F1D84"/>
    <w:rsid w:val="001F1F60"/>
    <w:rsid w:val="001F21C8"/>
    <w:rsid w:val="001F226F"/>
    <w:rsid w:val="001F22FA"/>
    <w:rsid w:val="001F2344"/>
    <w:rsid w:val="001F2712"/>
    <w:rsid w:val="001F2956"/>
    <w:rsid w:val="001F2BDA"/>
    <w:rsid w:val="001F2F99"/>
    <w:rsid w:val="001F30A0"/>
    <w:rsid w:val="001F30ED"/>
    <w:rsid w:val="001F335F"/>
    <w:rsid w:val="001F369A"/>
    <w:rsid w:val="001F36CC"/>
    <w:rsid w:val="001F3A98"/>
    <w:rsid w:val="001F3BAD"/>
    <w:rsid w:val="001F3CFE"/>
    <w:rsid w:val="001F3D60"/>
    <w:rsid w:val="001F3EB4"/>
    <w:rsid w:val="001F3F6A"/>
    <w:rsid w:val="001F3F70"/>
    <w:rsid w:val="001F40E6"/>
    <w:rsid w:val="001F40F7"/>
    <w:rsid w:val="001F43DF"/>
    <w:rsid w:val="001F43F9"/>
    <w:rsid w:val="001F4430"/>
    <w:rsid w:val="001F44D4"/>
    <w:rsid w:val="001F4697"/>
    <w:rsid w:val="001F488D"/>
    <w:rsid w:val="001F490D"/>
    <w:rsid w:val="001F4C0E"/>
    <w:rsid w:val="001F4C57"/>
    <w:rsid w:val="001F5244"/>
    <w:rsid w:val="001F5314"/>
    <w:rsid w:val="001F5506"/>
    <w:rsid w:val="001F550B"/>
    <w:rsid w:val="001F5587"/>
    <w:rsid w:val="001F562A"/>
    <w:rsid w:val="001F5691"/>
    <w:rsid w:val="001F579B"/>
    <w:rsid w:val="001F58CE"/>
    <w:rsid w:val="001F5A01"/>
    <w:rsid w:val="001F5BDF"/>
    <w:rsid w:val="001F5C01"/>
    <w:rsid w:val="001F5D18"/>
    <w:rsid w:val="001F5E57"/>
    <w:rsid w:val="001F5F83"/>
    <w:rsid w:val="001F6161"/>
    <w:rsid w:val="001F67A0"/>
    <w:rsid w:val="001F6A94"/>
    <w:rsid w:val="001F6AF5"/>
    <w:rsid w:val="001F6EF3"/>
    <w:rsid w:val="001F6F34"/>
    <w:rsid w:val="001F6F6D"/>
    <w:rsid w:val="001F6F98"/>
    <w:rsid w:val="001F709A"/>
    <w:rsid w:val="001F70C6"/>
    <w:rsid w:val="001F70FE"/>
    <w:rsid w:val="001F71BC"/>
    <w:rsid w:val="001F771D"/>
    <w:rsid w:val="001F7829"/>
    <w:rsid w:val="001F79E3"/>
    <w:rsid w:val="001F7ADD"/>
    <w:rsid w:val="001F7B7B"/>
    <w:rsid w:val="001F7C1E"/>
    <w:rsid w:val="001F7E3B"/>
    <w:rsid w:val="00200168"/>
    <w:rsid w:val="002001DA"/>
    <w:rsid w:val="0020030F"/>
    <w:rsid w:val="002005E0"/>
    <w:rsid w:val="002006AC"/>
    <w:rsid w:val="00200B35"/>
    <w:rsid w:val="00200D05"/>
    <w:rsid w:val="00200E44"/>
    <w:rsid w:val="00200FFA"/>
    <w:rsid w:val="0020118A"/>
    <w:rsid w:val="00201445"/>
    <w:rsid w:val="00201C33"/>
    <w:rsid w:val="00201DA3"/>
    <w:rsid w:val="0020208A"/>
    <w:rsid w:val="00202D1A"/>
    <w:rsid w:val="00202D80"/>
    <w:rsid w:val="00202DF0"/>
    <w:rsid w:val="0020301B"/>
    <w:rsid w:val="00203857"/>
    <w:rsid w:val="00203879"/>
    <w:rsid w:val="00203ACD"/>
    <w:rsid w:val="00203C6F"/>
    <w:rsid w:val="00203C76"/>
    <w:rsid w:val="00203C8C"/>
    <w:rsid w:val="00203E47"/>
    <w:rsid w:val="002040C7"/>
    <w:rsid w:val="002043A5"/>
    <w:rsid w:val="00204448"/>
    <w:rsid w:val="002045E0"/>
    <w:rsid w:val="0020488A"/>
    <w:rsid w:val="002048C2"/>
    <w:rsid w:val="00204C99"/>
    <w:rsid w:val="00204ED3"/>
    <w:rsid w:val="00204FEB"/>
    <w:rsid w:val="0020529D"/>
    <w:rsid w:val="00205553"/>
    <w:rsid w:val="002055AA"/>
    <w:rsid w:val="002058FF"/>
    <w:rsid w:val="00206086"/>
    <w:rsid w:val="002060F4"/>
    <w:rsid w:val="002061D5"/>
    <w:rsid w:val="00206636"/>
    <w:rsid w:val="002066A8"/>
    <w:rsid w:val="00206942"/>
    <w:rsid w:val="002069C5"/>
    <w:rsid w:val="002078A7"/>
    <w:rsid w:val="002078AC"/>
    <w:rsid w:val="0020790F"/>
    <w:rsid w:val="00207990"/>
    <w:rsid w:val="00207B40"/>
    <w:rsid w:val="00207E63"/>
    <w:rsid w:val="00207F02"/>
    <w:rsid w:val="00210039"/>
    <w:rsid w:val="002101A6"/>
    <w:rsid w:val="002101B9"/>
    <w:rsid w:val="002104BB"/>
    <w:rsid w:val="002106AD"/>
    <w:rsid w:val="00210808"/>
    <w:rsid w:val="00210956"/>
    <w:rsid w:val="00210A1B"/>
    <w:rsid w:val="00211029"/>
    <w:rsid w:val="00211104"/>
    <w:rsid w:val="002113A4"/>
    <w:rsid w:val="002115F8"/>
    <w:rsid w:val="00211604"/>
    <w:rsid w:val="00211CF3"/>
    <w:rsid w:val="00211E78"/>
    <w:rsid w:val="00211F2A"/>
    <w:rsid w:val="002123B7"/>
    <w:rsid w:val="002123C2"/>
    <w:rsid w:val="00212466"/>
    <w:rsid w:val="002124FD"/>
    <w:rsid w:val="002129F6"/>
    <w:rsid w:val="00213104"/>
    <w:rsid w:val="002132E5"/>
    <w:rsid w:val="00213466"/>
    <w:rsid w:val="0021352B"/>
    <w:rsid w:val="00213AAE"/>
    <w:rsid w:val="00213D4D"/>
    <w:rsid w:val="00213DA7"/>
    <w:rsid w:val="00213DCF"/>
    <w:rsid w:val="00214332"/>
    <w:rsid w:val="0021468C"/>
    <w:rsid w:val="0021497C"/>
    <w:rsid w:val="00214AAE"/>
    <w:rsid w:val="00214AD2"/>
    <w:rsid w:val="00214DCD"/>
    <w:rsid w:val="00215215"/>
    <w:rsid w:val="002152EB"/>
    <w:rsid w:val="00215470"/>
    <w:rsid w:val="00215548"/>
    <w:rsid w:val="00215867"/>
    <w:rsid w:val="00215CF8"/>
    <w:rsid w:val="00215EAD"/>
    <w:rsid w:val="00215ED2"/>
    <w:rsid w:val="00215F0B"/>
    <w:rsid w:val="00216004"/>
    <w:rsid w:val="002162D9"/>
    <w:rsid w:val="002162E1"/>
    <w:rsid w:val="00216364"/>
    <w:rsid w:val="00216406"/>
    <w:rsid w:val="00216546"/>
    <w:rsid w:val="002165FC"/>
    <w:rsid w:val="00216BEE"/>
    <w:rsid w:val="00216C89"/>
    <w:rsid w:val="00216D4F"/>
    <w:rsid w:val="00217483"/>
    <w:rsid w:val="002175D4"/>
    <w:rsid w:val="0021763D"/>
    <w:rsid w:val="00217A05"/>
    <w:rsid w:val="00217AFB"/>
    <w:rsid w:val="00217BF4"/>
    <w:rsid w:val="00217EC4"/>
    <w:rsid w:val="00220284"/>
    <w:rsid w:val="002207ED"/>
    <w:rsid w:val="002209B1"/>
    <w:rsid w:val="00220ACD"/>
    <w:rsid w:val="00220BA7"/>
    <w:rsid w:val="00220D1B"/>
    <w:rsid w:val="00220EF1"/>
    <w:rsid w:val="002210B3"/>
    <w:rsid w:val="002210D5"/>
    <w:rsid w:val="002214F3"/>
    <w:rsid w:val="002215A8"/>
    <w:rsid w:val="00221A5A"/>
    <w:rsid w:val="00221A7D"/>
    <w:rsid w:val="00221AA5"/>
    <w:rsid w:val="00221D13"/>
    <w:rsid w:val="00221D14"/>
    <w:rsid w:val="00221DF0"/>
    <w:rsid w:val="00222190"/>
    <w:rsid w:val="002222BE"/>
    <w:rsid w:val="002224F4"/>
    <w:rsid w:val="00222606"/>
    <w:rsid w:val="00222644"/>
    <w:rsid w:val="002227C7"/>
    <w:rsid w:val="00222F36"/>
    <w:rsid w:val="00223078"/>
    <w:rsid w:val="002230C3"/>
    <w:rsid w:val="00223194"/>
    <w:rsid w:val="00223C01"/>
    <w:rsid w:val="00223DB4"/>
    <w:rsid w:val="00223FCC"/>
    <w:rsid w:val="002240F9"/>
    <w:rsid w:val="00224126"/>
    <w:rsid w:val="002245D4"/>
    <w:rsid w:val="00224687"/>
    <w:rsid w:val="00224845"/>
    <w:rsid w:val="002248CB"/>
    <w:rsid w:val="00224A2D"/>
    <w:rsid w:val="00224AD5"/>
    <w:rsid w:val="00224B0B"/>
    <w:rsid w:val="00224C66"/>
    <w:rsid w:val="00224E6F"/>
    <w:rsid w:val="0022517E"/>
    <w:rsid w:val="002251C2"/>
    <w:rsid w:val="0022553B"/>
    <w:rsid w:val="002257A7"/>
    <w:rsid w:val="00225871"/>
    <w:rsid w:val="00225983"/>
    <w:rsid w:val="00225AFB"/>
    <w:rsid w:val="00225CD5"/>
    <w:rsid w:val="00225D30"/>
    <w:rsid w:val="00226234"/>
    <w:rsid w:val="00226391"/>
    <w:rsid w:val="002266D7"/>
    <w:rsid w:val="002267A3"/>
    <w:rsid w:val="002267C8"/>
    <w:rsid w:val="00226924"/>
    <w:rsid w:val="00226A41"/>
    <w:rsid w:val="0022707D"/>
    <w:rsid w:val="00227234"/>
    <w:rsid w:val="00227598"/>
    <w:rsid w:val="00227714"/>
    <w:rsid w:val="00227D91"/>
    <w:rsid w:val="00230075"/>
    <w:rsid w:val="0023053F"/>
    <w:rsid w:val="002309CE"/>
    <w:rsid w:val="00230AF1"/>
    <w:rsid w:val="00230BBB"/>
    <w:rsid w:val="00230C1E"/>
    <w:rsid w:val="00230C4E"/>
    <w:rsid w:val="00230DC4"/>
    <w:rsid w:val="00231728"/>
    <w:rsid w:val="00231B40"/>
    <w:rsid w:val="00231BBE"/>
    <w:rsid w:val="00231F6C"/>
    <w:rsid w:val="00231F87"/>
    <w:rsid w:val="0023204B"/>
    <w:rsid w:val="00232210"/>
    <w:rsid w:val="00232222"/>
    <w:rsid w:val="002322F0"/>
    <w:rsid w:val="00232523"/>
    <w:rsid w:val="002326C5"/>
    <w:rsid w:val="00232AFA"/>
    <w:rsid w:val="00232B0C"/>
    <w:rsid w:val="00232D71"/>
    <w:rsid w:val="00232DE8"/>
    <w:rsid w:val="00232EAC"/>
    <w:rsid w:val="002333F2"/>
    <w:rsid w:val="002337EE"/>
    <w:rsid w:val="00233DA0"/>
    <w:rsid w:val="00233DC0"/>
    <w:rsid w:val="0023453B"/>
    <w:rsid w:val="00234543"/>
    <w:rsid w:val="00234714"/>
    <w:rsid w:val="0023481E"/>
    <w:rsid w:val="002349D7"/>
    <w:rsid w:val="00234A9E"/>
    <w:rsid w:val="00234C32"/>
    <w:rsid w:val="00234F64"/>
    <w:rsid w:val="002352A6"/>
    <w:rsid w:val="0023535A"/>
    <w:rsid w:val="002357A9"/>
    <w:rsid w:val="002358D0"/>
    <w:rsid w:val="002358DC"/>
    <w:rsid w:val="002359A4"/>
    <w:rsid w:val="00235A23"/>
    <w:rsid w:val="00235A6E"/>
    <w:rsid w:val="00235DCD"/>
    <w:rsid w:val="00236092"/>
    <w:rsid w:val="002363AA"/>
    <w:rsid w:val="00236E50"/>
    <w:rsid w:val="00237033"/>
    <w:rsid w:val="002370C4"/>
    <w:rsid w:val="0023722C"/>
    <w:rsid w:val="0023758E"/>
    <w:rsid w:val="0023760A"/>
    <w:rsid w:val="0023770B"/>
    <w:rsid w:val="00237AFC"/>
    <w:rsid w:val="00237BBE"/>
    <w:rsid w:val="00237C43"/>
    <w:rsid w:val="00237C8B"/>
    <w:rsid w:val="00237CD4"/>
    <w:rsid w:val="00237D88"/>
    <w:rsid w:val="0024006F"/>
    <w:rsid w:val="002402E0"/>
    <w:rsid w:val="00240467"/>
    <w:rsid w:val="002405EC"/>
    <w:rsid w:val="00240A21"/>
    <w:rsid w:val="00240CAD"/>
    <w:rsid w:val="00241371"/>
    <w:rsid w:val="0024162E"/>
    <w:rsid w:val="002419F8"/>
    <w:rsid w:val="00241F6A"/>
    <w:rsid w:val="0024240F"/>
    <w:rsid w:val="00242652"/>
    <w:rsid w:val="0024275D"/>
    <w:rsid w:val="00242A42"/>
    <w:rsid w:val="00242E28"/>
    <w:rsid w:val="00243528"/>
    <w:rsid w:val="0024357C"/>
    <w:rsid w:val="00243835"/>
    <w:rsid w:val="00243A1F"/>
    <w:rsid w:val="00243DEA"/>
    <w:rsid w:val="00243E29"/>
    <w:rsid w:val="00243EE0"/>
    <w:rsid w:val="00243F33"/>
    <w:rsid w:val="002443B3"/>
    <w:rsid w:val="00244C55"/>
    <w:rsid w:val="00245072"/>
    <w:rsid w:val="00245084"/>
    <w:rsid w:val="00245365"/>
    <w:rsid w:val="002456F7"/>
    <w:rsid w:val="0024590F"/>
    <w:rsid w:val="00245C8F"/>
    <w:rsid w:val="00245EF2"/>
    <w:rsid w:val="00245FA0"/>
    <w:rsid w:val="0024609A"/>
    <w:rsid w:val="002460AA"/>
    <w:rsid w:val="002461C4"/>
    <w:rsid w:val="0024627A"/>
    <w:rsid w:val="00246626"/>
    <w:rsid w:val="00246A8C"/>
    <w:rsid w:val="00246B39"/>
    <w:rsid w:val="00246FCC"/>
    <w:rsid w:val="00247073"/>
    <w:rsid w:val="00247082"/>
    <w:rsid w:val="002474FF"/>
    <w:rsid w:val="002479CB"/>
    <w:rsid w:val="00247AC2"/>
    <w:rsid w:val="00247AF5"/>
    <w:rsid w:val="00247BC0"/>
    <w:rsid w:val="00247BD9"/>
    <w:rsid w:val="00247D9A"/>
    <w:rsid w:val="00247F7B"/>
    <w:rsid w:val="002501B9"/>
    <w:rsid w:val="0025077F"/>
    <w:rsid w:val="0025084E"/>
    <w:rsid w:val="00250858"/>
    <w:rsid w:val="002508B0"/>
    <w:rsid w:val="0025097E"/>
    <w:rsid w:val="002509F5"/>
    <w:rsid w:val="00250D2D"/>
    <w:rsid w:val="00250D8F"/>
    <w:rsid w:val="00250E1A"/>
    <w:rsid w:val="00250FBF"/>
    <w:rsid w:val="00251544"/>
    <w:rsid w:val="002518AE"/>
    <w:rsid w:val="00251962"/>
    <w:rsid w:val="0025214C"/>
    <w:rsid w:val="002523E1"/>
    <w:rsid w:val="00252962"/>
    <w:rsid w:val="00253211"/>
    <w:rsid w:val="0025328C"/>
    <w:rsid w:val="002535F2"/>
    <w:rsid w:val="00253866"/>
    <w:rsid w:val="002538D8"/>
    <w:rsid w:val="00253B47"/>
    <w:rsid w:val="0025409A"/>
    <w:rsid w:val="00254145"/>
    <w:rsid w:val="00254278"/>
    <w:rsid w:val="0025446F"/>
    <w:rsid w:val="0025450A"/>
    <w:rsid w:val="002546FA"/>
    <w:rsid w:val="002548D5"/>
    <w:rsid w:val="00254B6D"/>
    <w:rsid w:val="00254BC0"/>
    <w:rsid w:val="00254BF6"/>
    <w:rsid w:val="002554B0"/>
    <w:rsid w:val="00255632"/>
    <w:rsid w:val="0025566B"/>
    <w:rsid w:val="00255825"/>
    <w:rsid w:val="00255A32"/>
    <w:rsid w:val="00255D62"/>
    <w:rsid w:val="00255EDD"/>
    <w:rsid w:val="00255FB8"/>
    <w:rsid w:val="002564A3"/>
    <w:rsid w:val="00256956"/>
    <w:rsid w:val="00256B9C"/>
    <w:rsid w:val="0025755A"/>
    <w:rsid w:val="0025792F"/>
    <w:rsid w:val="00257A14"/>
    <w:rsid w:val="00257BDC"/>
    <w:rsid w:val="00257DE1"/>
    <w:rsid w:val="00257E64"/>
    <w:rsid w:val="00260500"/>
    <w:rsid w:val="002605DF"/>
    <w:rsid w:val="00260752"/>
    <w:rsid w:val="00260AC2"/>
    <w:rsid w:val="00260AFA"/>
    <w:rsid w:val="002611F5"/>
    <w:rsid w:val="002612B1"/>
    <w:rsid w:val="002617BF"/>
    <w:rsid w:val="00261C4D"/>
    <w:rsid w:val="00261CD3"/>
    <w:rsid w:val="00261E18"/>
    <w:rsid w:val="00261F59"/>
    <w:rsid w:val="00262185"/>
    <w:rsid w:val="00262328"/>
    <w:rsid w:val="0026244D"/>
    <w:rsid w:val="0026250F"/>
    <w:rsid w:val="00262919"/>
    <w:rsid w:val="00262B37"/>
    <w:rsid w:val="00262CE4"/>
    <w:rsid w:val="00262D5E"/>
    <w:rsid w:val="00262EDA"/>
    <w:rsid w:val="00263094"/>
    <w:rsid w:val="00263510"/>
    <w:rsid w:val="00263589"/>
    <w:rsid w:val="002636C6"/>
    <w:rsid w:val="00263BBC"/>
    <w:rsid w:val="00263CEE"/>
    <w:rsid w:val="00264047"/>
    <w:rsid w:val="00264093"/>
    <w:rsid w:val="0026416D"/>
    <w:rsid w:val="002642EA"/>
    <w:rsid w:val="0026441A"/>
    <w:rsid w:val="00264537"/>
    <w:rsid w:val="002649AF"/>
    <w:rsid w:val="00264AA6"/>
    <w:rsid w:val="00264AB8"/>
    <w:rsid w:val="00264C8B"/>
    <w:rsid w:val="00264C9D"/>
    <w:rsid w:val="00264D82"/>
    <w:rsid w:val="00264FAD"/>
    <w:rsid w:val="0026509C"/>
    <w:rsid w:val="002652E7"/>
    <w:rsid w:val="002654B3"/>
    <w:rsid w:val="002656C0"/>
    <w:rsid w:val="00265B4E"/>
    <w:rsid w:val="00265DA2"/>
    <w:rsid w:val="002663B0"/>
    <w:rsid w:val="002667A5"/>
    <w:rsid w:val="00266908"/>
    <w:rsid w:val="0026696F"/>
    <w:rsid w:val="00266C04"/>
    <w:rsid w:val="00266C74"/>
    <w:rsid w:val="00266D0A"/>
    <w:rsid w:val="00266E9D"/>
    <w:rsid w:val="00266F5F"/>
    <w:rsid w:val="002676F3"/>
    <w:rsid w:val="00267772"/>
    <w:rsid w:val="00267AC3"/>
    <w:rsid w:val="00267C7E"/>
    <w:rsid w:val="00267F92"/>
    <w:rsid w:val="0027042B"/>
    <w:rsid w:val="0027045F"/>
    <w:rsid w:val="002704AE"/>
    <w:rsid w:val="00270932"/>
    <w:rsid w:val="00270B75"/>
    <w:rsid w:val="00270BEB"/>
    <w:rsid w:val="00270C32"/>
    <w:rsid w:val="00270E1B"/>
    <w:rsid w:val="00270EB6"/>
    <w:rsid w:val="00270F03"/>
    <w:rsid w:val="00271073"/>
    <w:rsid w:val="002711FB"/>
    <w:rsid w:val="00271265"/>
    <w:rsid w:val="002714C7"/>
    <w:rsid w:val="00271B6C"/>
    <w:rsid w:val="002722D3"/>
    <w:rsid w:val="00272321"/>
    <w:rsid w:val="00272331"/>
    <w:rsid w:val="00272798"/>
    <w:rsid w:val="002727CC"/>
    <w:rsid w:val="00272AB2"/>
    <w:rsid w:val="00272BD4"/>
    <w:rsid w:val="00272FD6"/>
    <w:rsid w:val="002733DA"/>
    <w:rsid w:val="00273591"/>
    <w:rsid w:val="0027359E"/>
    <w:rsid w:val="0027379A"/>
    <w:rsid w:val="0027381D"/>
    <w:rsid w:val="00273AD7"/>
    <w:rsid w:val="00273BBB"/>
    <w:rsid w:val="00273D27"/>
    <w:rsid w:val="00273F0C"/>
    <w:rsid w:val="00274379"/>
    <w:rsid w:val="00274412"/>
    <w:rsid w:val="0027468D"/>
    <w:rsid w:val="002747B3"/>
    <w:rsid w:val="00274CA4"/>
    <w:rsid w:val="00274CCB"/>
    <w:rsid w:val="002751F7"/>
    <w:rsid w:val="0027595D"/>
    <w:rsid w:val="00275B48"/>
    <w:rsid w:val="0027627B"/>
    <w:rsid w:val="002765C5"/>
    <w:rsid w:val="002765FD"/>
    <w:rsid w:val="00276D05"/>
    <w:rsid w:val="00276F20"/>
    <w:rsid w:val="00276FA6"/>
    <w:rsid w:val="00277187"/>
    <w:rsid w:val="002771D4"/>
    <w:rsid w:val="0027723B"/>
    <w:rsid w:val="00277AF6"/>
    <w:rsid w:val="00277C86"/>
    <w:rsid w:val="00277FC3"/>
    <w:rsid w:val="002800CE"/>
    <w:rsid w:val="00280100"/>
    <w:rsid w:val="00280173"/>
    <w:rsid w:val="002801EF"/>
    <w:rsid w:val="00280200"/>
    <w:rsid w:val="0028029B"/>
    <w:rsid w:val="00280324"/>
    <w:rsid w:val="00280496"/>
    <w:rsid w:val="002806CA"/>
    <w:rsid w:val="0028084D"/>
    <w:rsid w:val="00280A8B"/>
    <w:rsid w:val="00280C1C"/>
    <w:rsid w:val="00280E11"/>
    <w:rsid w:val="00280EC5"/>
    <w:rsid w:val="00281032"/>
    <w:rsid w:val="0028116A"/>
    <w:rsid w:val="00281214"/>
    <w:rsid w:val="0028198D"/>
    <w:rsid w:val="00281AC9"/>
    <w:rsid w:val="00281B96"/>
    <w:rsid w:val="00281EBD"/>
    <w:rsid w:val="00281F39"/>
    <w:rsid w:val="002824EC"/>
    <w:rsid w:val="002826F3"/>
    <w:rsid w:val="002827A6"/>
    <w:rsid w:val="002830BA"/>
    <w:rsid w:val="002831A7"/>
    <w:rsid w:val="0028326F"/>
    <w:rsid w:val="0028329B"/>
    <w:rsid w:val="00283C1C"/>
    <w:rsid w:val="00283D39"/>
    <w:rsid w:val="00284191"/>
    <w:rsid w:val="002841F5"/>
    <w:rsid w:val="002844A8"/>
    <w:rsid w:val="00284628"/>
    <w:rsid w:val="00284684"/>
    <w:rsid w:val="0028469A"/>
    <w:rsid w:val="002847FE"/>
    <w:rsid w:val="00284D15"/>
    <w:rsid w:val="00285072"/>
    <w:rsid w:val="002850FB"/>
    <w:rsid w:val="0028567F"/>
    <w:rsid w:val="00285787"/>
    <w:rsid w:val="00285B78"/>
    <w:rsid w:val="00285EE3"/>
    <w:rsid w:val="00286542"/>
    <w:rsid w:val="002866E4"/>
    <w:rsid w:val="002869E2"/>
    <w:rsid w:val="00286CEF"/>
    <w:rsid w:val="00286DC5"/>
    <w:rsid w:val="00286E30"/>
    <w:rsid w:val="00286E4F"/>
    <w:rsid w:val="00287307"/>
    <w:rsid w:val="00287394"/>
    <w:rsid w:val="002873BD"/>
    <w:rsid w:val="00287595"/>
    <w:rsid w:val="00287C12"/>
    <w:rsid w:val="00287C63"/>
    <w:rsid w:val="00287CEF"/>
    <w:rsid w:val="00287ED8"/>
    <w:rsid w:val="00287FD9"/>
    <w:rsid w:val="002908CE"/>
    <w:rsid w:val="00290912"/>
    <w:rsid w:val="00290C43"/>
    <w:rsid w:val="002913EC"/>
    <w:rsid w:val="002913F5"/>
    <w:rsid w:val="0029143B"/>
    <w:rsid w:val="0029172E"/>
    <w:rsid w:val="00291B1D"/>
    <w:rsid w:val="00291D2B"/>
    <w:rsid w:val="00291D9F"/>
    <w:rsid w:val="00292216"/>
    <w:rsid w:val="00292252"/>
    <w:rsid w:val="0029225C"/>
    <w:rsid w:val="002922CF"/>
    <w:rsid w:val="002926D7"/>
    <w:rsid w:val="002927A9"/>
    <w:rsid w:val="0029285A"/>
    <w:rsid w:val="00292983"/>
    <w:rsid w:val="00292A1F"/>
    <w:rsid w:val="00292D4F"/>
    <w:rsid w:val="00292DCF"/>
    <w:rsid w:val="00292EF5"/>
    <w:rsid w:val="00292F58"/>
    <w:rsid w:val="00292F6D"/>
    <w:rsid w:val="00292FCB"/>
    <w:rsid w:val="002930F7"/>
    <w:rsid w:val="0029342D"/>
    <w:rsid w:val="002934C2"/>
    <w:rsid w:val="0029368D"/>
    <w:rsid w:val="002937F9"/>
    <w:rsid w:val="00293835"/>
    <w:rsid w:val="00293941"/>
    <w:rsid w:val="00293AD1"/>
    <w:rsid w:val="00293B82"/>
    <w:rsid w:val="00293F6B"/>
    <w:rsid w:val="0029421E"/>
    <w:rsid w:val="0029440F"/>
    <w:rsid w:val="0029467C"/>
    <w:rsid w:val="002946AC"/>
    <w:rsid w:val="002949F2"/>
    <w:rsid w:val="00294DC0"/>
    <w:rsid w:val="00294F08"/>
    <w:rsid w:val="00294FBB"/>
    <w:rsid w:val="00295083"/>
    <w:rsid w:val="00295374"/>
    <w:rsid w:val="00295A23"/>
    <w:rsid w:val="00295F20"/>
    <w:rsid w:val="002961B6"/>
    <w:rsid w:val="002962C5"/>
    <w:rsid w:val="0029652A"/>
    <w:rsid w:val="002967EF"/>
    <w:rsid w:val="00296A7A"/>
    <w:rsid w:val="00296AD1"/>
    <w:rsid w:val="00296CA0"/>
    <w:rsid w:val="00297037"/>
    <w:rsid w:val="00297539"/>
    <w:rsid w:val="0029773A"/>
    <w:rsid w:val="00297B97"/>
    <w:rsid w:val="00297D36"/>
    <w:rsid w:val="00297EEA"/>
    <w:rsid w:val="00297EF5"/>
    <w:rsid w:val="00297F2C"/>
    <w:rsid w:val="002A04A7"/>
    <w:rsid w:val="002A04D3"/>
    <w:rsid w:val="002A0B2E"/>
    <w:rsid w:val="002A0D99"/>
    <w:rsid w:val="002A1BC2"/>
    <w:rsid w:val="002A1CF0"/>
    <w:rsid w:val="002A26A0"/>
    <w:rsid w:val="002A2B4C"/>
    <w:rsid w:val="002A2EFA"/>
    <w:rsid w:val="002A2FEC"/>
    <w:rsid w:val="002A3047"/>
    <w:rsid w:val="002A3284"/>
    <w:rsid w:val="002A3404"/>
    <w:rsid w:val="002A347E"/>
    <w:rsid w:val="002A3DBE"/>
    <w:rsid w:val="002A3E4F"/>
    <w:rsid w:val="002A4384"/>
    <w:rsid w:val="002A4439"/>
    <w:rsid w:val="002A495A"/>
    <w:rsid w:val="002A4A0A"/>
    <w:rsid w:val="002A4A18"/>
    <w:rsid w:val="002A4ABF"/>
    <w:rsid w:val="002A4B1B"/>
    <w:rsid w:val="002A4D43"/>
    <w:rsid w:val="002A4DA0"/>
    <w:rsid w:val="002A51DF"/>
    <w:rsid w:val="002A5454"/>
    <w:rsid w:val="002A54FF"/>
    <w:rsid w:val="002A58D9"/>
    <w:rsid w:val="002A59AA"/>
    <w:rsid w:val="002A5B04"/>
    <w:rsid w:val="002A5CA0"/>
    <w:rsid w:val="002A5D6F"/>
    <w:rsid w:val="002A6052"/>
    <w:rsid w:val="002A6087"/>
    <w:rsid w:val="002A6426"/>
    <w:rsid w:val="002A68BA"/>
    <w:rsid w:val="002A6B53"/>
    <w:rsid w:val="002A6CCE"/>
    <w:rsid w:val="002A6E73"/>
    <w:rsid w:val="002A70C4"/>
    <w:rsid w:val="002A729C"/>
    <w:rsid w:val="002A7681"/>
    <w:rsid w:val="002A7C79"/>
    <w:rsid w:val="002A7E0F"/>
    <w:rsid w:val="002A7ECF"/>
    <w:rsid w:val="002B03BD"/>
    <w:rsid w:val="002B07EC"/>
    <w:rsid w:val="002B0C17"/>
    <w:rsid w:val="002B0D63"/>
    <w:rsid w:val="002B0F15"/>
    <w:rsid w:val="002B10F4"/>
    <w:rsid w:val="002B10FA"/>
    <w:rsid w:val="002B1740"/>
    <w:rsid w:val="002B18EE"/>
    <w:rsid w:val="002B195A"/>
    <w:rsid w:val="002B1F22"/>
    <w:rsid w:val="002B27F2"/>
    <w:rsid w:val="002B28B4"/>
    <w:rsid w:val="002B29E5"/>
    <w:rsid w:val="002B2BC6"/>
    <w:rsid w:val="002B2CD4"/>
    <w:rsid w:val="002B2D17"/>
    <w:rsid w:val="002B2D1C"/>
    <w:rsid w:val="002B2D3C"/>
    <w:rsid w:val="002B2D71"/>
    <w:rsid w:val="002B2EC0"/>
    <w:rsid w:val="002B2F6C"/>
    <w:rsid w:val="002B2FBF"/>
    <w:rsid w:val="002B3094"/>
    <w:rsid w:val="002B329B"/>
    <w:rsid w:val="002B3364"/>
    <w:rsid w:val="002B3524"/>
    <w:rsid w:val="002B3726"/>
    <w:rsid w:val="002B3C3C"/>
    <w:rsid w:val="002B3DF9"/>
    <w:rsid w:val="002B4169"/>
    <w:rsid w:val="002B4309"/>
    <w:rsid w:val="002B4B77"/>
    <w:rsid w:val="002B4D94"/>
    <w:rsid w:val="002B4E98"/>
    <w:rsid w:val="002B4FD5"/>
    <w:rsid w:val="002B5199"/>
    <w:rsid w:val="002B52EF"/>
    <w:rsid w:val="002B538C"/>
    <w:rsid w:val="002B5579"/>
    <w:rsid w:val="002B564B"/>
    <w:rsid w:val="002B5663"/>
    <w:rsid w:val="002B5E35"/>
    <w:rsid w:val="002B5E91"/>
    <w:rsid w:val="002B60F0"/>
    <w:rsid w:val="002B61D0"/>
    <w:rsid w:val="002B6551"/>
    <w:rsid w:val="002B6AFC"/>
    <w:rsid w:val="002B6FC5"/>
    <w:rsid w:val="002B734E"/>
    <w:rsid w:val="002B73BE"/>
    <w:rsid w:val="002B744F"/>
    <w:rsid w:val="002B785A"/>
    <w:rsid w:val="002B799B"/>
    <w:rsid w:val="002B7B36"/>
    <w:rsid w:val="002C0AE7"/>
    <w:rsid w:val="002C0B22"/>
    <w:rsid w:val="002C0BAE"/>
    <w:rsid w:val="002C0C0A"/>
    <w:rsid w:val="002C0D39"/>
    <w:rsid w:val="002C1157"/>
    <w:rsid w:val="002C12CA"/>
    <w:rsid w:val="002C1670"/>
    <w:rsid w:val="002C1D1D"/>
    <w:rsid w:val="002C1E2D"/>
    <w:rsid w:val="002C1F2B"/>
    <w:rsid w:val="002C20C1"/>
    <w:rsid w:val="002C2457"/>
    <w:rsid w:val="002C28A6"/>
    <w:rsid w:val="002C2C13"/>
    <w:rsid w:val="002C3708"/>
    <w:rsid w:val="002C37E9"/>
    <w:rsid w:val="002C385A"/>
    <w:rsid w:val="002C39DD"/>
    <w:rsid w:val="002C3A0A"/>
    <w:rsid w:val="002C3AD0"/>
    <w:rsid w:val="002C3B68"/>
    <w:rsid w:val="002C3C06"/>
    <w:rsid w:val="002C3C39"/>
    <w:rsid w:val="002C3D4F"/>
    <w:rsid w:val="002C3E31"/>
    <w:rsid w:val="002C3F8D"/>
    <w:rsid w:val="002C4183"/>
    <w:rsid w:val="002C42FD"/>
    <w:rsid w:val="002C43B4"/>
    <w:rsid w:val="002C4552"/>
    <w:rsid w:val="002C4869"/>
    <w:rsid w:val="002C48F3"/>
    <w:rsid w:val="002C5244"/>
    <w:rsid w:val="002C5281"/>
    <w:rsid w:val="002C53B5"/>
    <w:rsid w:val="002C54C7"/>
    <w:rsid w:val="002C58A5"/>
    <w:rsid w:val="002C5BD1"/>
    <w:rsid w:val="002C5DB3"/>
    <w:rsid w:val="002C6020"/>
    <w:rsid w:val="002C6251"/>
    <w:rsid w:val="002C639E"/>
    <w:rsid w:val="002C66AE"/>
    <w:rsid w:val="002C66C6"/>
    <w:rsid w:val="002C68FD"/>
    <w:rsid w:val="002C6C10"/>
    <w:rsid w:val="002C6DD9"/>
    <w:rsid w:val="002C72A9"/>
    <w:rsid w:val="002C7368"/>
    <w:rsid w:val="002C754C"/>
    <w:rsid w:val="002C759D"/>
    <w:rsid w:val="002C7742"/>
    <w:rsid w:val="002C7F33"/>
    <w:rsid w:val="002C7FDC"/>
    <w:rsid w:val="002D0123"/>
    <w:rsid w:val="002D0261"/>
    <w:rsid w:val="002D04D3"/>
    <w:rsid w:val="002D0777"/>
    <w:rsid w:val="002D07B0"/>
    <w:rsid w:val="002D08ED"/>
    <w:rsid w:val="002D0A9B"/>
    <w:rsid w:val="002D0E53"/>
    <w:rsid w:val="002D0EBA"/>
    <w:rsid w:val="002D13C5"/>
    <w:rsid w:val="002D14A2"/>
    <w:rsid w:val="002D14B6"/>
    <w:rsid w:val="002D1663"/>
    <w:rsid w:val="002D18C5"/>
    <w:rsid w:val="002D1A7D"/>
    <w:rsid w:val="002D1B07"/>
    <w:rsid w:val="002D1BD4"/>
    <w:rsid w:val="002D1C8A"/>
    <w:rsid w:val="002D1E2B"/>
    <w:rsid w:val="002D2266"/>
    <w:rsid w:val="002D248B"/>
    <w:rsid w:val="002D253C"/>
    <w:rsid w:val="002D26A7"/>
    <w:rsid w:val="002D288B"/>
    <w:rsid w:val="002D2A8B"/>
    <w:rsid w:val="002D2D2D"/>
    <w:rsid w:val="002D2E81"/>
    <w:rsid w:val="002D2FD0"/>
    <w:rsid w:val="002D309B"/>
    <w:rsid w:val="002D3247"/>
    <w:rsid w:val="002D34AA"/>
    <w:rsid w:val="002D34F7"/>
    <w:rsid w:val="002D3506"/>
    <w:rsid w:val="002D35D8"/>
    <w:rsid w:val="002D3B6B"/>
    <w:rsid w:val="002D3BD0"/>
    <w:rsid w:val="002D3C7E"/>
    <w:rsid w:val="002D3EC2"/>
    <w:rsid w:val="002D3F0D"/>
    <w:rsid w:val="002D3FD4"/>
    <w:rsid w:val="002D40A4"/>
    <w:rsid w:val="002D4113"/>
    <w:rsid w:val="002D436F"/>
    <w:rsid w:val="002D43F9"/>
    <w:rsid w:val="002D4437"/>
    <w:rsid w:val="002D44A3"/>
    <w:rsid w:val="002D47A2"/>
    <w:rsid w:val="002D49DD"/>
    <w:rsid w:val="002D4A5E"/>
    <w:rsid w:val="002D4AC7"/>
    <w:rsid w:val="002D5053"/>
    <w:rsid w:val="002D5237"/>
    <w:rsid w:val="002D5291"/>
    <w:rsid w:val="002D55D1"/>
    <w:rsid w:val="002D578A"/>
    <w:rsid w:val="002D58CD"/>
    <w:rsid w:val="002D5B13"/>
    <w:rsid w:val="002D5B51"/>
    <w:rsid w:val="002D5D24"/>
    <w:rsid w:val="002D61E4"/>
    <w:rsid w:val="002D63EB"/>
    <w:rsid w:val="002D642D"/>
    <w:rsid w:val="002D6831"/>
    <w:rsid w:val="002D68F1"/>
    <w:rsid w:val="002D696C"/>
    <w:rsid w:val="002D6A59"/>
    <w:rsid w:val="002D6E97"/>
    <w:rsid w:val="002D7599"/>
    <w:rsid w:val="002D7A99"/>
    <w:rsid w:val="002D7DBA"/>
    <w:rsid w:val="002D7EB3"/>
    <w:rsid w:val="002E038A"/>
    <w:rsid w:val="002E04DF"/>
    <w:rsid w:val="002E04E1"/>
    <w:rsid w:val="002E069B"/>
    <w:rsid w:val="002E082F"/>
    <w:rsid w:val="002E0C25"/>
    <w:rsid w:val="002E114E"/>
    <w:rsid w:val="002E1384"/>
    <w:rsid w:val="002E169E"/>
    <w:rsid w:val="002E184D"/>
    <w:rsid w:val="002E1925"/>
    <w:rsid w:val="002E1A46"/>
    <w:rsid w:val="002E1AA5"/>
    <w:rsid w:val="002E1FEE"/>
    <w:rsid w:val="002E2127"/>
    <w:rsid w:val="002E2388"/>
    <w:rsid w:val="002E254A"/>
    <w:rsid w:val="002E26DD"/>
    <w:rsid w:val="002E2915"/>
    <w:rsid w:val="002E2C11"/>
    <w:rsid w:val="002E2EC9"/>
    <w:rsid w:val="002E3618"/>
    <w:rsid w:val="002E36BE"/>
    <w:rsid w:val="002E3A04"/>
    <w:rsid w:val="002E3BF2"/>
    <w:rsid w:val="002E3C36"/>
    <w:rsid w:val="002E3C4F"/>
    <w:rsid w:val="002E3FFD"/>
    <w:rsid w:val="002E40F6"/>
    <w:rsid w:val="002E454F"/>
    <w:rsid w:val="002E45C0"/>
    <w:rsid w:val="002E4903"/>
    <w:rsid w:val="002E4DFF"/>
    <w:rsid w:val="002E545C"/>
    <w:rsid w:val="002E5644"/>
    <w:rsid w:val="002E5F45"/>
    <w:rsid w:val="002E601B"/>
    <w:rsid w:val="002E617C"/>
    <w:rsid w:val="002E68C7"/>
    <w:rsid w:val="002E6F8A"/>
    <w:rsid w:val="002E74A3"/>
    <w:rsid w:val="002E74D3"/>
    <w:rsid w:val="002E7727"/>
    <w:rsid w:val="002E79EF"/>
    <w:rsid w:val="002E7CCE"/>
    <w:rsid w:val="002E7D06"/>
    <w:rsid w:val="002E7F80"/>
    <w:rsid w:val="002F0044"/>
    <w:rsid w:val="002F00D1"/>
    <w:rsid w:val="002F00E6"/>
    <w:rsid w:val="002F01DE"/>
    <w:rsid w:val="002F03D4"/>
    <w:rsid w:val="002F042B"/>
    <w:rsid w:val="002F057A"/>
    <w:rsid w:val="002F099B"/>
    <w:rsid w:val="002F107F"/>
    <w:rsid w:val="002F1140"/>
    <w:rsid w:val="002F11E3"/>
    <w:rsid w:val="002F1213"/>
    <w:rsid w:val="002F1371"/>
    <w:rsid w:val="002F1708"/>
    <w:rsid w:val="002F172B"/>
    <w:rsid w:val="002F176F"/>
    <w:rsid w:val="002F191C"/>
    <w:rsid w:val="002F1B19"/>
    <w:rsid w:val="002F1CDA"/>
    <w:rsid w:val="002F1E8C"/>
    <w:rsid w:val="002F248F"/>
    <w:rsid w:val="002F2553"/>
    <w:rsid w:val="002F28B2"/>
    <w:rsid w:val="002F2DD9"/>
    <w:rsid w:val="002F306A"/>
    <w:rsid w:val="002F30C4"/>
    <w:rsid w:val="002F35CC"/>
    <w:rsid w:val="002F395D"/>
    <w:rsid w:val="002F3B7C"/>
    <w:rsid w:val="002F3EAA"/>
    <w:rsid w:val="002F40DE"/>
    <w:rsid w:val="002F4134"/>
    <w:rsid w:val="002F41BB"/>
    <w:rsid w:val="002F442D"/>
    <w:rsid w:val="002F44DD"/>
    <w:rsid w:val="002F471D"/>
    <w:rsid w:val="002F4746"/>
    <w:rsid w:val="002F4A43"/>
    <w:rsid w:val="002F4AAE"/>
    <w:rsid w:val="002F4B81"/>
    <w:rsid w:val="002F4BA4"/>
    <w:rsid w:val="002F4E42"/>
    <w:rsid w:val="002F4FDF"/>
    <w:rsid w:val="002F515E"/>
    <w:rsid w:val="002F533E"/>
    <w:rsid w:val="002F538B"/>
    <w:rsid w:val="002F5409"/>
    <w:rsid w:val="002F5848"/>
    <w:rsid w:val="002F59ED"/>
    <w:rsid w:val="002F5A28"/>
    <w:rsid w:val="002F5AC8"/>
    <w:rsid w:val="002F5C95"/>
    <w:rsid w:val="002F6261"/>
    <w:rsid w:val="002F62BC"/>
    <w:rsid w:val="002F6429"/>
    <w:rsid w:val="002F66E2"/>
    <w:rsid w:val="002F6D22"/>
    <w:rsid w:val="002F6F44"/>
    <w:rsid w:val="002F7076"/>
    <w:rsid w:val="002F7267"/>
    <w:rsid w:val="002F73CF"/>
    <w:rsid w:val="002F73E2"/>
    <w:rsid w:val="002F7745"/>
    <w:rsid w:val="002F77F5"/>
    <w:rsid w:val="002F78C8"/>
    <w:rsid w:val="002F795E"/>
    <w:rsid w:val="002F7C34"/>
    <w:rsid w:val="002F7D0D"/>
    <w:rsid w:val="00300014"/>
    <w:rsid w:val="00300599"/>
    <w:rsid w:val="00301253"/>
    <w:rsid w:val="00301690"/>
    <w:rsid w:val="00301715"/>
    <w:rsid w:val="00301A80"/>
    <w:rsid w:val="00301C62"/>
    <w:rsid w:val="00301D21"/>
    <w:rsid w:val="00301E93"/>
    <w:rsid w:val="00301FEF"/>
    <w:rsid w:val="00302303"/>
    <w:rsid w:val="003024F4"/>
    <w:rsid w:val="00302B74"/>
    <w:rsid w:val="00302C7E"/>
    <w:rsid w:val="00302CA9"/>
    <w:rsid w:val="003032A1"/>
    <w:rsid w:val="00303367"/>
    <w:rsid w:val="00303969"/>
    <w:rsid w:val="00303A52"/>
    <w:rsid w:val="00303C65"/>
    <w:rsid w:val="00303F1A"/>
    <w:rsid w:val="003044E8"/>
    <w:rsid w:val="003045D4"/>
    <w:rsid w:val="00304663"/>
    <w:rsid w:val="0030483E"/>
    <w:rsid w:val="00304A2A"/>
    <w:rsid w:val="00304AD7"/>
    <w:rsid w:val="00304B23"/>
    <w:rsid w:val="00304CAF"/>
    <w:rsid w:val="00304D93"/>
    <w:rsid w:val="0030562E"/>
    <w:rsid w:val="003058F8"/>
    <w:rsid w:val="0030590A"/>
    <w:rsid w:val="00305950"/>
    <w:rsid w:val="00305EEA"/>
    <w:rsid w:val="00306111"/>
    <w:rsid w:val="003064C7"/>
    <w:rsid w:val="00306ABD"/>
    <w:rsid w:val="00306CAF"/>
    <w:rsid w:val="00306E8A"/>
    <w:rsid w:val="003075BA"/>
    <w:rsid w:val="00307631"/>
    <w:rsid w:val="0030771C"/>
    <w:rsid w:val="0030786B"/>
    <w:rsid w:val="00307AEF"/>
    <w:rsid w:val="00307CA4"/>
    <w:rsid w:val="00307D04"/>
    <w:rsid w:val="00307EA9"/>
    <w:rsid w:val="003104F8"/>
    <w:rsid w:val="003105AC"/>
    <w:rsid w:val="0031061D"/>
    <w:rsid w:val="00310BAF"/>
    <w:rsid w:val="00310BE5"/>
    <w:rsid w:val="00310D30"/>
    <w:rsid w:val="00310D8F"/>
    <w:rsid w:val="0031120B"/>
    <w:rsid w:val="003112EE"/>
    <w:rsid w:val="003115DB"/>
    <w:rsid w:val="0031167A"/>
    <w:rsid w:val="00311734"/>
    <w:rsid w:val="00311937"/>
    <w:rsid w:val="00311B9C"/>
    <w:rsid w:val="00311C13"/>
    <w:rsid w:val="00311E4F"/>
    <w:rsid w:val="00312E9F"/>
    <w:rsid w:val="00312EC8"/>
    <w:rsid w:val="003137D9"/>
    <w:rsid w:val="00313AB1"/>
    <w:rsid w:val="00313B65"/>
    <w:rsid w:val="00313C4A"/>
    <w:rsid w:val="003142FA"/>
    <w:rsid w:val="00314982"/>
    <w:rsid w:val="003149C9"/>
    <w:rsid w:val="00314A1D"/>
    <w:rsid w:val="00314ADC"/>
    <w:rsid w:val="00314BC7"/>
    <w:rsid w:val="00314C94"/>
    <w:rsid w:val="0031549F"/>
    <w:rsid w:val="003155B5"/>
    <w:rsid w:val="003155E2"/>
    <w:rsid w:val="003156E2"/>
    <w:rsid w:val="003157C7"/>
    <w:rsid w:val="00315835"/>
    <w:rsid w:val="003159CD"/>
    <w:rsid w:val="00315B2D"/>
    <w:rsid w:val="00315BAA"/>
    <w:rsid w:val="0031624C"/>
    <w:rsid w:val="0031666C"/>
    <w:rsid w:val="00316927"/>
    <w:rsid w:val="00316992"/>
    <w:rsid w:val="00316A04"/>
    <w:rsid w:val="00316A31"/>
    <w:rsid w:val="00316AD5"/>
    <w:rsid w:val="00316AED"/>
    <w:rsid w:val="00316C7D"/>
    <w:rsid w:val="00316F6D"/>
    <w:rsid w:val="003172A7"/>
    <w:rsid w:val="00317474"/>
    <w:rsid w:val="0031750D"/>
    <w:rsid w:val="00317649"/>
    <w:rsid w:val="00317667"/>
    <w:rsid w:val="0031773D"/>
    <w:rsid w:val="003178B2"/>
    <w:rsid w:val="0031796C"/>
    <w:rsid w:val="00317DA2"/>
    <w:rsid w:val="00317FF7"/>
    <w:rsid w:val="0032008C"/>
    <w:rsid w:val="00320122"/>
    <w:rsid w:val="00320210"/>
    <w:rsid w:val="0032027B"/>
    <w:rsid w:val="003202F3"/>
    <w:rsid w:val="003203E8"/>
    <w:rsid w:val="003205C7"/>
    <w:rsid w:val="00320638"/>
    <w:rsid w:val="003206CC"/>
    <w:rsid w:val="0032070D"/>
    <w:rsid w:val="003208EC"/>
    <w:rsid w:val="00320B0E"/>
    <w:rsid w:val="00320B88"/>
    <w:rsid w:val="00320BB2"/>
    <w:rsid w:val="00320E21"/>
    <w:rsid w:val="00320F4D"/>
    <w:rsid w:val="00320F4F"/>
    <w:rsid w:val="00320F8C"/>
    <w:rsid w:val="00321002"/>
    <w:rsid w:val="00321135"/>
    <w:rsid w:val="00321181"/>
    <w:rsid w:val="003213C6"/>
    <w:rsid w:val="003215DD"/>
    <w:rsid w:val="0032162F"/>
    <w:rsid w:val="00321CC1"/>
    <w:rsid w:val="00321E80"/>
    <w:rsid w:val="00322161"/>
    <w:rsid w:val="0032220E"/>
    <w:rsid w:val="00322499"/>
    <w:rsid w:val="0032283F"/>
    <w:rsid w:val="00322B15"/>
    <w:rsid w:val="00322B16"/>
    <w:rsid w:val="00322D9D"/>
    <w:rsid w:val="00322E3E"/>
    <w:rsid w:val="00322FD1"/>
    <w:rsid w:val="00323155"/>
    <w:rsid w:val="00323386"/>
    <w:rsid w:val="003233C3"/>
    <w:rsid w:val="00323458"/>
    <w:rsid w:val="0032350D"/>
    <w:rsid w:val="003239A1"/>
    <w:rsid w:val="00323A90"/>
    <w:rsid w:val="00323B12"/>
    <w:rsid w:val="00323C20"/>
    <w:rsid w:val="00323FA0"/>
    <w:rsid w:val="00324155"/>
    <w:rsid w:val="00324415"/>
    <w:rsid w:val="0032446A"/>
    <w:rsid w:val="00324963"/>
    <w:rsid w:val="00324BCB"/>
    <w:rsid w:val="00325031"/>
    <w:rsid w:val="00325854"/>
    <w:rsid w:val="0032589A"/>
    <w:rsid w:val="003258F8"/>
    <w:rsid w:val="00325A2F"/>
    <w:rsid w:val="00325B70"/>
    <w:rsid w:val="00325D92"/>
    <w:rsid w:val="00325E43"/>
    <w:rsid w:val="00326021"/>
    <w:rsid w:val="003264A0"/>
    <w:rsid w:val="003265B5"/>
    <w:rsid w:val="003266EE"/>
    <w:rsid w:val="003268AE"/>
    <w:rsid w:val="00326AB9"/>
    <w:rsid w:val="00326BA1"/>
    <w:rsid w:val="00326DF2"/>
    <w:rsid w:val="00326FB0"/>
    <w:rsid w:val="003270FF"/>
    <w:rsid w:val="003276CE"/>
    <w:rsid w:val="0032784D"/>
    <w:rsid w:val="003279EF"/>
    <w:rsid w:val="00327E27"/>
    <w:rsid w:val="00327E94"/>
    <w:rsid w:val="00327ECB"/>
    <w:rsid w:val="003300FB"/>
    <w:rsid w:val="0033027F"/>
    <w:rsid w:val="003304E4"/>
    <w:rsid w:val="00330513"/>
    <w:rsid w:val="00330756"/>
    <w:rsid w:val="00330989"/>
    <w:rsid w:val="00330B09"/>
    <w:rsid w:val="00330C9A"/>
    <w:rsid w:val="00330F26"/>
    <w:rsid w:val="003310E1"/>
    <w:rsid w:val="003310E8"/>
    <w:rsid w:val="00331234"/>
    <w:rsid w:val="00331316"/>
    <w:rsid w:val="00331358"/>
    <w:rsid w:val="00331668"/>
    <w:rsid w:val="003318FD"/>
    <w:rsid w:val="00331EF8"/>
    <w:rsid w:val="00332325"/>
    <w:rsid w:val="003324AC"/>
    <w:rsid w:val="00332582"/>
    <w:rsid w:val="00332783"/>
    <w:rsid w:val="003327D6"/>
    <w:rsid w:val="00332E0C"/>
    <w:rsid w:val="00332E4C"/>
    <w:rsid w:val="00333692"/>
    <w:rsid w:val="003337B2"/>
    <w:rsid w:val="00333871"/>
    <w:rsid w:val="003338D8"/>
    <w:rsid w:val="00333BF1"/>
    <w:rsid w:val="00333D2B"/>
    <w:rsid w:val="00333E00"/>
    <w:rsid w:val="00333E2E"/>
    <w:rsid w:val="003340A1"/>
    <w:rsid w:val="00334440"/>
    <w:rsid w:val="00334644"/>
    <w:rsid w:val="00334761"/>
    <w:rsid w:val="00334A2E"/>
    <w:rsid w:val="00334A2F"/>
    <w:rsid w:val="00334B0A"/>
    <w:rsid w:val="00334C0C"/>
    <w:rsid w:val="00334EF8"/>
    <w:rsid w:val="003355A3"/>
    <w:rsid w:val="0033585B"/>
    <w:rsid w:val="003358A1"/>
    <w:rsid w:val="00335C96"/>
    <w:rsid w:val="00335DED"/>
    <w:rsid w:val="0033671A"/>
    <w:rsid w:val="00336970"/>
    <w:rsid w:val="00336E3F"/>
    <w:rsid w:val="003378F0"/>
    <w:rsid w:val="00337A19"/>
    <w:rsid w:val="00337A8B"/>
    <w:rsid w:val="00337BB3"/>
    <w:rsid w:val="00337E1A"/>
    <w:rsid w:val="003400AC"/>
    <w:rsid w:val="00340495"/>
    <w:rsid w:val="00340662"/>
    <w:rsid w:val="00340894"/>
    <w:rsid w:val="00340BD4"/>
    <w:rsid w:val="00340D0A"/>
    <w:rsid w:val="003412CC"/>
    <w:rsid w:val="00341337"/>
    <w:rsid w:val="0034192B"/>
    <w:rsid w:val="00341974"/>
    <w:rsid w:val="00341DDA"/>
    <w:rsid w:val="00341DF7"/>
    <w:rsid w:val="00341E6A"/>
    <w:rsid w:val="0034250F"/>
    <w:rsid w:val="0034265E"/>
    <w:rsid w:val="003426BD"/>
    <w:rsid w:val="003426C8"/>
    <w:rsid w:val="003426C9"/>
    <w:rsid w:val="0034285A"/>
    <w:rsid w:val="00342881"/>
    <w:rsid w:val="003429A6"/>
    <w:rsid w:val="00343086"/>
    <w:rsid w:val="003436CD"/>
    <w:rsid w:val="00343A41"/>
    <w:rsid w:val="00343A86"/>
    <w:rsid w:val="00343CBF"/>
    <w:rsid w:val="00343D9F"/>
    <w:rsid w:val="00343E14"/>
    <w:rsid w:val="00344289"/>
    <w:rsid w:val="00344344"/>
    <w:rsid w:val="00344409"/>
    <w:rsid w:val="00344997"/>
    <w:rsid w:val="00344B44"/>
    <w:rsid w:val="00344BD2"/>
    <w:rsid w:val="00344BFC"/>
    <w:rsid w:val="00344C71"/>
    <w:rsid w:val="00345015"/>
    <w:rsid w:val="00345715"/>
    <w:rsid w:val="003459AB"/>
    <w:rsid w:val="00345D3D"/>
    <w:rsid w:val="00345E9B"/>
    <w:rsid w:val="003461E1"/>
    <w:rsid w:val="00346247"/>
    <w:rsid w:val="00346806"/>
    <w:rsid w:val="003468C5"/>
    <w:rsid w:val="00346D28"/>
    <w:rsid w:val="00346FF5"/>
    <w:rsid w:val="0034713A"/>
    <w:rsid w:val="003473EC"/>
    <w:rsid w:val="003475B7"/>
    <w:rsid w:val="003476E2"/>
    <w:rsid w:val="003478E4"/>
    <w:rsid w:val="00347E06"/>
    <w:rsid w:val="0035026E"/>
    <w:rsid w:val="00350431"/>
    <w:rsid w:val="00350A55"/>
    <w:rsid w:val="00350AFF"/>
    <w:rsid w:val="00350C42"/>
    <w:rsid w:val="00350CD1"/>
    <w:rsid w:val="00350DF5"/>
    <w:rsid w:val="00350F3A"/>
    <w:rsid w:val="00350F95"/>
    <w:rsid w:val="00350FF9"/>
    <w:rsid w:val="0035112D"/>
    <w:rsid w:val="003511E6"/>
    <w:rsid w:val="00351221"/>
    <w:rsid w:val="0035190B"/>
    <w:rsid w:val="00351949"/>
    <w:rsid w:val="00351BB2"/>
    <w:rsid w:val="00351E35"/>
    <w:rsid w:val="0035202C"/>
    <w:rsid w:val="003520D6"/>
    <w:rsid w:val="003520F2"/>
    <w:rsid w:val="00352234"/>
    <w:rsid w:val="00352627"/>
    <w:rsid w:val="003526A5"/>
    <w:rsid w:val="00352772"/>
    <w:rsid w:val="003527F1"/>
    <w:rsid w:val="00352BEF"/>
    <w:rsid w:val="00352EC2"/>
    <w:rsid w:val="00352ED8"/>
    <w:rsid w:val="003532B0"/>
    <w:rsid w:val="00353524"/>
    <w:rsid w:val="00353F64"/>
    <w:rsid w:val="00353F7F"/>
    <w:rsid w:val="0035402E"/>
    <w:rsid w:val="00354229"/>
    <w:rsid w:val="0035450C"/>
    <w:rsid w:val="00354709"/>
    <w:rsid w:val="00354F72"/>
    <w:rsid w:val="00355164"/>
    <w:rsid w:val="003551C7"/>
    <w:rsid w:val="00355221"/>
    <w:rsid w:val="00355349"/>
    <w:rsid w:val="0035538C"/>
    <w:rsid w:val="00355A96"/>
    <w:rsid w:val="00355C9C"/>
    <w:rsid w:val="00356052"/>
    <w:rsid w:val="00356174"/>
    <w:rsid w:val="0035624A"/>
    <w:rsid w:val="003564C6"/>
    <w:rsid w:val="00356562"/>
    <w:rsid w:val="00356914"/>
    <w:rsid w:val="00356B62"/>
    <w:rsid w:val="00356E28"/>
    <w:rsid w:val="00356E47"/>
    <w:rsid w:val="00356F48"/>
    <w:rsid w:val="00357280"/>
    <w:rsid w:val="0035744D"/>
    <w:rsid w:val="003574AD"/>
    <w:rsid w:val="003576F4"/>
    <w:rsid w:val="00357833"/>
    <w:rsid w:val="00357BA6"/>
    <w:rsid w:val="00357BCD"/>
    <w:rsid w:val="00357C80"/>
    <w:rsid w:val="0036036A"/>
    <w:rsid w:val="00360671"/>
    <w:rsid w:val="00360921"/>
    <w:rsid w:val="00360A31"/>
    <w:rsid w:val="00360D0E"/>
    <w:rsid w:val="00360EC6"/>
    <w:rsid w:val="00361306"/>
    <w:rsid w:val="003613CC"/>
    <w:rsid w:val="00361493"/>
    <w:rsid w:val="003614A0"/>
    <w:rsid w:val="00361556"/>
    <w:rsid w:val="003617E6"/>
    <w:rsid w:val="00361890"/>
    <w:rsid w:val="00361B9F"/>
    <w:rsid w:val="00361C39"/>
    <w:rsid w:val="00361FDB"/>
    <w:rsid w:val="00362367"/>
    <w:rsid w:val="00362759"/>
    <w:rsid w:val="003629F4"/>
    <w:rsid w:val="00362C1E"/>
    <w:rsid w:val="00362C55"/>
    <w:rsid w:val="00362C7B"/>
    <w:rsid w:val="00362E9A"/>
    <w:rsid w:val="00362F57"/>
    <w:rsid w:val="00362FA8"/>
    <w:rsid w:val="003633DC"/>
    <w:rsid w:val="003638CA"/>
    <w:rsid w:val="00363B50"/>
    <w:rsid w:val="00363D04"/>
    <w:rsid w:val="00363E0C"/>
    <w:rsid w:val="00363EFF"/>
    <w:rsid w:val="003641EE"/>
    <w:rsid w:val="00364237"/>
    <w:rsid w:val="00364326"/>
    <w:rsid w:val="003644BB"/>
    <w:rsid w:val="0036489F"/>
    <w:rsid w:val="00364C10"/>
    <w:rsid w:val="00364C4D"/>
    <w:rsid w:val="00364DD3"/>
    <w:rsid w:val="00364E2F"/>
    <w:rsid w:val="00364E9B"/>
    <w:rsid w:val="00365413"/>
    <w:rsid w:val="00365944"/>
    <w:rsid w:val="00365BE0"/>
    <w:rsid w:val="00365C2F"/>
    <w:rsid w:val="00365D91"/>
    <w:rsid w:val="00365EED"/>
    <w:rsid w:val="003660AD"/>
    <w:rsid w:val="00366346"/>
    <w:rsid w:val="00366886"/>
    <w:rsid w:val="003668F8"/>
    <w:rsid w:val="00366A0A"/>
    <w:rsid w:val="00366A45"/>
    <w:rsid w:val="00366B70"/>
    <w:rsid w:val="00366BDB"/>
    <w:rsid w:val="00367B57"/>
    <w:rsid w:val="00367FC4"/>
    <w:rsid w:val="003700DD"/>
    <w:rsid w:val="003705EA"/>
    <w:rsid w:val="0037066B"/>
    <w:rsid w:val="00370750"/>
    <w:rsid w:val="00370753"/>
    <w:rsid w:val="003708F7"/>
    <w:rsid w:val="00370907"/>
    <w:rsid w:val="003709B1"/>
    <w:rsid w:val="003709BA"/>
    <w:rsid w:val="00370D01"/>
    <w:rsid w:val="00370FA1"/>
    <w:rsid w:val="0037123D"/>
    <w:rsid w:val="00371385"/>
    <w:rsid w:val="0037156C"/>
    <w:rsid w:val="003715DF"/>
    <w:rsid w:val="003719CD"/>
    <w:rsid w:val="00371A7A"/>
    <w:rsid w:val="00371D5B"/>
    <w:rsid w:val="00371E3C"/>
    <w:rsid w:val="00372039"/>
    <w:rsid w:val="00372226"/>
    <w:rsid w:val="0037223B"/>
    <w:rsid w:val="00372448"/>
    <w:rsid w:val="003724D8"/>
    <w:rsid w:val="00372633"/>
    <w:rsid w:val="0037270B"/>
    <w:rsid w:val="003728CA"/>
    <w:rsid w:val="00372995"/>
    <w:rsid w:val="00372B3B"/>
    <w:rsid w:val="00372BDA"/>
    <w:rsid w:val="00372D46"/>
    <w:rsid w:val="00372E05"/>
    <w:rsid w:val="00372FC8"/>
    <w:rsid w:val="00372FD5"/>
    <w:rsid w:val="00372FFD"/>
    <w:rsid w:val="0037359F"/>
    <w:rsid w:val="00373732"/>
    <w:rsid w:val="00373776"/>
    <w:rsid w:val="00373C72"/>
    <w:rsid w:val="00373E31"/>
    <w:rsid w:val="003741F1"/>
    <w:rsid w:val="00374200"/>
    <w:rsid w:val="0037425D"/>
    <w:rsid w:val="00374339"/>
    <w:rsid w:val="0037442C"/>
    <w:rsid w:val="0037443C"/>
    <w:rsid w:val="003744FB"/>
    <w:rsid w:val="00374759"/>
    <w:rsid w:val="003748DE"/>
    <w:rsid w:val="003749F1"/>
    <w:rsid w:val="00374AD7"/>
    <w:rsid w:val="00374C34"/>
    <w:rsid w:val="00374C85"/>
    <w:rsid w:val="00374ECA"/>
    <w:rsid w:val="00374FCD"/>
    <w:rsid w:val="003751AE"/>
    <w:rsid w:val="00375260"/>
    <w:rsid w:val="00375349"/>
    <w:rsid w:val="0037550B"/>
    <w:rsid w:val="00375612"/>
    <w:rsid w:val="00375665"/>
    <w:rsid w:val="0037579A"/>
    <w:rsid w:val="00375803"/>
    <w:rsid w:val="0037585C"/>
    <w:rsid w:val="00375D11"/>
    <w:rsid w:val="00375F5A"/>
    <w:rsid w:val="003765CE"/>
    <w:rsid w:val="00376624"/>
    <w:rsid w:val="003767C8"/>
    <w:rsid w:val="003768DD"/>
    <w:rsid w:val="00376BF4"/>
    <w:rsid w:val="00376C9A"/>
    <w:rsid w:val="00376E0E"/>
    <w:rsid w:val="003773BC"/>
    <w:rsid w:val="003773D6"/>
    <w:rsid w:val="003774DE"/>
    <w:rsid w:val="00377A82"/>
    <w:rsid w:val="00377B23"/>
    <w:rsid w:val="00377BE8"/>
    <w:rsid w:val="00377CAF"/>
    <w:rsid w:val="00377D2A"/>
    <w:rsid w:val="00377E57"/>
    <w:rsid w:val="00377F03"/>
    <w:rsid w:val="003800CD"/>
    <w:rsid w:val="00380166"/>
    <w:rsid w:val="00380195"/>
    <w:rsid w:val="003801DA"/>
    <w:rsid w:val="00380223"/>
    <w:rsid w:val="00380342"/>
    <w:rsid w:val="0038041A"/>
    <w:rsid w:val="00380499"/>
    <w:rsid w:val="0038084B"/>
    <w:rsid w:val="003809D4"/>
    <w:rsid w:val="00380A84"/>
    <w:rsid w:val="00380B5C"/>
    <w:rsid w:val="00380D01"/>
    <w:rsid w:val="00381984"/>
    <w:rsid w:val="00381B65"/>
    <w:rsid w:val="003821FA"/>
    <w:rsid w:val="003823E9"/>
    <w:rsid w:val="0038287C"/>
    <w:rsid w:val="0038291D"/>
    <w:rsid w:val="00382BD5"/>
    <w:rsid w:val="00382C2E"/>
    <w:rsid w:val="00382CC6"/>
    <w:rsid w:val="00382E3A"/>
    <w:rsid w:val="0038324F"/>
    <w:rsid w:val="003833C8"/>
    <w:rsid w:val="003834A1"/>
    <w:rsid w:val="00383B92"/>
    <w:rsid w:val="00383CD0"/>
    <w:rsid w:val="00383DBD"/>
    <w:rsid w:val="00383F04"/>
    <w:rsid w:val="00384043"/>
    <w:rsid w:val="0038447A"/>
    <w:rsid w:val="00384556"/>
    <w:rsid w:val="0038455E"/>
    <w:rsid w:val="00384696"/>
    <w:rsid w:val="00385107"/>
    <w:rsid w:val="00385190"/>
    <w:rsid w:val="00385231"/>
    <w:rsid w:val="00385261"/>
    <w:rsid w:val="00385766"/>
    <w:rsid w:val="003858D5"/>
    <w:rsid w:val="00385AAC"/>
    <w:rsid w:val="00385BDB"/>
    <w:rsid w:val="00385D21"/>
    <w:rsid w:val="00385D51"/>
    <w:rsid w:val="00385F42"/>
    <w:rsid w:val="0038653F"/>
    <w:rsid w:val="00386616"/>
    <w:rsid w:val="00386A07"/>
    <w:rsid w:val="00386AE8"/>
    <w:rsid w:val="00386D79"/>
    <w:rsid w:val="0038729F"/>
    <w:rsid w:val="00387313"/>
    <w:rsid w:val="00387355"/>
    <w:rsid w:val="00387A82"/>
    <w:rsid w:val="00387B49"/>
    <w:rsid w:val="00387B82"/>
    <w:rsid w:val="00390144"/>
    <w:rsid w:val="00390355"/>
    <w:rsid w:val="00390456"/>
    <w:rsid w:val="00390654"/>
    <w:rsid w:val="003907B6"/>
    <w:rsid w:val="003908A1"/>
    <w:rsid w:val="003908BD"/>
    <w:rsid w:val="00390AE6"/>
    <w:rsid w:val="00390B4A"/>
    <w:rsid w:val="00390C69"/>
    <w:rsid w:val="00390C99"/>
    <w:rsid w:val="00390E9F"/>
    <w:rsid w:val="00391251"/>
    <w:rsid w:val="00391506"/>
    <w:rsid w:val="0039197B"/>
    <w:rsid w:val="00391B98"/>
    <w:rsid w:val="00391CDE"/>
    <w:rsid w:val="0039221C"/>
    <w:rsid w:val="00392449"/>
    <w:rsid w:val="0039248A"/>
    <w:rsid w:val="003924FC"/>
    <w:rsid w:val="00392665"/>
    <w:rsid w:val="00392666"/>
    <w:rsid w:val="00392770"/>
    <w:rsid w:val="003928D1"/>
    <w:rsid w:val="00392B55"/>
    <w:rsid w:val="00392CDD"/>
    <w:rsid w:val="00392DF3"/>
    <w:rsid w:val="00392F85"/>
    <w:rsid w:val="00393240"/>
    <w:rsid w:val="00393288"/>
    <w:rsid w:val="00393409"/>
    <w:rsid w:val="003934BB"/>
    <w:rsid w:val="003935E0"/>
    <w:rsid w:val="0039364F"/>
    <w:rsid w:val="003937C3"/>
    <w:rsid w:val="00393972"/>
    <w:rsid w:val="00393A0C"/>
    <w:rsid w:val="00393BD8"/>
    <w:rsid w:val="00393DD7"/>
    <w:rsid w:val="003942DA"/>
    <w:rsid w:val="0039437A"/>
    <w:rsid w:val="003944D7"/>
    <w:rsid w:val="00394955"/>
    <w:rsid w:val="00394B8C"/>
    <w:rsid w:val="00394BCD"/>
    <w:rsid w:val="00394CDE"/>
    <w:rsid w:val="00394E69"/>
    <w:rsid w:val="00394F44"/>
    <w:rsid w:val="00394FD2"/>
    <w:rsid w:val="003950DA"/>
    <w:rsid w:val="00395251"/>
    <w:rsid w:val="0039542F"/>
    <w:rsid w:val="003955B1"/>
    <w:rsid w:val="00395678"/>
    <w:rsid w:val="00395CCD"/>
    <w:rsid w:val="00395E81"/>
    <w:rsid w:val="0039601D"/>
    <w:rsid w:val="0039668B"/>
    <w:rsid w:val="003966D6"/>
    <w:rsid w:val="00396ADA"/>
    <w:rsid w:val="00397377"/>
    <w:rsid w:val="0039774C"/>
    <w:rsid w:val="00397DAE"/>
    <w:rsid w:val="00397E4F"/>
    <w:rsid w:val="00397F33"/>
    <w:rsid w:val="003A0054"/>
    <w:rsid w:val="003A0207"/>
    <w:rsid w:val="003A051C"/>
    <w:rsid w:val="003A05F9"/>
    <w:rsid w:val="003A0705"/>
    <w:rsid w:val="003A07BB"/>
    <w:rsid w:val="003A0C53"/>
    <w:rsid w:val="003A0CCF"/>
    <w:rsid w:val="003A0DD2"/>
    <w:rsid w:val="003A1387"/>
    <w:rsid w:val="003A1697"/>
    <w:rsid w:val="003A1732"/>
    <w:rsid w:val="003A191E"/>
    <w:rsid w:val="003A1A0B"/>
    <w:rsid w:val="003A1AA1"/>
    <w:rsid w:val="003A1C8C"/>
    <w:rsid w:val="003A1EC3"/>
    <w:rsid w:val="003A1F4A"/>
    <w:rsid w:val="003A2031"/>
    <w:rsid w:val="003A217E"/>
    <w:rsid w:val="003A243E"/>
    <w:rsid w:val="003A2B54"/>
    <w:rsid w:val="003A2C5D"/>
    <w:rsid w:val="003A2D7F"/>
    <w:rsid w:val="003A2ED1"/>
    <w:rsid w:val="003A2F10"/>
    <w:rsid w:val="003A2F45"/>
    <w:rsid w:val="003A31F2"/>
    <w:rsid w:val="003A3391"/>
    <w:rsid w:val="003A38F1"/>
    <w:rsid w:val="003A4101"/>
    <w:rsid w:val="003A43D3"/>
    <w:rsid w:val="003A443F"/>
    <w:rsid w:val="003A4463"/>
    <w:rsid w:val="003A455A"/>
    <w:rsid w:val="003A4751"/>
    <w:rsid w:val="003A47D1"/>
    <w:rsid w:val="003A49BD"/>
    <w:rsid w:val="003A4A11"/>
    <w:rsid w:val="003A4A61"/>
    <w:rsid w:val="003A4DF3"/>
    <w:rsid w:val="003A4F12"/>
    <w:rsid w:val="003A4FF1"/>
    <w:rsid w:val="003A5002"/>
    <w:rsid w:val="003A557B"/>
    <w:rsid w:val="003A5985"/>
    <w:rsid w:val="003A5D46"/>
    <w:rsid w:val="003A5DE3"/>
    <w:rsid w:val="003A5EFC"/>
    <w:rsid w:val="003A5FB8"/>
    <w:rsid w:val="003A61B4"/>
    <w:rsid w:val="003A65A0"/>
    <w:rsid w:val="003A66CD"/>
    <w:rsid w:val="003A6B7E"/>
    <w:rsid w:val="003A6C5D"/>
    <w:rsid w:val="003A6C94"/>
    <w:rsid w:val="003A6DB8"/>
    <w:rsid w:val="003A6E72"/>
    <w:rsid w:val="003A724A"/>
    <w:rsid w:val="003A7392"/>
    <w:rsid w:val="003A744B"/>
    <w:rsid w:val="003A74DD"/>
    <w:rsid w:val="003A7695"/>
    <w:rsid w:val="003A77EB"/>
    <w:rsid w:val="003A790D"/>
    <w:rsid w:val="003A798E"/>
    <w:rsid w:val="003A7A8E"/>
    <w:rsid w:val="003A7D65"/>
    <w:rsid w:val="003A7E12"/>
    <w:rsid w:val="003B0244"/>
    <w:rsid w:val="003B0291"/>
    <w:rsid w:val="003B048E"/>
    <w:rsid w:val="003B058D"/>
    <w:rsid w:val="003B06A6"/>
    <w:rsid w:val="003B0BAD"/>
    <w:rsid w:val="003B0DD5"/>
    <w:rsid w:val="003B0FE2"/>
    <w:rsid w:val="003B105A"/>
    <w:rsid w:val="003B119E"/>
    <w:rsid w:val="003B11FE"/>
    <w:rsid w:val="003B1227"/>
    <w:rsid w:val="003B1250"/>
    <w:rsid w:val="003B150E"/>
    <w:rsid w:val="003B1652"/>
    <w:rsid w:val="003B1A6F"/>
    <w:rsid w:val="003B1D55"/>
    <w:rsid w:val="003B2011"/>
    <w:rsid w:val="003B2B7D"/>
    <w:rsid w:val="003B2CB6"/>
    <w:rsid w:val="003B331B"/>
    <w:rsid w:val="003B34C9"/>
    <w:rsid w:val="003B384A"/>
    <w:rsid w:val="003B3CF5"/>
    <w:rsid w:val="003B43B3"/>
    <w:rsid w:val="003B46DD"/>
    <w:rsid w:val="003B4814"/>
    <w:rsid w:val="003B4C96"/>
    <w:rsid w:val="003B4D5F"/>
    <w:rsid w:val="003B4E72"/>
    <w:rsid w:val="003B51AD"/>
    <w:rsid w:val="003B527C"/>
    <w:rsid w:val="003B57A9"/>
    <w:rsid w:val="003B5955"/>
    <w:rsid w:val="003B5981"/>
    <w:rsid w:val="003B5A49"/>
    <w:rsid w:val="003B5C6F"/>
    <w:rsid w:val="003B5F9A"/>
    <w:rsid w:val="003B5FA8"/>
    <w:rsid w:val="003B602D"/>
    <w:rsid w:val="003B6257"/>
    <w:rsid w:val="003B642D"/>
    <w:rsid w:val="003B64A6"/>
    <w:rsid w:val="003B65B3"/>
    <w:rsid w:val="003B664A"/>
    <w:rsid w:val="003B69B3"/>
    <w:rsid w:val="003B6A78"/>
    <w:rsid w:val="003B6D56"/>
    <w:rsid w:val="003B709C"/>
    <w:rsid w:val="003B7400"/>
    <w:rsid w:val="003B761A"/>
    <w:rsid w:val="003B79E3"/>
    <w:rsid w:val="003B7B9E"/>
    <w:rsid w:val="003B7C67"/>
    <w:rsid w:val="003B7C99"/>
    <w:rsid w:val="003C01C7"/>
    <w:rsid w:val="003C01D8"/>
    <w:rsid w:val="003C032B"/>
    <w:rsid w:val="003C0356"/>
    <w:rsid w:val="003C0639"/>
    <w:rsid w:val="003C0855"/>
    <w:rsid w:val="003C0E0E"/>
    <w:rsid w:val="003C0E10"/>
    <w:rsid w:val="003C0FE8"/>
    <w:rsid w:val="003C15C0"/>
    <w:rsid w:val="003C17D9"/>
    <w:rsid w:val="003C17EA"/>
    <w:rsid w:val="003C1889"/>
    <w:rsid w:val="003C1D94"/>
    <w:rsid w:val="003C20DB"/>
    <w:rsid w:val="003C21E6"/>
    <w:rsid w:val="003C25F4"/>
    <w:rsid w:val="003C27B1"/>
    <w:rsid w:val="003C295E"/>
    <w:rsid w:val="003C29D1"/>
    <w:rsid w:val="003C2A5B"/>
    <w:rsid w:val="003C2E61"/>
    <w:rsid w:val="003C2F7D"/>
    <w:rsid w:val="003C2FF5"/>
    <w:rsid w:val="003C309E"/>
    <w:rsid w:val="003C322A"/>
    <w:rsid w:val="003C33B0"/>
    <w:rsid w:val="003C35C4"/>
    <w:rsid w:val="003C3E8E"/>
    <w:rsid w:val="003C42FE"/>
    <w:rsid w:val="003C481C"/>
    <w:rsid w:val="003C4875"/>
    <w:rsid w:val="003C498F"/>
    <w:rsid w:val="003C4F36"/>
    <w:rsid w:val="003C4F56"/>
    <w:rsid w:val="003C54AD"/>
    <w:rsid w:val="003C575E"/>
    <w:rsid w:val="003C59B9"/>
    <w:rsid w:val="003C5F35"/>
    <w:rsid w:val="003C613F"/>
    <w:rsid w:val="003C621F"/>
    <w:rsid w:val="003C629B"/>
    <w:rsid w:val="003C65C7"/>
    <w:rsid w:val="003C6767"/>
    <w:rsid w:val="003C68F8"/>
    <w:rsid w:val="003C6E0C"/>
    <w:rsid w:val="003C6E17"/>
    <w:rsid w:val="003C6F37"/>
    <w:rsid w:val="003C6FF1"/>
    <w:rsid w:val="003C714B"/>
    <w:rsid w:val="003C72BA"/>
    <w:rsid w:val="003C748D"/>
    <w:rsid w:val="003C7551"/>
    <w:rsid w:val="003C77A4"/>
    <w:rsid w:val="003D028B"/>
    <w:rsid w:val="003D028C"/>
    <w:rsid w:val="003D0371"/>
    <w:rsid w:val="003D059B"/>
    <w:rsid w:val="003D072E"/>
    <w:rsid w:val="003D098A"/>
    <w:rsid w:val="003D0A3D"/>
    <w:rsid w:val="003D1268"/>
    <w:rsid w:val="003D1309"/>
    <w:rsid w:val="003D194E"/>
    <w:rsid w:val="003D1C79"/>
    <w:rsid w:val="003D1E04"/>
    <w:rsid w:val="003D1E2F"/>
    <w:rsid w:val="003D214E"/>
    <w:rsid w:val="003D219B"/>
    <w:rsid w:val="003D296F"/>
    <w:rsid w:val="003D2BAD"/>
    <w:rsid w:val="003D3208"/>
    <w:rsid w:val="003D3526"/>
    <w:rsid w:val="003D356A"/>
    <w:rsid w:val="003D3586"/>
    <w:rsid w:val="003D3619"/>
    <w:rsid w:val="003D3AEC"/>
    <w:rsid w:val="003D402D"/>
    <w:rsid w:val="003D4130"/>
    <w:rsid w:val="003D4599"/>
    <w:rsid w:val="003D4A54"/>
    <w:rsid w:val="003D4BD0"/>
    <w:rsid w:val="003D4CFA"/>
    <w:rsid w:val="003D4DEE"/>
    <w:rsid w:val="003D4E2A"/>
    <w:rsid w:val="003D517F"/>
    <w:rsid w:val="003D5195"/>
    <w:rsid w:val="003D55E7"/>
    <w:rsid w:val="003D568D"/>
    <w:rsid w:val="003D5706"/>
    <w:rsid w:val="003D5714"/>
    <w:rsid w:val="003D593A"/>
    <w:rsid w:val="003D59FF"/>
    <w:rsid w:val="003D5A72"/>
    <w:rsid w:val="003D5AE0"/>
    <w:rsid w:val="003D5F3F"/>
    <w:rsid w:val="003D6119"/>
    <w:rsid w:val="003D632D"/>
    <w:rsid w:val="003D6333"/>
    <w:rsid w:val="003D63F4"/>
    <w:rsid w:val="003D653A"/>
    <w:rsid w:val="003D69B5"/>
    <w:rsid w:val="003D6BEC"/>
    <w:rsid w:val="003D6C0E"/>
    <w:rsid w:val="003D6C11"/>
    <w:rsid w:val="003D6EBD"/>
    <w:rsid w:val="003D6FA1"/>
    <w:rsid w:val="003D715D"/>
    <w:rsid w:val="003D747F"/>
    <w:rsid w:val="003D74BE"/>
    <w:rsid w:val="003D74C9"/>
    <w:rsid w:val="003D75EC"/>
    <w:rsid w:val="003D7610"/>
    <w:rsid w:val="003D763A"/>
    <w:rsid w:val="003D79D7"/>
    <w:rsid w:val="003D7AB7"/>
    <w:rsid w:val="003D7B03"/>
    <w:rsid w:val="003D7C2F"/>
    <w:rsid w:val="003D7D6B"/>
    <w:rsid w:val="003D7E0C"/>
    <w:rsid w:val="003D7E48"/>
    <w:rsid w:val="003D7FBF"/>
    <w:rsid w:val="003E01DC"/>
    <w:rsid w:val="003E03F8"/>
    <w:rsid w:val="003E05B5"/>
    <w:rsid w:val="003E0770"/>
    <w:rsid w:val="003E0832"/>
    <w:rsid w:val="003E0843"/>
    <w:rsid w:val="003E0875"/>
    <w:rsid w:val="003E089F"/>
    <w:rsid w:val="003E0ACF"/>
    <w:rsid w:val="003E0DBB"/>
    <w:rsid w:val="003E0FFC"/>
    <w:rsid w:val="003E1071"/>
    <w:rsid w:val="003E1326"/>
    <w:rsid w:val="003E13E4"/>
    <w:rsid w:val="003E1A05"/>
    <w:rsid w:val="003E1AFF"/>
    <w:rsid w:val="003E1E23"/>
    <w:rsid w:val="003E1EB2"/>
    <w:rsid w:val="003E1F23"/>
    <w:rsid w:val="003E2090"/>
    <w:rsid w:val="003E22DD"/>
    <w:rsid w:val="003E26BC"/>
    <w:rsid w:val="003E28C6"/>
    <w:rsid w:val="003E2C2D"/>
    <w:rsid w:val="003E2EB0"/>
    <w:rsid w:val="003E2F0B"/>
    <w:rsid w:val="003E3317"/>
    <w:rsid w:val="003E3323"/>
    <w:rsid w:val="003E36B7"/>
    <w:rsid w:val="003E3A91"/>
    <w:rsid w:val="003E3C4B"/>
    <w:rsid w:val="003E3C88"/>
    <w:rsid w:val="003E3D38"/>
    <w:rsid w:val="003E3E4D"/>
    <w:rsid w:val="003E3EB9"/>
    <w:rsid w:val="003E3EF7"/>
    <w:rsid w:val="003E3FFF"/>
    <w:rsid w:val="003E4093"/>
    <w:rsid w:val="003E41B4"/>
    <w:rsid w:val="003E4583"/>
    <w:rsid w:val="003E4B49"/>
    <w:rsid w:val="003E4D48"/>
    <w:rsid w:val="003E4FBB"/>
    <w:rsid w:val="003E5122"/>
    <w:rsid w:val="003E567F"/>
    <w:rsid w:val="003E57CB"/>
    <w:rsid w:val="003E5F76"/>
    <w:rsid w:val="003E6098"/>
    <w:rsid w:val="003E6336"/>
    <w:rsid w:val="003E660C"/>
    <w:rsid w:val="003E6665"/>
    <w:rsid w:val="003E7200"/>
    <w:rsid w:val="003E7201"/>
    <w:rsid w:val="003E7263"/>
    <w:rsid w:val="003E7606"/>
    <w:rsid w:val="003E7615"/>
    <w:rsid w:val="003E7710"/>
    <w:rsid w:val="003E7835"/>
    <w:rsid w:val="003E78D6"/>
    <w:rsid w:val="003E7BA6"/>
    <w:rsid w:val="003E7E25"/>
    <w:rsid w:val="003E7E5B"/>
    <w:rsid w:val="003F00FF"/>
    <w:rsid w:val="003F06F6"/>
    <w:rsid w:val="003F0739"/>
    <w:rsid w:val="003F098F"/>
    <w:rsid w:val="003F0AD4"/>
    <w:rsid w:val="003F0B65"/>
    <w:rsid w:val="003F0C09"/>
    <w:rsid w:val="003F0E6A"/>
    <w:rsid w:val="003F10F8"/>
    <w:rsid w:val="003F1303"/>
    <w:rsid w:val="003F1BB5"/>
    <w:rsid w:val="003F1D6A"/>
    <w:rsid w:val="003F1E8D"/>
    <w:rsid w:val="003F266E"/>
    <w:rsid w:val="003F28A4"/>
    <w:rsid w:val="003F294D"/>
    <w:rsid w:val="003F2A8E"/>
    <w:rsid w:val="003F2AED"/>
    <w:rsid w:val="003F2AF7"/>
    <w:rsid w:val="003F2B2A"/>
    <w:rsid w:val="003F2E27"/>
    <w:rsid w:val="003F3111"/>
    <w:rsid w:val="003F3146"/>
    <w:rsid w:val="003F31DB"/>
    <w:rsid w:val="003F322E"/>
    <w:rsid w:val="003F3294"/>
    <w:rsid w:val="003F344E"/>
    <w:rsid w:val="003F3543"/>
    <w:rsid w:val="003F36BE"/>
    <w:rsid w:val="003F36E8"/>
    <w:rsid w:val="003F37A1"/>
    <w:rsid w:val="003F38BE"/>
    <w:rsid w:val="003F3952"/>
    <w:rsid w:val="003F3F8B"/>
    <w:rsid w:val="003F4111"/>
    <w:rsid w:val="003F4229"/>
    <w:rsid w:val="003F4394"/>
    <w:rsid w:val="003F45A8"/>
    <w:rsid w:val="003F4BCD"/>
    <w:rsid w:val="003F4CBF"/>
    <w:rsid w:val="003F4D08"/>
    <w:rsid w:val="003F4EE0"/>
    <w:rsid w:val="003F5092"/>
    <w:rsid w:val="003F54B8"/>
    <w:rsid w:val="003F552F"/>
    <w:rsid w:val="003F5832"/>
    <w:rsid w:val="003F5843"/>
    <w:rsid w:val="003F618C"/>
    <w:rsid w:val="003F638C"/>
    <w:rsid w:val="003F6683"/>
    <w:rsid w:val="003F6B22"/>
    <w:rsid w:val="003F6F6E"/>
    <w:rsid w:val="003F73F5"/>
    <w:rsid w:val="003F741F"/>
    <w:rsid w:val="003F7586"/>
    <w:rsid w:val="003F787B"/>
    <w:rsid w:val="003F7B17"/>
    <w:rsid w:val="003F7D46"/>
    <w:rsid w:val="00400811"/>
    <w:rsid w:val="0040091A"/>
    <w:rsid w:val="00400EE8"/>
    <w:rsid w:val="00401152"/>
    <w:rsid w:val="00401521"/>
    <w:rsid w:val="0040175D"/>
    <w:rsid w:val="00401F61"/>
    <w:rsid w:val="00401FDC"/>
    <w:rsid w:val="004023B5"/>
    <w:rsid w:val="0040244B"/>
    <w:rsid w:val="004025E5"/>
    <w:rsid w:val="004026BC"/>
    <w:rsid w:val="004027F6"/>
    <w:rsid w:val="00402921"/>
    <w:rsid w:val="004029FE"/>
    <w:rsid w:val="00402B80"/>
    <w:rsid w:val="00402C08"/>
    <w:rsid w:val="00402C8E"/>
    <w:rsid w:val="00403006"/>
    <w:rsid w:val="00403217"/>
    <w:rsid w:val="004032B9"/>
    <w:rsid w:val="004035B9"/>
    <w:rsid w:val="00403C89"/>
    <w:rsid w:val="00403C9D"/>
    <w:rsid w:val="00403D25"/>
    <w:rsid w:val="0040463D"/>
    <w:rsid w:val="004046CA"/>
    <w:rsid w:val="004047AC"/>
    <w:rsid w:val="00404913"/>
    <w:rsid w:val="004049C3"/>
    <w:rsid w:val="00404A09"/>
    <w:rsid w:val="00404E9B"/>
    <w:rsid w:val="00405068"/>
    <w:rsid w:val="004051BE"/>
    <w:rsid w:val="0040540A"/>
    <w:rsid w:val="00405CE2"/>
    <w:rsid w:val="00405F5D"/>
    <w:rsid w:val="00406027"/>
    <w:rsid w:val="00406092"/>
    <w:rsid w:val="00406107"/>
    <w:rsid w:val="004063BC"/>
    <w:rsid w:val="00406654"/>
    <w:rsid w:val="00406781"/>
    <w:rsid w:val="004068F3"/>
    <w:rsid w:val="00406AE6"/>
    <w:rsid w:val="00406C9E"/>
    <w:rsid w:val="00406F16"/>
    <w:rsid w:val="00406F93"/>
    <w:rsid w:val="0040750F"/>
    <w:rsid w:val="00407B53"/>
    <w:rsid w:val="00407B6F"/>
    <w:rsid w:val="00407FB1"/>
    <w:rsid w:val="00410348"/>
    <w:rsid w:val="004104A3"/>
    <w:rsid w:val="004104B4"/>
    <w:rsid w:val="0041057A"/>
    <w:rsid w:val="00410ED1"/>
    <w:rsid w:val="00411040"/>
    <w:rsid w:val="00411069"/>
    <w:rsid w:val="004110ED"/>
    <w:rsid w:val="00411142"/>
    <w:rsid w:val="00411886"/>
    <w:rsid w:val="00411955"/>
    <w:rsid w:val="00411A06"/>
    <w:rsid w:val="004123D6"/>
    <w:rsid w:val="004126DB"/>
    <w:rsid w:val="0041270C"/>
    <w:rsid w:val="00412ED1"/>
    <w:rsid w:val="00413079"/>
    <w:rsid w:val="004135B7"/>
    <w:rsid w:val="00413617"/>
    <w:rsid w:val="00413908"/>
    <w:rsid w:val="00413C83"/>
    <w:rsid w:val="00414244"/>
    <w:rsid w:val="00414400"/>
    <w:rsid w:val="004144AC"/>
    <w:rsid w:val="004144F9"/>
    <w:rsid w:val="00414549"/>
    <w:rsid w:val="00414808"/>
    <w:rsid w:val="00414898"/>
    <w:rsid w:val="004148AA"/>
    <w:rsid w:val="00414A0B"/>
    <w:rsid w:val="00414A52"/>
    <w:rsid w:val="00414D9D"/>
    <w:rsid w:val="00414E51"/>
    <w:rsid w:val="00414FE8"/>
    <w:rsid w:val="00414FED"/>
    <w:rsid w:val="0041522F"/>
    <w:rsid w:val="00415235"/>
    <w:rsid w:val="00415247"/>
    <w:rsid w:val="004155F5"/>
    <w:rsid w:val="00415694"/>
    <w:rsid w:val="00415C49"/>
    <w:rsid w:val="00415CA8"/>
    <w:rsid w:val="00415D10"/>
    <w:rsid w:val="00415ECE"/>
    <w:rsid w:val="0041640E"/>
    <w:rsid w:val="00416A1A"/>
    <w:rsid w:val="00416A4C"/>
    <w:rsid w:val="00416AE8"/>
    <w:rsid w:val="00416B90"/>
    <w:rsid w:val="00416E78"/>
    <w:rsid w:val="004170E5"/>
    <w:rsid w:val="00417143"/>
    <w:rsid w:val="00417171"/>
    <w:rsid w:val="004171D0"/>
    <w:rsid w:val="00417382"/>
    <w:rsid w:val="004173BB"/>
    <w:rsid w:val="0041768F"/>
    <w:rsid w:val="00417E24"/>
    <w:rsid w:val="0042016D"/>
    <w:rsid w:val="00420197"/>
    <w:rsid w:val="0042038F"/>
    <w:rsid w:val="00420476"/>
    <w:rsid w:val="00420687"/>
    <w:rsid w:val="004208FB"/>
    <w:rsid w:val="004209D6"/>
    <w:rsid w:val="004211F3"/>
    <w:rsid w:val="004216F8"/>
    <w:rsid w:val="00421AE7"/>
    <w:rsid w:val="00421BA5"/>
    <w:rsid w:val="00421C3F"/>
    <w:rsid w:val="00421DE7"/>
    <w:rsid w:val="00421F85"/>
    <w:rsid w:val="00421FED"/>
    <w:rsid w:val="00421FF7"/>
    <w:rsid w:val="00422316"/>
    <w:rsid w:val="00422328"/>
    <w:rsid w:val="004229ED"/>
    <w:rsid w:val="00422B5D"/>
    <w:rsid w:val="00422B6C"/>
    <w:rsid w:val="00422BDB"/>
    <w:rsid w:val="00422C6F"/>
    <w:rsid w:val="00422EB7"/>
    <w:rsid w:val="0042308A"/>
    <w:rsid w:val="00423095"/>
    <w:rsid w:val="004231C9"/>
    <w:rsid w:val="00423275"/>
    <w:rsid w:val="004238E9"/>
    <w:rsid w:val="00423D04"/>
    <w:rsid w:val="00423E96"/>
    <w:rsid w:val="00423FA7"/>
    <w:rsid w:val="0042420C"/>
    <w:rsid w:val="004247BF"/>
    <w:rsid w:val="0042494D"/>
    <w:rsid w:val="00424D61"/>
    <w:rsid w:val="0042507A"/>
    <w:rsid w:val="004257E4"/>
    <w:rsid w:val="00425801"/>
    <w:rsid w:val="00425E6A"/>
    <w:rsid w:val="00425EE6"/>
    <w:rsid w:val="00426013"/>
    <w:rsid w:val="0042601F"/>
    <w:rsid w:val="00426031"/>
    <w:rsid w:val="004260C1"/>
    <w:rsid w:val="004262E5"/>
    <w:rsid w:val="004263E3"/>
    <w:rsid w:val="004264A7"/>
    <w:rsid w:val="004264BE"/>
    <w:rsid w:val="00426552"/>
    <w:rsid w:val="004266DD"/>
    <w:rsid w:val="004266F0"/>
    <w:rsid w:val="00426B66"/>
    <w:rsid w:val="00427044"/>
    <w:rsid w:val="0042720E"/>
    <w:rsid w:val="00427603"/>
    <w:rsid w:val="00427869"/>
    <w:rsid w:val="00427B78"/>
    <w:rsid w:val="00427BDF"/>
    <w:rsid w:val="004300C9"/>
    <w:rsid w:val="004301FF"/>
    <w:rsid w:val="0043079D"/>
    <w:rsid w:val="00430A07"/>
    <w:rsid w:val="00430A5F"/>
    <w:rsid w:val="00430AD5"/>
    <w:rsid w:val="00430BBC"/>
    <w:rsid w:val="00430D3C"/>
    <w:rsid w:val="00430F14"/>
    <w:rsid w:val="00430F26"/>
    <w:rsid w:val="00431371"/>
    <w:rsid w:val="004313C6"/>
    <w:rsid w:val="0043140F"/>
    <w:rsid w:val="004314CE"/>
    <w:rsid w:val="004315E0"/>
    <w:rsid w:val="00431626"/>
    <w:rsid w:val="004317FB"/>
    <w:rsid w:val="004319D5"/>
    <w:rsid w:val="00431B31"/>
    <w:rsid w:val="00431BBD"/>
    <w:rsid w:val="00431D9E"/>
    <w:rsid w:val="00431DA9"/>
    <w:rsid w:val="00431F58"/>
    <w:rsid w:val="004320EC"/>
    <w:rsid w:val="0043233C"/>
    <w:rsid w:val="00432772"/>
    <w:rsid w:val="004329ED"/>
    <w:rsid w:val="00432A13"/>
    <w:rsid w:val="00432CAD"/>
    <w:rsid w:val="0043303B"/>
    <w:rsid w:val="004330A6"/>
    <w:rsid w:val="004331A6"/>
    <w:rsid w:val="0043351C"/>
    <w:rsid w:val="00433596"/>
    <w:rsid w:val="00433AB6"/>
    <w:rsid w:val="004343F5"/>
    <w:rsid w:val="0043495A"/>
    <w:rsid w:val="00434A4C"/>
    <w:rsid w:val="00434C2E"/>
    <w:rsid w:val="004352AF"/>
    <w:rsid w:val="004352C4"/>
    <w:rsid w:val="0043543C"/>
    <w:rsid w:val="00435473"/>
    <w:rsid w:val="004356BB"/>
    <w:rsid w:val="00436741"/>
    <w:rsid w:val="00436A6D"/>
    <w:rsid w:val="00436D1F"/>
    <w:rsid w:val="004370F5"/>
    <w:rsid w:val="004372D0"/>
    <w:rsid w:val="004373EB"/>
    <w:rsid w:val="00437481"/>
    <w:rsid w:val="004374EC"/>
    <w:rsid w:val="00437688"/>
    <w:rsid w:val="004376D5"/>
    <w:rsid w:val="0043782D"/>
    <w:rsid w:val="00437AA4"/>
    <w:rsid w:val="00437B3D"/>
    <w:rsid w:val="00437CA2"/>
    <w:rsid w:val="00437D18"/>
    <w:rsid w:val="00437E5E"/>
    <w:rsid w:val="00437FB3"/>
    <w:rsid w:val="004401B0"/>
    <w:rsid w:val="004405F8"/>
    <w:rsid w:val="00440626"/>
    <w:rsid w:val="00440C2F"/>
    <w:rsid w:val="00440CF6"/>
    <w:rsid w:val="00441809"/>
    <w:rsid w:val="004418FF"/>
    <w:rsid w:val="00441A7E"/>
    <w:rsid w:val="00441BCE"/>
    <w:rsid w:val="00441D52"/>
    <w:rsid w:val="004421E4"/>
    <w:rsid w:val="0044220F"/>
    <w:rsid w:val="00442256"/>
    <w:rsid w:val="004422B7"/>
    <w:rsid w:val="004424F4"/>
    <w:rsid w:val="0044260E"/>
    <w:rsid w:val="00442C6C"/>
    <w:rsid w:val="00442FF0"/>
    <w:rsid w:val="0044318A"/>
    <w:rsid w:val="004432DF"/>
    <w:rsid w:val="00443338"/>
    <w:rsid w:val="00443577"/>
    <w:rsid w:val="004436F1"/>
    <w:rsid w:val="00443CDB"/>
    <w:rsid w:val="00443F17"/>
    <w:rsid w:val="0044410F"/>
    <w:rsid w:val="00444270"/>
    <w:rsid w:val="004444A6"/>
    <w:rsid w:val="00444677"/>
    <w:rsid w:val="004446C5"/>
    <w:rsid w:val="00444910"/>
    <w:rsid w:val="00444B93"/>
    <w:rsid w:val="00444C75"/>
    <w:rsid w:val="00444E39"/>
    <w:rsid w:val="00445240"/>
    <w:rsid w:val="00445324"/>
    <w:rsid w:val="00445601"/>
    <w:rsid w:val="00445BD0"/>
    <w:rsid w:val="00445EA5"/>
    <w:rsid w:val="004460DD"/>
    <w:rsid w:val="00446182"/>
    <w:rsid w:val="00446221"/>
    <w:rsid w:val="00446243"/>
    <w:rsid w:val="004463C9"/>
    <w:rsid w:val="004464C4"/>
    <w:rsid w:val="0044662A"/>
    <w:rsid w:val="004466FF"/>
    <w:rsid w:val="00446711"/>
    <w:rsid w:val="00446955"/>
    <w:rsid w:val="00446C0B"/>
    <w:rsid w:val="00446F37"/>
    <w:rsid w:val="00446F8A"/>
    <w:rsid w:val="00447057"/>
    <w:rsid w:val="0044764D"/>
    <w:rsid w:val="00447E34"/>
    <w:rsid w:val="00447E9C"/>
    <w:rsid w:val="004500EE"/>
    <w:rsid w:val="004505A4"/>
    <w:rsid w:val="004506EF"/>
    <w:rsid w:val="00450AAD"/>
    <w:rsid w:val="00450B2A"/>
    <w:rsid w:val="00450B43"/>
    <w:rsid w:val="00450C94"/>
    <w:rsid w:val="0045166A"/>
    <w:rsid w:val="00451B2E"/>
    <w:rsid w:val="00452143"/>
    <w:rsid w:val="004522A1"/>
    <w:rsid w:val="00452305"/>
    <w:rsid w:val="004523F2"/>
    <w:rsid w:val="00452A7B"/>
    <w:rsid w:val="00452BE7"/>
    <w:rsid w:val="00453397"/>
    <w:rsid w:val="0045348C"/>
    <w:rsid w:val="00453523"/>
    <w:rsid w:val="004538F7"/>
    <w:rsid w:val="00453B00"/>
    <w:rsid w:val="00453C45"/>
    <w:rsid w:val="00454131"/>
    <w:rsid w:val="00454382"/>
    <w:rsid w:val="0045448F"/>
    <w:rsid w:val="004545A7"/>
    <w:rsid w:val="004546BA"/>
    <w:rsid w:val="00454A31"/>
    <w:rsid w:val="00454A3F"/>
    <w:rsid w:val="00454C7F"/>
    <w:rsid w:val="00455527"/>
    <w:rsid w:val="004555C9"/>
    <w:rsid w:val="004559CF"/>
    <w:rsid w:val="00455BB3"/>
    <w:rsid w:val="00455BC5"/>
    <w:rsid w:val="00455E11"/>
    <w:rsid w:val="00455ECC"/>
    <w:rsid w:val="00456078"/>
    <w:rsid w:val="004560C0"/>
    <w:rsid w:val="00456125"/>
    <w:rsid w:val="00456428"/>
    <w:rsid w:val="00456445"/>
    <w:rsid w:val="00456460"/>
    <w:rsid w:val="004565FC"/>
    <w:rsid w:val="004567FA"/>
    <w:rsid w:val="00456904"/>
    <w:rsid w:val="00456C79"/>
    <w:rsid w:val="0045709C"/>
    <w:rsid w:val="00457174"/>
    <w:rsid w:val="00457694"/>
    <w:rsid w:val="0045780B"/>
    <w:rsid w:val="00457969"/>
    <w:rsid w:val="004579E0"/>
    <w:rsid w:val="00457A4B"/>
    <w:rsid w:val="00457B3D"/>
    <w:rsid w:val="00457E93"/>
    <w:rsid w:val="00457EBD"/>
    <w:rsid w:val="00457FCD"/>
    <w:rsid w:val="004601D3"/>
    <w:rsid w:val="0046024A"/>
    <w:rsid w:val="004602E8"/>
    <w:rsid w:val="004603B3"/>
    <w:rsid w:val="00460542"/>
    <w:rsid w:val="00460583"/>
    <w:rsid w:val="0046084B"/>
    <w:rsid w:val="004608AB"/>
    <w:rsid w:val="004609EC"/>
    <w:rsid w:val="00460A28"/>
    <w:rsid w:val="00460BA6"/>
    <w:rsid w:val="00460BDC"/>
    <w:rsid w:val="00460BE7"/>
    <w:rsid w:val="00460F28"/>
    <w:rsid w:val="00460FAF"/>
    <w:rsid w:val="0046113F"/>
    <w:rsid w:val="004615F0"/>
    <w:rsid w:val="00461692"/>
    <w:rsid w:val="00461938"/>
    <w:rsid w:val="00461BF6"/>
    <w:rsid w:val="00461C2A"/>
    <w:rsid w:val="00461D3A"/>
    <w:rsid w:val="00461DB1"/>
    <w:rsid w:val="00462085"/>
    <w:rsid w:val="004620EC"/>
    <w:rsid w:val="00462582"/>
    <w:rsid w:val="00462973"/>
    <w:rsid w:val="00462A90"/>
    <w:rsid w:val="00462BA7"/>
    <w:rsid w:val="00462C36"/>
    <w:rsid w:val="00462DE1"/>
    <w:rsid w:val="00462DEA"/>
    <w:rsid w:val="00463077"/>
    <w:rsid w:val="004632BC"/>
    <w:rsid w:val="0046389D"/>
    <w:rsid w:val="00463A42"/>
    <w:rsid w:val="00464040"/>
    <w:rsid w:val="00464154"/>
    <w:rsid w:val="0046426C"/>
    <w:rsid w:val="00464275"/>
    <w:rsid w:val="00464538"/>
    <w:rsid w:val="00464633"/>
    <w:rsid w:val="00464634"/>
    <w:rsid w:val="00464673"/>
    <w:rsid w:val="004648AB"/>
    <w:rsid w:val="00464B20"/>
    <w:rsid w:val="00464EAE"/>
    <w:rsid w:val="00464FD3"/>
    <w:rsid w:val="00464FE2"/>
    <w:rsid w:val="004653AF"/>
    <w:rsid w:val="0046566C"/>
    <w:rsid w:val="00465C6B"/>
    <w:rsid w:val="00465DB2"/>
    <w:rsid w:val="00465FB4"/>
    <w:rsid w:val="00466071"/>
    <w:rsid w:val="004660AE"/>
    <w:rsid w:val="00466488"/>
    <w:rsid w:val="00466508"/>
    <w:rsid w:val="0046679D"/>
    <w:rsid w:val="0046693E"/>
    <w:rsid w:val="00466CA6"/>
    <w:rsid w:val="00466D21"/>
    <w:rsid w:val="00466F08"/>
    <w:rsid w:val="004670EC"/>
    <w:rsid w:val="004671CA"/>
    <w:rsid w:val="00467359"/>
    <w:rsid w:val="004674E9"/>
    <w:rsid w:val="00467517"/>
    <w:rsid w:val="0046761F"/>
    <w:rsid w:val="00467961"/>
    <w:rsid w:val="00467B4E"/>
    <w:rsid w:val="00467D1F"/>
    <w:rsid w:val="00467E77"/>
    <w:rsid w:val="00467F9C"/>
    <w:rsid w:val="004701D2"/>
    <w:rsid w:val="00470444"/>
    <w:rsid w:val="00470513"/>
    <w:rsid w:val="00470762"/>
    <w:rsid w:val="004708DF"/>
    <w:rsid w:val="00470B6A"/>
    <w:rsid w:val="00470E4D"/>
    <w:rsid w:val="0047108D"/>
    <w:rsid w:val="0047112A"/>
    <w:rsid w:val="00471156"/>
    <w:rsid w:val="00471213"/>
    <w:rsid w:val="004714CA"/>
    <w:rsid w:val="0047151E"/>
    <w:rsid w:val="00471861"/>
    <w:rsid w:val="00471979"/>
    <w:rsid w:val="00471EF0"/>
    <w:rsid w:val="00471FC7"/>
    <w:rsid w:val="00472013"/>
    <w:rsid w:val="004721C6"/>
    <w:rsid w:val="00472277"/>
    <w:rsid w:val="00472282"/>
    <w:rsid w:val="004722B7"/>
    <w:rsid w:val="0047245D"/>
    <w:rsid w:val="00472467"/>
    <w:rsid w:val="0047264E"/>
    <w:rsid w:val="004726DB"/>
    <w:rsid w:val="004727C5"/>
    <w:rsid w:val="00472863"/>
    <w:rsid w:val="00472BF4"/>
    <w:rsid w:val="0047320A"/>
    <w:rsid w:val="00473999"/>
    <w:rsid w:val="00473C7A"/>
    <w:rsid w:val="00473E88"/>
    <w:rsid w:val="00474053"/>
    <w:rsid w:val="0047422F"/>
    <w:rsid w:val="00474757"/>
    <w:rsid w:val="00474DB8"/>
    <w:rsid w:val="00474E8F"/>
    <w:rsid w:val="004750B9"/>
    <w:rsid w:val="00475264"/>
    <w:rsid w:val="004753C6"/>
    <w:rsid w:val="00475617"/>
    <w:rsid w:val="004756D7"/>
    <w:rsid w:val="00475844"/>
    <w:rsid w:val="00475877"/>
    <w:rsid w:val="004758A7"/>
    <w:rsid w:val="004758D7"/>
    <w:rsid w:val="00475A9D"/>
    <w:rsid w:val="00475B03"/>
    <w:rsid w:val="00475C34"/>
    <w:rsid w:val="00475E80"/>
    <w:rsid w:val="00475F83"/>
    <w:rsid w:val="00476570"/>
    <w:rsid w:val="0047660A"/>
    <w:rsid w:val="00476814"/>
    <w:rsid w:val="00476AC3"/>
    <w:rsid w:val="00476EF7"/>
    <w:rsid w:val="00476FD3"/>
    <w:rsid w:val="0047705E"/>
    <w:rsid w:val="00477225"/>
    <w:rsid w:val="004775F0"/>
    <w:rsid w:val="00477651"/>
    <w:rsid w:val="0047774F"/>
    <w:rsid w:val="004779B4"/>
    <w:rsid w:val="00477A26"/>
    <w:rsid w:val="00477BFF"/>
    <w:rsid w:val="00477C4F"/>
    <w:rsid w:val="00480105"/>
    <w:rsid w:val="004801F4"/>
    <w:rsid w:val="00480878"/>
    <w:rsid w:val="00480C09"/>
    <w:rsid w:val="00480CAD"/>
    <w:rsid w:val="00480D5C"/>
    <w:rsid w:val="00480DB8"/>
    <w:rsid w:val="00481025"/>
    <w:rsid w:val="00481045"/>
    <w:rsid w:val="004814B5"/>
    <w:rsid w:val="00481B56"/>
    <w:rsid w:val="00481B78"/>
    <w:rsid w:val="00481C30"/>
    <w:rsid w:val="00481EF7"/>
    <w:rsid w:val="00481F67"/>
    <w:rsid w:val="004820F4"/>
    <w:rsid w:val="00482354"/>
    <w:rsid w:val="004825EF"/>
    <w:rsid w:val="00482881"/>
    <w:rsid w:val="00482A13"/>
    <w:rsid w:val="00482C2D"/>
    <w:rsid w:val="00482E02"/>
    <w:rsid w:val="00482FA9"/>
    <w:rsid w:val="0048326F"/>
    <w:rsid w:val="00483285"/>
    <w:rsid w:val="0048367B"/>
    <w:rsid w:val="00483BD7"/>
    <w:rsid w:val="00483FD9"/>
    <w:rsid w:val="00484441"/>
    <w:rsid w:val="0048451D"/>
    <w:rsid w:val="004845EB"/>
    <w:rsid w:val="00484639"/>
    <w:rsid w:val="00484649"/>
    <w:rsid w:val="0048472C"/>
    <w:rsid w:val="004848CE"/>
    <w:rsid w:val="004848EB"/>
    <w:rsid w:val="0048499D"/>
    <w:rsid w:val="00484B05"/>
    <w:rsid w:val="00485399"/>
    <w:rsid w:val="004854A0"/>
    <w:rsid w:val="0048554C"/>
    <w:rsid w:val="0048563E"/>
    <w:rsid w:val="00485A36"/>
    <w:rsid w:val="00485B9B"/>
    <w:rsid w:val="00485C7A"/>
    <w:rsid w:val="00485DDA"/>
    <w:rsid w:val="00485F67"/>
    <w:rsid w:val="00486069"/>
    <w:rsid w:val="00486071"/>
    <w:rsid w:val="00486154"/>
    <w:rsid w:val="0048618B"/>
    <w:rsid w:val="004864F7"/>
    <w:rsid w:val="0048682D"/>
    <w:rsid w:val="00486885"/>
    <w:rsid w:val="00486B43"/>
    <w:rsid w:val="00486C54"/>
    <w:rsid w:val="00486CAC"/>
    <w:rsid w:val="00486F26"/>
    <w:rsid w:val="00486FE7"/>
    <w:rsid w:val="00487245"/>
    <w:rsid w:val="00487B88"/>
    <w:rsid w:val="00487C68"/>
    <w:rsid w:val="00487D07"/>
    <w:rsid w:val="00487E3B"/>
    <w:rsid w:val="00490049"/>
    <w:rsid w:val="00490086"/>
    <w:rsid w:val="004901D9"/>
    <w:rsid w:val="0049061C"/>
    <w:rsid w:val="004910E5"/>
    <w:rsid w:val="0049119D"/>
    <w:rsid w:val="004911B1"/>
    <w:rsid w:val="00491236"/>
    <w:rsid w:val="004913C1"/>
    <w:rsid w:val="00491489"/>
    <w:rsid w:val="004914E6"/>
    <w:rsid w:val="00491618"/>
    <w:rsid w:val="004916F4"/>
    <w:rsid w:val="00491B81"/>
    <w:rsid w:val="00491B91"/>
    <w:rsid w:val="00491BD7"/>
    <w:rsid w:val="00491C21"/>
    <w:rsid w:val="004921A3"/>
    <w:rsid w:val="004925CA"/>
    <w:rsid w:val="0049265A"/>
    <w:rsid w:val="0049293E"/>
    <w:rsid w:val="00492A5F"/>
    <w:rsid w:val="0049326F"/>
    <w:rsid w:val="00493368"/>
    <w:rsid w:val="00493372"/>
    <w:rsid w:val="004933AC"/>
    <w:rsid w:val="004933B8"/>
    <w:rsid w:val="00493B4F"/>
    <w:rsid w:val="00493E2B"/>
    <w:rsid w:val="00493E5E"/>
    <w:rsid w:val="00493F9F"/>
    <w:rsid w:val="00494518"/>
    <w:rsid w:val="00494630"/>
    <w:rsid w:val="00494892"/>
    <w:rsid w:val="004948B4"/>
    <w:rsid w:val="00494905"/>
    <w:rsid w:val="00494A9D"/>
    <w:rsid w:val="00494C6F"/>
    <w:rsid w:val="00494DAB"/>
    <w:rsid w:val="00494EA0"/>
    <w:rsid w:val="004950AC"/>
    <w:rsid w:val="00495593"/>
    <w:rsid w:val="004956A9"/>
    <w:rsid w:val="004956BC"/>
    <w:rsid w:val="0049582C"/>
    <w:rsid w:val="004958C9"/>
    <w:rsid w:val="00495990"/>
    <w:rsid w:val="00495B9F"/>
    <w:rsid w:val="00495D8B"/>
    <w:rsid w:val="00495DD9"/>
    <w:rsid w:val="00495E28"/>
    <w:rsid w:val="00495FDD"/>
    <w:rsid w:val="0049637B"/>
    <w:rsid w:val="0049656A"/>
    <w:rsid w:val="00496650"/>
    <w:rsid w:val="004966B2"/>
    <w:rsid w:val="0049682D"/>
    <w:rsid w:val="00496C61"/>
    <w:rsid w:val="004970AD"/>
    <w:rsid w:val="004970F1"/>
    <w:rsid w:val="00497479"/>
    <w:rsid w:val="00497510"/>
    <w:rsid w:val="0049765E"/>
    <w:rsid w:val="004978C2"/>
    <w:rsid w:val="00497A06"/>
    <w:rsid w:val="00497B21"/>
    <w:rsid w:val="00497BA7"/>
    <w:rsid w:val="00497F68"/>
    <w:rsid w:val="004A00C6"/>
    <w:rsid w:val="004A01B3"/>
    <w:rsid w:val="004A0257"/>
    <w:rsid w:val="004A02C2"/>
    <w:rsid w:val="004A0638"/>
    <w:rsid w:val="004A07AA"/>
    <w:rsid w:val="004A0942"/>
    <w:rsid w:val="004A0CB8"/>
    <w:rsid w:val="004A0D49"/>
    <w:rsid w:val="004A15BF"/>
    <w:rsid w:val="004A1714"/>
    <w:rsid w:val="004A1730"/>
    <w:rsid w:val="004A18B9"/>
    <w:rsid w:val="004A197B"/>
    <w:rsid w:val="004A1FBE"/>
    <w:rsid w:val="004A203C"/>
    <w:rsid w:val="004A21F8"/>
    <w:rsid w:val="004A23AC"/>
    <w:rsid w:val="004A2719"/>
    <w:rsid w:val="004A2A09"/>
    <w:rsid w:val="004A2D1E"/>
    <w:rsid w:val="004A2D74"/>
    <w:rsid w:val="004A34E8"/>
    <w:rsid w:val="004A39AF"/>
    <w:rsid w:val="004A3C64"/>
    <w:rsid w:val="004A3CC3"/>
    <w:rsid w:val="004A4163"/>
    <w:rsid w:val="004A41F4"/>
    <w:rsid w:val="004A433C"/>
    <w:rsid w:val="004A4352"/>
    <w:rsid w:val="004A44AD"/>
    <w:rsid w:val="004A45BF"/>
    <w:rsid w:val="004A470C"/>
    <w:rsid w:val="004A4C55"/>
    <w:rsid w:val="004A51EB"/>
    <w:rsid w:val="004A5275"/>
    <w:rsid w:val="004A532E"/>
    <w:rsid w:val="004A5965"/>
    <w:rsid w:val="004A5BDC"/>
    <w:rsid w:val="004A601E"/>
    <w:rsid w:val="004A6083"/>
    <w:rsid w:val="004A6140"/>
    <w:rsid w:val="004A6539"/>
    <w:rsid w:val="004A6A4A"/>
    <w:rsid w:val="004A6EDA"/>
    <w:rsid w:val="004A6F5A"/>
    <w:rsid w:val="004A703E"/>
    <w:rsid w:val="004A77F7"/>
    <w:rsid w:val="004A7B79"/>
    <w:rsid w:val="004A7E1B"/>
    <w:rsid w:val="004A7FB5"/>
    <w:rsid w:val="004B0271"/>
    <w:rsid w:val="004B03B3"/>
    <w:rsid w:val="004B044E"/>
    <w:rsid w:val="004B0459"/>
    <w:rsid w:val="004B052C"/>
    <w:rsid w:val="004B0761"/>
    <w:rsid w:val="004B0838"/>
    <w:rsid w:val="004B0C04"/>
    <w:rsid w:val="004B0DAA"/>
    <w:rsid w:val="004B0DD3"/>
    <w:rsid w:val="004B0EBC"/>
    <w:rsid w:val="004B1388"/>
    <w:rsid w:val="004B1445"/>
    <w:rsid w:val="004B16CF"/>
    <w:rsid w:val="004B197F"/>
    <w:rsid w:val="004B1A34"/>
    <w:rsid w:val="004B1C3E"/>
    <w:rsid w:val="004B1D5E"/>
    <w:rsid w:val="004B1D94"/>
    <w:rsid w:val="004B205D"/>
    <w:rsid w:val="004B219A"/>
    <w:rsid w:val="004B241F"/>
    <w:rsid w:val="004B2422"/>
    <w:rsid w:val="004B2618"/>
    <w:rsid w:val="004B27DA"/>
    <w:rsid w:val="004B28CC"/>
    <w:rsid w:val="004B2D73"/>
    <w:rsid w:val="004B355C"/>
    <w:rsid w:val="004B35A8"/>
    <w:rsid w:val="004B37E2"/>
    <w:rsid w:val="004B3901"/>
    <w:rsid w:val="004B39BD"/>
    <w:rsid w:val="004B4078"/>
    <w:rsid w:val="004B41CA"/>
    <w:rsid w:val="004B4472"/>
    <w:rsid w:val="004B451D"/>
    <w:rsid w:val="004B455B"/>
    <w:rsid w:val="004B4675"/>
    <w:rsid w:val="004B48E8"/>
    <w:rsid w:val="004B4967"/>
    <w:rsid w:val="004B4CA1"/>
    <w:rsid w:val="004B51EB"/>
    <w:rsid w:val="004B541C"/>
    <w:rsid w:val="004B5425"/>
    <w:rsid w:val="004B5467"/>
    <w:rsid w:val="004B5912"/>
    <w:rsid w:val="004B595A"/>
    <w:rsid w:val="004B5B64"/>
    <w:rsid w:val="004B5DE1"/>
    <w:rsid w:val="004B5DFB"/>
    <w:rsid w:val="004B6357"/>
    <w:rsid w:val="004B63B7"/>
    <w:rsid w:val="004B65C2"/>
    <w:rsid w:val="004B68AE"/>
    <w:rsid w:val="004B6925"/>
    <w:rsid w:val="004B6AD1"/>
    <w:rsid w:val="004B6B4A"/>
    <w:rsid w:val="004B73A3"/>
    <w:rsid w:val="004B746A"/>
    <w:rsid w:val="004B7F2B"/>
    <w:rsid w:val="004C020D"/>
    <w:rsid w:val="004C050C"/>
    <w:rsid w:val="004C0A09"/>
    <w:rsid w:val="004C0A87"/>
    <w:rsid w:val="004C0EEB"/>
    <w:rsid w:val="004C1009"/>
    <w:rsid w:val="004C1085"/>
    <w:rsid w:val="004C10B7"/>
    <w:rsid w:val="004C1467"/>
    <w:rsid w:val="004C1667"/>
    <w:rsid w:val="004C1B56"/>
    <w:rsid w:val="004C1BFF"/>
    <w:rsid w:val="004C1C4E"/>
    <w:rsid w:val="004C1DF5"/>
    <w:rsid w:val="004C1E45"/>
    <w:rsid w:val="004C1FD8"/>
    <w:rsid w:val="004C1FFC"/>
    <w:rsid w:val="004C205D"/>
    <w:rsid w:val="004C218C"/>
    <w:rsid w:val="004C2445"/>
    <w:rsid w:val="004C2660"/>
    <w:rsid w:val="004C26BC"/>
    <w:rsid w:val="004C26E6"/>
    <w:rsid w:val="004C27FC"/>
    <w:rsid w:val="004C28CE"/>
    <w:rsid w:val="004C2A3F"/>
    <w:rsid w:val="004C2B52"/>
    <w:rsid w:val="004C2F75"/>
    <w:rsid w:val="004C3058"/>
    <w:rsid w:val="004C3189"/>
    <w:rsid w:val="004C33E9"/>
    <w:rsid w:val="004C36F7"/>
    <w:rsid w:val="004C378F"/>
    <w:rsid w:val="004C3BAC"/>
    <w:rsid w:val="004C3BD4"/>
    <w:rsid w:val="004C3C7D"/>
    <w:rsid w:val="004C3D00"/>
    <w:rsid w:val="004C3DA4"/>
    <w:rsid w:val="004C4010"/>
    <w:rsid w:val="004C40CA"/>
    <w:rsid w:val="004C4609"/>
    <w:rsid w:val="004C4621"/>
    <w:rsid w:val="004C4B3E"/>
    <w:rsid w:val="004C50B6"/>
    <w:rsid w:val="004C521D"/>
    <w:rsid w:val="004C52A9"/>
    <w:rsid w:val="004C5408"/>
    <w:rsid w:val="004C54DE"/>
    <w:rsid w:val="004C577F"/>
    <w:rsid w:val="004C5ACF"/>
    <w:rsid w:val="004C5C5A"/>
    <w:rsid w:val="004C5FFB"/>
    <w:rsid w:val="004C609A"/>
    <w:rsid w:val="004C60A4"/>
    <w:rsid w:val="004C653D"/>
    <w:rsid w:val="004C6D7B"/>
    <w:rsid w:val="004C724D"/>
    <w:rsid w:val="004C7803"/>
    <w:rsid w:val="004C791F"/>
    <w:rsid w:val="004C7E77"/>
    <w:rsid w:val="004D0108"/>
    <w:rsid w:val="004D0127"/>
    <w:rsid w:val="004D0425"/>
    <w:rsid w:val="004D078F"/>
    <w:rsid w:val="004D0848"/>
    <w:rsid w:val="004D0ABF"/>
    <w:rsid w:val="004D0AE0"/>
    <w:rsid w:val="004D0BB4"/>
    <w:rsid w:val="004D0CB1"/>
    <w:rsid w:val="004D0E7E"/>
    <w:rsid w:val="004D1071"/>
    <w:rsid w:val="004D112A"/>
    <w:rsid w:val="004D14F4"/>
    <w:rsid w:val="004D156D"/>
    <w:rsid w:val="004D1685"/>
    <w:rsid w:val="004D1694"/>
    <w:rsid w:val="004D17EA"/>
    <w:rsid w:val="004D17F0"/>
    <w:rsid w:val="004D19B4"/>
    <w:rsid w:val="004D1C8A"/>
    <w:rsid w:val="004D1DF0"/>
    <w:rsid w:val="004D1E88"/>
    <w:rsid w:val="004D2285"/>
    <w:rsid w:val="004D26E1"/>
    <w:rsid w:val="004D2809"/>
    <w:rsid w:val="004D2B19"/>
    <w:rsid w:val="004D2C0B"/>
    <w:rsid w:val="004D2E36"/>
    <w:rsid w:val="004D2E47"/>
    <w:rsid w:val="004D2F28"/>
    <w:rsid w:val="004D302D"/>
    <w:rsid w:val="004D33C2"/>
    <w:rsid w:val="004D37C6"/>
    <w:rsid w:val="004D39BB"/>
    <w:rsid w:val="004D3E9F"/>
    <w:rsid w:val="004D440B"/>
    <w:rsid w:val="004D4724"/>
    <w:rsid w:val="004D4762"/>
    <w:rsid w:val="004D47FE"/>
    <w:rsid w:val="004D4AC1"/>
    <w:rsid w:val="004D4EF1"/>
    <w:rsid w:val="004D4F33"/>
    <w:rsid w:val="004D5365"/>
    <w:rsid w:val="004D5822"/>
    <w:rsid w:val="004D5AFB"/>
    <w:rsid w:val="004D5B8D"/>
    <w:rsid w:val="004D5BCC"/>
    <w:rsid w:val="004D6008"/>
    <w:rsid w:val="004D623A"/>
    <w:rsid w:val="004D628E"/>
    <w:rsid w:val="004D62A5"/>
    <w:rsid w:val="004D64B1"/>
    <w:rsid w:val="004D678F"/>
    <w:rsid w:val="004D67D3"/>
    <w:rsid w:val="004D69B7"/>
    <w:rsid w:val="004D7126"/>
    <w:rsid w:val="004D7729"/>
    <w:rsid w:val="004D79D9"/>
    <w:rsid w:val="004E013A"/>
    <w:rsid w:val="004E05A6"/>
    <w:rsid w:val="004E07EF"/>
    <w:rsid w:val="004E1170"/>
    <w:rsid w:val="004E1193"/>
    <w:rsid w:val="004E13C1"/>
    <w:rsid w:val="004E15BB"/>
    <w:rsid w:val="004E1750"/>
    <w:rsid w:val="004E188C"/>
    <w:rsid w:val="004E1CAE"/>
    <w:rsid w:val="004E1D94"/>
    <w:rsid w:val="004E1F5E"/>
    <w:rsid w:val="004E2003"/>
    <w:rsid w:val="004E2196"/>
    <w:rsid w:val="004E28FF"/>
    <w:rsid w:val="004E2A13"/>
    <w:rsid w:val="004E2B47"/>
    <w:rsid w:val="004E2CE3"/>
    <w:rsid w:val="004E3246"/>
    <w:rsid w:val="004E337E"/>
    <w:rsid w:val="004E341D"/>
    <w:rsid w:val="004E3792"/>
    <w:rsid w:val="004E379B"/>
    <w:rsid w:val="004E3861"/>
    <w:rsid w:val="004E3ADF"/>
    <w:rsid w:val="004E3AED"/>
    <w:rsid w:val="004E3AF0"/>
    <w:rsid w:val="004E3BAB"/>
    <w:rsid w:val="004E3DC4"/>
    <w:rsid w:val="004E3DD4"/>
    <w:rsid w:val="004E4555"/>
    <w:rsid w:val="004E462A"/>
    <w:rsid w:val="004E46BB"/>
    <w:rsid w:val="004E477F"/>
    <w:rsid w:val="004E47B8"/>
    <w:rsid w:val="004E4B03"/>
    <w:rsid w:val="004E4DC8"/>
    <w:rsid w:val="004E505D"/>
    <w:rsid w:val="004E5105"/>
    <w:rsid w:val="004E524E"/>
    <w:rsid w:val="004E58BE"/>
    <w:rsid w:val="004E593C"/>
    <w:rsid w:val="004E5988"/>
    <w:rsid w:val="004E59DF"/>
    <w:rsid w:val="004E5B0E"/>
    <w:rsid w:val="004E5C6A"/>
    <w:rsid w:val="004E6018"/>
    <w:rsid w:val="004E604A"/>
    <w:rsid w:val="004E665D"/>
    <w:rsid w:val="004E67D5"/>
    <w:rsid w:val="004E693A"/>
    <w:rsid w:val="004E6B1C"/>
    <w:rsid w:val="004E6C22"/>
    <w:rsid w:val="004E6C87"/>
    <w:rsid w:val="004E6D50"/>
    <w:rsid w:val="004E7491"/>
    <w:rsid w:val="004E781C"/>
    <w:rsid w:val="004E793A"/>
    <w:rsid w:val="004E7987"/>
    <w:rsid w:val="004E7B4E"/>
    <w:rsid w:val="004E7B52"/>
    <w:rsid w:val="004E7E0D"/>
    <w:rsid w:val="004E7ED2"/>
    <w:rsid w:val="004F070B"/>
    <w:rsid w:val="004F079E"/>
    <w:rsid w:val="004F0C04"/>
    <w:rsid w:val="004F0D82"/>
    <w:rsid w:val="004F0E55"/>
    <w:rsid w:val="004F0EFE"/>
    <w:rsid w:val="004F1190"/>
    <w:rsid w:val="004F14FF"/>
    <w:rsid w:val="004F15FB"/>
    <w:rsid w:val="004F1745"/>
    <w:rsid w:val="004F17FE"/>
    <w:rsid w:val="004F19C8"/>
    <w:rsid w:val="004F1BA0"/>
    <w:rsid w:val="004F1CE2"/>
    <w:rsid w:val="004F207B"/>
    <w:rsid w:val="004F23FD"/>
    <w:rsid w:val="004F25F5"/>
    <w:rsid w:val="004F27DB"/>
    <w:rsid w:val="004F31D8"/>
    <w:rsid w:val="004F340D"/>
    <w:rsid w:val="004F347D"/>
    <w:rsid w:val="004F350A"/>
    <w:rsid w:val="004F3A85"/>
    <w:rsid w:val="004F3E36"/>
    <w:rsid w:val="004F3F86"/>
    <w:rsid w:val="004F453E"/>
    <w:rsid w:val="004F46CF"/>
    <w:rsid w:val="004F4832"/>
    <w:rsid w:val="004F4875"/>
    <w:rsid w:val="004F4A70"/>
    <w:rsid w:val="004F4F3E"/>
    <w:rsid w:val="004F5085"/>
    <w:rsid w:val="004F5315"/>
    <w:rsid w:val="004F56EE"/>
    <w:rsid w:val="004F57B6"/>
    <w:rsid w:val="004F5819"/>
    <w:rsid w:val="004F5825"/>
    <w:rsid w:val="004F5A2E"/>
    <w:rsid w:val="004F5A77"/>
    <w:rsid w:val="004F5AF0"/>
    <w:rsid w:val="004F5AF3"/>
    <w:rsid w:val="004F5C3D"/>
    <w:rsid w:val="004F6167"/>
    <w:rsid w:val="004F64E4"/>
    <w:rsid w:val="004F6602"/>
    <w:rsid w:val="004F68F1"/>
    <w:rsid w:val="004F69DD"/>
    <w:rsid w:val="004F6B75"/>
    <w:rsid w:val="004F700A"/>
    <w:rsid w:val="004F713E"/>
    <w:rsid w:val="004F7556"/>
    <w:rsid w:val="004F781A"/>
    <w:rsid w:val="004F7AA2"/>
    <w:rsid w:val="00500362"/>
    <w:rsid w:val="005003E4"/>
    <w:rsid w:val="0050095B"/>
    <w:rsid w:val="00500A58"/>
    <w:rsid w:val="00500C8B"/>
    <w:rsid w:val="00500CE2"/>
    <w:rsid w:val="00500D1D"/>
    <w:rsid w:val="00500D80"/>
    <w:rsid w:val="0050135F"/>
    <w:rsid w:val="00501F5C"/>
    <w:rsid w:val="00501FB7"/>
    <w:rsid w:val="00502013"/>
    <w:rsid w:val="00502620"/>
    <w:rsid w:val="00502AD8"/>
    <w:rsid w:val="00502BE9"/>
    <w:rsid w:val="00502D23"/>
    <w:rsid w:val="00502E7B"/>
    <w:rsid w:val="005030F0"/>
    <w:rsid w:val="0050310A"/>
    <w:rsid w:val="005033EA"/>
    <w:rsid w:val="005034C7"/>
    <w:rsid w:val="00503571"/>
    <w:rsid w:val="0050367A"/>
    <w:rsid w:val="00503715"/>
    <w:rsid w:val="00503879"/>
    <w:rsid w:val="00503A18"/>
    <w:rsid w:val="00503A1C"/>
    <w:rsid w:val="00503BBA"/>
    <w:rsid w:val="00503D6D"/>
    <w:rsid w:val="00503EFE"/>
    <w:rsid w:val="0050443B"/>
    <w:rsid w:val="00504597"/>
    <w:rsid w:val="0050486B"/>
    <w:rsid w:val="00504AF0"/>
    <w:rsid w:val="00504AFB"/>
    <w:rsid w:val="00504BBA"/>
    <w:rsid w:val="00504CC4"/>
    <w:rsid w:val="00504CDD"/>
    <w:rsid w:val="00504E7B"/>
    <w:rsid w:val="00504F14"/>
    <w:rsid w:val="0050522F"/>
    <w:rsid w:val="00505257"/>
    <w:rsid w:val="00505355"/>
    <w:rsid w:val="00505386"/>
    <w:rsid w:val="00505C75"/>
    <w:rsid w:val="00505DD4"/>
    <w:rsid w:val="00505DFA"/>
    <w:rsid w:val="005062F6"/>
    <w:rsid w:val="005063A7"/>
    <w:rsid w:val="00506713"/>
    <w:rsid w:val="00506847"/>
    <w:rsid w:val="00506A66"/>
    <w:rsid w:val="00506DF3"/>
    <w:rsid w:val="00506E95"/>
    <w:rsid w:val="00506F14"/>
    <w:rsid w:val="00506F24"/>
    <w:rsid w:val="00507118"/>
    <w:rsid w:val="005071B9"/>
    <w:rsid w:val="00507238"/>
    <w:rsid w:val="00507275"/>
    <w:rsid w:val="00507497"/>
    <w:rsid w:val="005074CD"/>
    <w:rsid w:val="00507A71"/>
    <w:rsid w:val="00507B7A"/>
    <w:rsid w:val="00507E30"/>
    <w:rsid w:val="005102C6"/>
    <w:rsid w:val="00510400"/>
    <w:rsid w:val="00510736"/>
    <w:rsid w:val="00510AD1"/>
    <w:rsid w:val="00510D69"/>
    <w:rsid w:val="00510E10"/>
    <w:rsid w:val="005111D1"/>
    <w:rsid w:val="0051180D"/>
    <w:rsid w:val="00511889"/>
    <w:rsid w:val="00511961"/>
    <w:rsid w:val="00511972"/>
    <w:rsid w:val="005119FD"/>
    <w:rsid w:val="00511D72"/>
    <w:rsid w:val="00512024"/>
    <w:rsid w:val="00512193"/>
    <w:rsid w:val="0051269B"/>
    <w:rsid w:val="00512AB3"/>
    <w:rsid w:val="00512B3F"/>
    <w:rsid w:val="00512BAF"/>
    <w:rsid w:val="00512BF9"/>
    <w:rsid w:val="00513208"/>
    <w:rsid w:val="00513383"/>
    <w:rsid w:val="00513529"/>
    <w:rsid w:val="0051355E"/>
    <w:rsid w:val="005136D8"/>
    <w:rsid w:val="00513AC1"/>
    <w:rsid w:val="00513E3B"/>
    <w:rsid w:val="005141B6"/>
    <w:rsid w:val="00514478"/>
    <w:rsid w:val="005144F4"/>
    <w:rsid w:val="0051461D"/>
    <w:rsid w:val="00514967"/>
    <w:rsid w:val="00514A29"/>
    <w:rsid w:val="00514A83"/>
    <w:rsid w:val="00514E3B"/>
    <w:rsid w:val="00514F10"/>
    <w:rsid w:val="00514F11"/>
    <w:rsid w:val="00514F80"/>
    <w:rsid w:val="00515523"/>
    <w:rsid w:val="0051587D"/>
    <w:rsid w:val="0051599B"/>
    <w:rsid w:val="00515A73"/>
    <w:rsid w:val="00515D1D"/>
    <w:rsid w:val="0051605A"/>
    <w:rsid w:val="005168B2"/>
    <w:rsid w:val="00516B7C"/>
    <w:rsid w:val="00516B84"/>
    <w:rsid w:val="00516B9D"/>
    <w:rsid w:val="00516BEC"/>
    <w:rsid w:val="00516F6E"/>
    <w:rsid w:val="0051735F"/>
    <w:rsid w:val="0051741B"/>
    <w:rsid w:val="005174B1"/>
    <w:rsid w:val="00517669"/>
    <w:rsid w:val="00517BF1"/>
    <w:rsid w:val="00517CD6"/>
    <w:rsid w:val="00517E59"/>
    <w:rsid w:val="00517EC2"/>
    <w:rsid w:val="005201D4"/>
    <w:rsid w:val="00520437"/>
    <w:rsid w:val="0052050A"/>
    <w:rsid w:val="00520602"/>
    <w:rsid w:val="005206DD"/>
    <w:rsid w:val="005207AB"/>
    <w:rsid w:val="00520D18"/>
    <w:rsid w:val="00520D6A"/>
    <w:rsid w:val="005215EE"/>
    <w:rsid w:val="005216EC"/>
    <w:rsid w:val="00521745"/>
    <w:rsid w:val="00521876"/>
    <w:rsid w:val="00521E4F"/>
    <w:rsid w:val="00522732"/>
    <w:rsid w:val="00522D0F"/>
    <w:rsid w:val="00522E47"/>
    <w:rsid w:val="0052307E"/>
    <w:rsid w:val="00523374"/>
    <w:rsid w:val="00523468"/>
    <w:rsid w:val="0052351F"/>
    <w:rsid w:val="0052362B"/>
    <w:rsid w:val="005237CE"/>
    <w:rsid w:val="00523C8D"/>
    <w:rsid w:val="0052417E"/>
    <w:rsid w:val="00524330"/>
    <w:rsid w:val="005244D7"/>
    <w:rsid w:val="0052470D"/>
    <w:rsid w:val="00524CA1"/>
    <w:rsid w:val="00524E2E"/>
    <w:rsid w:val="00524EB9"/>
    <w:rsid w:val="00524EFD"/>
    <w:rsid w:val="00525053"/>
    <w:rsid w:val="005251B8"/>
    <w:rsid w:val="00525356"/>
    <w:rsid w:val="005255AE"/>
    <w:rsid w:val="0052566B"/>
    <w:rsid w:val="00525682"/>
    <w:rsid w:val="00525739"/>
    <w:rsid w:val="00525839"/>
    <w:rsid w:val="00525846"/>
    <w:rsid w:val="00525898"/>
    <w:rsid w:val="00525BD2"/>
    <w:rsid w:val="00525E37"/>
    <w:rsid w:val="00525F70"/>
    <w:rsid w:val="0052606D"/>
    <w:rsid w:val="0052626D"/>
    <w:rsid w:val="005266F0"/>
    <w:rsid w:val="005267CC"/>
    <w:rsid w:val="00526800"/>
    <w:rsid w:val="00526E10"/>
    <w:rsid w:val="00526E1B"/>
    <w:rsid w:val="00526FBC"/>
    <w:rsid w:val="00527285"/>
    <w:rsid w:val="005274C2"/>
    <w:rsid w:val="00527538"/>
    <w:rsid w:val="00527670"/>
    <w:rsid w:val="0052789D"/>
    <w:rsid w:val="00527B36"/>
    <w:rsid w:val="00527BCB"/>
    <w:rsid w:val="00527D42"/>
    <w:rsid w:val="005301E6"/>
    <w:rsid w:val="005303EC"/>
    <w:rsid w:val="00530D51"/>
    <w:rsid w:val="00530D68"/>
    <w:rsid w:val="00531030"/>
    <w:rsid w:val="005310C0"/>
    <w:rsid w:val="005311BC"/>
    <w:rsid w:val="00531419"/>
    <w:rsid w:val="00531999"/>
    <w:rsid w:val="00532102"/>
    <w:rsid w:val="00532483"/>
    <w:rsid w:val="005327C0"/>
    <w:rsid w:val="005329A1"/>
    <w:rsid w:val="00532A77"/>
    <w:rsid w:val="00532F8A"/>
    <w:rsid w:val="005331CA"/>
    <w:rsid w:val="00533522"/>
    <w:rsid w:val="005336AF"/>
    <w:rsid w:val="00533781"/>
    <w:rsid w:val="00533818"/>
    <w:rsid w:val="00533B31"/>
    <w:rsid w:val="00533CB2"/>
    <w:rsid w:val="00533E5F"/>
    <w:rsid w:val="00534097"/>
    <w:rsid w:val="005340CA"/>
    <w:rsid w:val="00534243"/>
    <w:rsid w:val="0053428D"/>
    <w:rsid w:val="005344E3"/>
    <w:rsid w:val="005346D3"/>
    <w:rsid w:val="0053494C"/>
    <w:rsid w:val="0053496F"/>
    <w:rsid w:val="00534AF3"/>
    <w:rsid w:val="00534C6E"/>
    <w:rsid w:val="00534CD5"/>
    <w:rsid w:val="00534F9A"/>
    <w:rsid w:val="0053513E"/>
    <w:rsid w:val="005353AE"/>
    <w:rsid w:val="005353DB"/>
    <w:rsid w:val="0053550F"/>
    <w:rsid w:val="005357EA"/>
    <w:rsid w:val="00535B27"/>
    <w:rsid w:val="00535C6B"/>
    <w:rsid w:val="00535CF1"/>
    <w:rsid w:val="00535F2F"/>
    <w:rsid w:val="005361C8"/>
    <w:rsid w:val="00536284"/>
    <w:rsid w:val="005362B2"/>
    <w:rsid w:val="00536494"/>
    <w:rsid w:val="005366BF"/>
    <w:rsid w:val="005368C6"/>
    <w:rsid w:val="00536C1E"/>
    <w:rsid w:val="00536C43"/>
    <w:rsid w:val="00536EC7"/>
    <w:rsid w:val="00536F5D"/>
    <w:rsid w:val="00536FD0"/>
    <w:rsid w:val="00537006"/>
    <w:rsid w:val="005377AB"/>
    <w:rsid w:val="0053786C"/>
    <w:rsid w:val="00537A7C"/>
    <w:rsid w:val="00537B10"/>
    <w:rsid w:val="00537C6D"/>
    <w:rsid w:val="00537DCD"/>
    <w:rsid w:val="0054012C"/>
    <w:rsid w:val="005409D8"/>
    <w:rsid w:val="00540DB2"/>
    <w:rsid w:val="00541034"/>
    <w:rsid w:val="00541198"/>
    <w:rsid w:val="00541225"/>
    <w:rsid w:val="005412D6"/>
    <w:rsid w:val="00541426"/>
    <w:rsid w:val="00541600"/>
    <w:rsid w:val="00541CB3"/>
    <w:rsid w:val="00541D69"/>
    <w:rsid w:val="00541FFF"/>
    <w:rsid w:val="0054205E"/>
    <w:rsid w:val="005423BE"/>
    <w:rsid w:val="00542CE3"/>
    <w:rsid w:val="005432B3"/>
    <w:rsid w:val="0054343B"/>
    <w:rsid w:val="0054363E"/>
    <w:rsid w:val="00543981"/>
    <w:rsid w:val="00543CA3"/>
    <w:rsid w:val="00543CD7"/>
    <w:rsid w:val="00543EB9"/>
    <w:rsid w:val="00543EFD"/>
    <w:rsid w:val="00544768"/>
    <w:rsid w:val="005447FE"/>
    <w:rsid w:val="0054484C"/>
    <w:rsid w:val="005449AF"/>
    <w:rsid w:val="00544D46"/>
    <w:rsid w:val="0054565B"/>
    <w:rsid w:val="0054587E"/>
    <w:rsid w:val="00545DA2"/>
    <w:rsid w:val="0054601E"/>
    <w:rsid w:val="00546265"/>
    <w:rsid w:val="005462DC"/>
    <w:rsid w:val="0054647F"/>
    <w:rsid w:val="00546629"/>
    <w:rsid w:val="00546748"/>
    <w:rsid w:val="00546BA8"/>
    <w:rsid w:val="00546CD9"/>
    <w:rsid w:val="00546FF3"/>
    <w:rsid w:val="005472B4"/>
    <w:rsid w:val="00547499"/>
    <w:rsid w:val="005474A2"/>
    <w:rsid w:val="005474BF"/>
    <w:rsid w:val="005474C0"/>
    <w:rsid w:val="00547911"/>
    <w:rsid w:val="00547944"/>
    <w:rsid w:val="00547980"/>
    <w:rsid w:val="00547C19"/>
    <w:rsid w:val="00547EFA"/>
    <w:rsid w:val="0055002F"/>
    <w:rsid w:val="00550030"/>
    <w:rsid w:val="0055003C"/>
    <w:rsid w:val="005501B3"/>
    <w:rsid w:val="00550639"/>
    <w:rsid w:val="00550A4B"/>
    <w:rsid w:val="00550B27"/>
    <w:rsid w:val="00550BD9"/>
    <w:rsid w:val="00550DD2"/>
    <w:rsid w:val="0055109B"/>
    <w:rsid w:val="005513F0"/>
    <w:rsid w:val="005516A3"/>
    <w:rsid w:val="00551A5D"/>
    <w:rsid w:val="00551AC5"/>
    <w:rsid w:val="00551AF7"/>
    <w:rsid w:val="00551C9E"/>
    <w:rsid w:val="00551CFE"/>
    <w:rsid w:val="00551D05"/>
    <w:rsid w:val="00551D99"/>
    <w:rsid w:val="00551DD8"/>
    <w:rsid w:val="00551F28"/>
    <w:rsid w:val="00552080"/>
    <w:rsid w:val="005524C6"/>
    <w:rsid w:val="005526CA"/>
    <w:rsid w:val="00552939"/>
    <w:rsid w:val="0055295A"/>
    <w:rsid w:val="005529DA"/>
    <w:rsid w:val="00552ABB"/>
    <w:rsid w:val="00552B99"/>
    <w:rsid w:val="00552E12"/>
    <w:rsid w:val="00552EBE"/>
    <w:rsid w:val="00552F31"/>
    <w:rsid w:val="00552F3C"/>
    <w:rsid w:val="00553177"/>
    <w:rsid w:val="00553206"/>
    <w:rsid w:val="005532A4"/>
    <w:rsid w:val="00553560"/>
    <w:rsid w:val="005536B7"/>
    <w:rsid w:val="005537D0"/>
    <w:rsid w:val="005538EF"/>
    <w:rsid w:val="00553907"/>
    <w:rsid w:val="00553B5C"/>
    <w:rsid w:val="00553D8C"/>
    <w:rsid w:val="00553D9B"/>
    <w:rsid w:val="00553FAD"/>
    <w:rsid w:val="0055415E"/>
    <w:rsid w:val="005541FD"/>
    <w:rsid w:val="005543D1"/>
    <w:rsid w:val="005544A8"/>
    <w:rsid w:val="005545E3"/>
    <w:rsid w:val="00554764"/>
    <w:rsid w:val="005549F2"/>
    <w:rsid w:val="00554ABA"/>
    <w:rsid w:val="00554B4A"/>
    <w:rsid w:val="00554C6D"/>
    <w:rsid w:val="00555090"/>
    <w:rsid w:val="005556C4"/>
    <w:rsid w:val="005557BC"/>
    <w:rsid w:val="00555938"/>
    <w:rsid w:val="0055631B"/>
    <w:rsid w:val="00556893"/>
    <w:rsid w:val="00556E00"/>
    <w:rsid w:val="00556E9F"/>
    <w:rsid w:val="00557137"/>
    <w:rsid w:val="00557686"/>
    <w:rsid w:val="00557844"/>
    <w:rsid w:val="005578B0"/>
    <w:rsid w:val="00557ACD"/>
    <w:rsid w:val="00557CF4"/>
    <w:rsid w:val="00560263"/>
    <w:rsid w:val="005602A9"/>
    <w:rsid w:val="00560368"/>
    <w:rsid w:val="005607C2"/>
    <w:rsid w:val="005608BE"/>
    <w:rsid w:val="00560C66"/>
    <w:rsid w:val="00560C72"/>
    <w:rsid w:val="00561395"/>
    <w:rsid w:val="005614B2"/>
    <w:rsid w:val="005614F1"/>
    <w:rsid w:val="00561629"/>
    <w:rsid w:val="00561F12"/>
    <w:rsid w:val="00561F7C"/>
    <w:rsid w:val="00562354"/>
    <w:rsid w:val="005624C9"/>
    <w:rsid w:val="005624F0"/>
    <w:rsid w:val="0056254D"/>
    <w:rsid w:val="00562EBB"/>
    <w:rsid w:val="00563061"/>
    <w:rsid w:val="0056315B"/>
    <w:rsid w:val="00563A79"/>
    <w:rsid w:val="00563BCE"/>
    <w:rsid w:val="0056529F"/>
    <w:rsid w:val="005652B0"/>
    <w:rsid w:val="00565EA2"/>
    <w:rsid w:val="00565FC2"/>
    <w:rsid w:val="00566037"/>
    <w:rsid w:val="00566550"/>
    <w:rsid w:val="005665C7"/>
    <w:rsid w:val="0056660B"/>
    <w:rsid w:val="00566673"/>
    <w:rsid w:val="00566754"/>
    <w:rsid w:val="0056699A"/>
    <w:rsid w:val="00566A90"/>
    <w:rsid w:val="00566B00"/>
    <w:rsid w:val="00566C5B"/>
    <w:rsid w:val="0056719E"/>
    <w:rsid w:val="0056731A"/>
    <w:rsid w:val="00567496"/>
    <w:rsid w:val="00567630"/>
    <w:rsid w:val="00567783"/>
    <w:rsid w:val="0056799B"/>
    <w:rsid w:val="00567F31"/>
    <w:rsid w:val="00567F3C"/>
    <w:rsid w:val="00570248"/>
    <w:rsid w:val="005702C1"/>
    <w:rsid w:val="005706B7"/>
    <w:rsid w:val="00570AA9"/>
    <w:rsid w:val="00570C62"/>
    <w:rsid w:val="00570D23"/>
    <w:rsid w:val="00570D96"/>
    <w:rsid w:val="00571253"/>
    <w:rsid w:val="0057140E"/>
    <w:rsid w:val="005717CC"/>
    <w:rsid w:val="00571878"/>
    <w:rsid w:val="00571F07"/>
    <w:rsid w:val="00571FA7"/>
    <w:rsid w:val="00572187"/>
    <w:rsid w:val="0057223E"/>
    <w:rsid w:val="00572287"/>
    <w:rsid w:val="005723B7"/>
    <w:rsid w:val="00572617"/>
    <w:rsid w:val="00572738"/>
    <w:rsid w:val="00572773"/>
    <w:rsid w:val="00572846"/>
    <w:rsid w:val="00573141"/>
    <w:rsid w:val="00573166"/>
    <w:rsid w:val="005733C2"/>
    <w:rsid w:val="005737CE"/>
    <w:rsid w:val="00573B96"/>
    <w:rsid w:val="00573C52"/>
    <w:rsid w:val="00573DA1"/>
    <w:rsid w:val="00573E38"/>
    <w:rsid w:val="00573F56"/>
    <w:rsid w:val="005740EC"/>
    <w:rsid w:val="005742FE"/>
    <w:rsid w:val="00574946"/>
    <w:rsid w:val="005749DF"/>
    <w:rsid w:val="00574A45"/>
    <w:rsid w:val="00574E9F"/>
    <w:rsid w:val="00574EFE"/>
    <w:rsid w:val="005751D3"/>
    <w:rsid w:val="005751E6"/>
    <w:rsid w:val="005752F1"/>
    <w:rsid w:val="0057555C"/>
    <w:rsid w:val="005758D7"/>
    <w:rsid w:val="00575BE5"/>
    <w:rsid w:val="00575C6F"/>
    <w:rsid w:val="00575C7E"/>
    <w:rsid w:val="00575E93"/>
    <w:rsid w:val="0057602C"/>
    <w:rsid w:val="005764CF"/>
    <w:rsid w:val="005766B8"/>
    <w:rsid w:val="0057673C"/>
    <w:rsid w:val="005768C2"/>
    <w:rsid w:val="005768D6"/>
    <w:rsid w:val="005768EC"/>
    <w:rsid w:val="0057692C"/>
    <w:rsid w:val="00576FE7"/>
    <w:rsid w:val="005771A5"/>
    <w:rsid w:val="005771EB"/>
    <w:rsid w:val="00577987"/>
    <w:rsid w:val="00577E2F"/>
    <w:rsid w:val="00577F3A"/>
    <w:rsid w:val="00577F5E"/>
    <w:rsid w:val="00580262"/>
    <w:rsid w:val="0058027E"/>
    <w:rsid w:val="00580950"/>
    <w:rsid w:val="00580C8A"/>
    <w:rsid w:val="0058104D"/>
    <w:rsid w:val="005810A9"/>
    <w:rsid w:val="005810CF"/>
    <w:rsid w:val="00581346"/>
    <w:rsid w:val="00581523"/>
    <w:rsid w:val="0058159A"/>
    <w:rsid w:val="0058166C"/>
    <w:rsid w:val="0058186E"/>
    <w:rsid w:val="00581A59"/>
    <w:rsid w:val="00581C76"/>
    <w:rsid w:val="00581DC6"/>
    <w:rsid w:val="00581DDA"/>
    <w:rsid w:val="00582344"/>
    <w:rsid w:val="00582581"/>
    <w:rsid w:val="00582651"/>
    <w:rsid w:val="0058287E"/>
    <w:rsid w:val="00582BA3"/>
    <w:rsid w:val="00582BCF"/>
    <w:rsid w:val="00583441"/>
    <w:rsid w:val="00583BF5"/>
    <w:rsid w:val="00583D62"/>
    <w:rsid w:val="00583F91"/>
    <w:rsid w:val="00584204"/>
    <w:rsid w:val="00584359"/>
    <w:rsid w:val="0058453E"/>
    <w:rsid w:val="00584861"/>
    <w:rsid w:val="00584D71"/>
    <w:rsid w:val="005853E1"/>
    <w:rsid w:val="005854A6"/>
    <w:rsid w:val="00585516"/>
    <w:rsid w:val="005855F6"/>
    <w:rsid w:val="005858C8"/>
    <w:rsid w:val="00585964"/>
    <w:rsid w:val="00585BD5"/>
    <w:rsid w:val="00585BD7"/>
    <w:rsid w:val="00585CC2"/>
    <w:rsid w:val="00586069"/>
    <w:rsid w:val="00586121"/>
    <w:rsid w:val="00586153"/>
    <w:rsid w:val="0058620D"/>
    <w:rsid w:val="0058671D"/>
    <w:rsid w:val="005867E5"/>
    <w:rsid w:val="0058690F"/>
    <w:rsid w:val="00586EF9"/>
    <w:rsid w:val="00587039"/>
    <w:rsid w:val="0058710C"/>
    <w:rsid w:val="005871BD"/>
    <w:rsid w:val="0058749C"/>
    <w:rsid w:val="0058776E"/>
    <w:rsid w:val="005879CA"/>
    <w:rsid w:val="00587B29"/>
    <w:rsid w:val="00587CAA"/>
    <w:rsid w:val="00587D0A"/>
    <w:rsid w:val="00587F5B"/>
    <w:rsid w:val="0059019E"/>
    <w:rsid w:val="00590404"/>
    <w:rsid w:val="00590479"/>
    <w:rsid w:val="00590979"/>
    <w:rsid w:val="00590A3D"/>
    <w:rsid w:val="00590BC8"/>
    <w:rsid w:val="00590EA1"/>
    <w:rsid w:val="00590FBF"/>
    <w:rsid w:val="005912CF"/>
    <w:rsid w:val="0059150C"/>
    <w:rsid w:val="00591510"/>
    <w:rsid w:val="00591576"/>
    <w:rsid w:val="005916B2"/>
    <w:rsid w:val="005916C5"/>
    <w:rsid w:val="00591C02"/>
    <w:rsid w:val="00591CB5"/>
    <w:rsid w:val="0059287A"/>
    <w:rsid w:val="005928EA"/>
    <w:rsid w:val="00592905"/>
    <w:rsid w:val="00592996"/>
    <w:rsid w:val="00592DC4"/>
    <w:rsid w:val="00593026"/>
    <w:rsid w:val="005934AD"/>
    <w:rsid w:val="00593668"/>
    <w:rsid w:val="0059369F"/>
    <w:rsid w:val="005938BB"/>
    <w:rsid w:val="005938EB"/>
    <w:rsid w:val="00593DC4"/>
    <w:rsid w:val="005940CB"/>
    <w:rsid w:val="005941FB"/>
    <w:rsid w:val="00594219"/>
    <w:rsid w:val="00594427"/>
    <w:rsid w:val="005944FC"/>
    <w:rsid w:val="00594966"/>
    <w:rsid w:val="00594C55"/>
    <w:rsid w:val="00594C8D"/>
    <w:rsid w:val="0059501F"/>
    <w:rsid w:val="005954E1"/>
    <w:rsid w:val="005955EE"/>
    <w:rsid w:val="005957C8"/>
    <w:rsid w:val="0059586D"/>
    <w:rsid w:val="00595A39"/>
    <w:rsid w:val="00595C65"/>
    <w:rsid w:val="00596192"/>
    <w:rsid w:val="005964B3"/>
    <w:rsid w:val="005964C4"/>
    <w:rsid w:val="00596981"/>
    <w:rsid w:val="00596A40"/>
    <w:rsid w:val="0059701D"/>
    <w:rsid w:val="00597668"/>
    <w:rsid w:val="0059792B"/>
    <w:rsid w:val="00597AD1"/>
    <w:rsid w:val="00597CCD"/>
    <w:rsid w:val="00597EE3"/>
    <w:rsid w:val="005A0501"/>
    <w:rsid w:val="005A0525"/>
    <w:rsid w:val="005A08FC"/>
    <w:rsid w:val="005A0BCA"/>
    <w:rsid w:val="005A0CBF"/>
    <w:rsid w:val="005A150E"/>
    <w:rsid w:val="005A155E"/>
    <w:rsid w:val="005A1AA0"/>
    <w:rsid w:val="005A1EC3"/>
    <w:rsid w:val="005A1F9F"/>
    <w:rsid w:val="005A2255"/>
    <w:rsid w:val="005A2373"/>
    <w:rsid w:val="005A24A2"/>
    <w:rsid w:val="005A280E"/>
    <w:rsid w:val="005A2980"/>
    <w:rsid w:val="005A2FF5"/>
    <w:rsid w:val="005A3059"/>
    <w:rsid w:val="005A3087"/>
    <w:rsid w:val="005A3459"/>
    <w:rsid w:val="005A37F2"/>
    <w:rsid w:val="005A38A2"/>
    <w:rsid w:val="005A3B77"/>
    <w:rsid w:val="005A4018"/>
    <w:rsid w:val="005A48B5"/>
    <w:rsid w:val="005A4D35"/>
    <w:rsid w:val="005A4D71"/>
    <w:rsid w:val="005A4E3F"/>
    <w:rsid w:val="005A4EFB"/>
    <w:rsid w:val="005A52DB"/>
    <w:rsid w:val="005A52DF"/>
    <w:rsid w:val="005A5956"/>
    <w:rsid w:val="005A5F90"/>
    <w:rsid w:val="005A6260"/>
    <w:rsid w:val="005A65F2"/>
    <w:rsid w:val="005A65FE"/>
    <w:rsid w:val="005A674A"/>
    <w:rsid w:val="005A67FA"/>
    <w:rsid w:val="005A67FC"/>
    <w:rsid w:val="005A6808"/>
    <w:rsid w:val="005A6844"/>
    <w:rsid w:val="005A68CD"/>
    <w:rsid w:val="005A6D57"/>
    <w:rsid w:val="005A6D5E"/>
    <w:rsid w:val="005A6DA0"/>
    <w:rsid w:val="005A6EA1"/>
    <w:rsid w:val="005A725E"/>
    <w:rsid w:val="005A7467"/>
    <w:rsid w:val="005A7575"/>
    <w:rsid w:val="005A76A4"/>
    <w:rsid w:val="005A7F96"/>
    <w:rsid w:val="005B0539"/>
    <w:rsid w:val="005B0601"/>
    <w:rsid w:val="005B08B9"/>
    <w:rsid w:val="005B0A54"/>
    <w:rsid w:val="005B0B94"/>
    <w:rsid w:val="005B0C68"/>
    <w:rsid w:val="005B0DE7"/>
    <w:rsid w:val="005B0EB2"/>
    <w:rsid w:val="005B1183"/>
    <w:rsid w:val="005B11B2"/>
    <w:rsid w:val="005B1718"/>
    <w:rsid w:val="005B1A79"/>
    <w:rsid w:val="005B1D8C"/>
    <w:rsid w:val="005B2008"/>
    <w:rsid w:val="005B222D"/>
    <w:rsid w:val="005B2374"/>
    <w:rsid w:val="005B2652"/>
    <w:rsid w:val="005B2716"/>
    <w:rsid w:val="005B28F1"/>
    <w:rsid w:val="005B29DE"/>
    <w:rsid w:val="005B2DAC"/>
    <w:rsid w:val="005B2F74"/>
    <w:rsid w:val="005B30D6"/>
    <w:rsid w:val="005B32B9"/>
    <w:rsid w:val="005B38A7"/>
    <w:rsid w:val="005B3ADB"/>
    <w:rsid w:val="005B3F4B"/>
    <w:rsid w:val="005B4121"/>
    <w:rsid w:val="005B4D55"/>
    <w:rsid w:val="005B4D59"/>
    <w:rsid w:val="005B4D6D"/>
    <w:rsid w:val="005B4E96"/>
    <w:rsid w:val="005B5124"/>
    <w:rsid w:val="005B520F"/>
    <w:rsid w:val="005B5274"/>
    <w:rsid w:val="005B5293"/>
    <w:rsid w:val="005B5908"/>
    <w:rsid w:val="005B5D35"/>
    <w:rsid w:val="005B5E4B"/>
    <w:rsid w:val="005B5F9F"/>
    <w:rsid w:val="005B602D"/>
    <w:rsid w:val="005B617F"/>
    <w:rsid w:val="005B6264"/>
    <w:rsid w:val="005B66C0"/>
    <w:rsid w:val="005B66E6"/>
    <w:rsid w:val="005B6956"/>
    <w:rsid w:val="005B6C00"/>
    <w:rsid w:val="005B6C5E"/>
    <w:rsid w:val="005B6D0F"/>
    <w:rsid w:val="005B6DDA"/>
    <w:rsid w:val="005B6E64"/>
    <w:rsid w:val="005B6E66"/>
    <w:rsid w:val="005B6E70"/>
    <w:rsid w:val="005B6F8A"/>
    <w:rsid w:val="005B7108"/>
    <w:rsid w:val="005B72F7"/>
    <w:rsid w:val="005B7534"/>
    <w:rsid w:val="005B785F"/>
    <w:rsid w:val="005B7A2F"/>
    <w:rsid w:val="005B7A86"/>
    <w:rsid w:val="005B7D19"/>
    <w:rsid w:val="005C0386"/>
    <w:rsid w:val="005C04F7"/>
    <w:rsid w:val="005C058B"/>
    <w:rsid w:val="005C05D8"/>
    <w:rsid w:val="005C0BD9"/>
    <w:rsid w:val="005C0BFE"/>
    <w:rsid w:val="005C0E96"/>
    <w:rsid w:val="005C124A"/>
    <w:rsid w:val="005C17FD"/>
    <w:rsid w:val="005C1B24"/>
    <w:rsid w:val="005C1FE0"/>
    <w:rsid w:val="005C21F9"/>
    <w:rsid w:val="005C2248"/>
    <w:rsid w:val="005C23E2"/>
    <w:rsid w:val="005C2539"/>
    <w:rsid w:val="005C2622"/>
    <w:rsid w:val="005C39D7"/>
    <w:rsid w:val="005C4161"/>
    <w:rsid w:val="005C4326"/>
    <w:rsid w:val="005C446D"/>
    <w:rsid w:val="005C4908"/>
    <w:rsid w:val="005C4BD6"/>
    <w:rsid w:val="005C4D19"/>
    <w:rsid w:val="005C4E36"/>
    <w:rsid w:val="005C542A"/>
    <w:rsid w:val="005C559D"/>
    <w:rsid w:val="005C57CC"/>
    <w:rsid w:val="005C5801"/>
    <w:rsid w:val="005C58C8"/>
    <w:rsid w:val="005C5906"/>
    <w:rsid w:val="005C5DA1"/>
    <w:rsid w:val="005C5E37"/>
    <w:rsid w:val="005C5EF0"/>
    <w:rsid w:val="005C63E9"/>
    <w:rsid w:val="005C641B"/>
    <w:rsid w:val="005C6420"/>
    <w:rsid w:val="005C69D7"/>
    <w:rsid w:val="005C6C4C"/>
    <w:rsid w:val="005C6F4B"/>
    <w:rsid w:val="005C6F5C"/>
    <w:rsid w:val="005C7830"/>
    <w:rsid w:val="005C79A4"/>
    <w:rsid w:val="005C7A4F"/>
    <w:rsid w:val="005C7EEA"/>
    <w:rsid w:val="005C7F2C"/>
    <w:rsid w:val="005C7F70"/>
    <w:rsid w:val="005C7FF8"/>
    <w:rsid w:val="005D02C7"/>
    <w:rsid w:val="005D0514"/>
    <w:rsid w:val="005D09A8"/>
    <w:rsid w:val="005D1087"/>
    <w:rsid w:val="005D10F3"/>
    <w:rsid w:val="005D11BD"/>
    <w:rsid w:val="005D1D64"/>
    <w:rsid w:val="005D20EC"/>
    <w:rsid w:val="005D21A5"/>
    <w:rsid w:val="005D2383"/>
    <w:rsid w:val="005D2452"/>
    <w:rsid w:val="005D248F"/>
    <w:rsid w:val="005D2522"/>
    <w:rsid w:val="005D27AF"/>
    <w:rsid w:val="005D2DD3"/>
    <w:rsid w:val="005D30FE"/>
    <w:rsid w:val="005D3572"/>
    <w:rsid w:val="005D3815"/>
    <w:rsid w:val="005D3AD0"/>
    <w:rsid w:val="005D3CF7"/>
    <w:rsid w:val="005D3D63"/>
    <w:rsid w:val="005D3FB7"/>
    <w:rsid w:val="005D4081"/>
    <w:rsid w:val="005D4340"/>
    <w:rsid w:val="005D4724"/>
    <w:rsid w:val="005D47C5"/>
    <w:rsid w:val="005D4914"/>
    <w:rsid w:val="005D4A23"/>
    <w:rsid w:val="005D4C02"/>
    <w:rsid w:val="005D4D4F"/>
    <w:rsid w:val="005D5001"/>
    <w:rsid w:val="005D504B"/>
    <w:rsid w:val="005D505B"/>
    <w:rsid w:val="005D5582"/>
    <w:rsid w:val="005D5A02"/>
    <w:rsid w:val="005D61E2"/>
    <w:rsid w:val="005D61F9"/>
    <w:rsid w:val="005D6209"/>
    <w:rsid w:val="005D6514"/>
    <w:rsid w:val="005D67D9"/>
    <w:rsid w:val="005D69E1"/>
    <w:rsid w:val="005D69EE"/>
    <w:rsid w:val="005D6C11"/>
    <w:rsid w:val="005D709F"/>
    <w:rsid w:val="005D70AE"/>
    <w:rsid w:val="005D71A9"/>
    <w:rsid w:val="005D7BDA"/>
    <w:rsid w:val="005D7C07"/>
    <w:rsid w:val="005D7C90"/>
    <w:rsid w:val="005D7EA6"/>
    <w:rsid w:val="005E00A0"/>
    <w:rsid w:val="005E04EF"/>
    <w:rsid w:val="005E07A9"/>
    <w:rsid w:val="005E0D7B"/>
    <w:rsid w:val="005E0E92"/>
    <w:rsid w:val="005E11D2"/>
    <w:rsid w:val="005E1258"/>
    <w:rsid w:val="005E12E0"/>
    <w:rsid w:val="005E17BA"/>
    <w:rsid w:val="005E1973"/>
    <w:rsid w:val="005E1C33"/>
    <w:rsid w:val="005E1FE3"/>
    <w:rsid w:val="005E223F"/>
    <w:rsid w:val="005E261F"/>
    <w:rsid w:val="005E288D"/>
    <w:rsid w:val="005E2946"/>
    <w:rsid w:val="005E29DE"/>
    <w:rsid w:val="005E2C99"/>
    <w:rsid w:val="005E2CB9"/>
    <w:rsid w:val="005E2E77"/>
    <w:rsid w:val="005E2F93"/>
    <w:rsid w:val="005E30DF"/>
    <w:rsid w:val="005E3145"/>
    <w:rsid w:val="005E316B"/>
    <w:rsid w:val="005E31E4"/>
    <w:rsid w:val="005E388B"/>
    <w:rsid w:val="005E3AC6"/>
    <w:rsid w:val="005E40F1"/>
    <w:rsid w:val="005E428A"/>
    <w:rsid w:val="005E42FC"/>
    <w:rsid w:val="005E433C"/>
    <w:rsid w:val="005E435C"/>
    <w:rsid w:val="005E439C"/>
    <w:rsid w:val="005E46EA"/>
    <w:rsid w:val="005E489E"/>
    <w:rsid w:val="005E48E8"/>
    <w:rsid w:val="005E4988"/>
    <w:rsid w:val="005E4AF1"/>
    <w:rsid w:val="005E4B73"/>
    <w:rsid w:val="005E55D1"/>
    <w:rsid w:val="005E578B"/>
    <w:rsid w:val="005E5932"/>
    <w:rsid w:val="005E5B01"/>
    <w:rsid w:val="005E617C"/>
    <w:rsid w:val="005E6522"/>
    <w:rsid w:val="005E6875"/>
    <w:rsid w:val="005E6A56"/>
    <w:rsid w:val="005E6A8A"/>
    <w:rsid w:val="005E6B2C"/>
    <w:rsid w:val="005E6BB3"/>
    <w:rsid w:val="005E6D92"/>
    <w:rsid w:val="005E6FBC"/>
    <w:rsid w:val="005E72E6"/>
    <w:rsid w:val="005E74A0"/>
    <w:rsid w:val="005E761E"/>
    <w:rsid w:val="005E79A1"/>
    <w:rsid w:val="005E7AAA"/>
    <w:rsid w:val="005E7CE3"/>
    <w:rsid w:val="005E7E1C"/>
    <w:rsid w:val="005E7EC0"/>
    <w:rsid w:val="005E7F72"/>
    <w:rsid w:val="005F04BE"/>
    <w:rsid w:val="005F0735"/>
    <w:rsid w:val="005F08EB"/>
    <w:rsid w:val="005F0D44"/>
    <w:rsid w:val="005F0F5A"/>
    <w:rsid w:val="005F0FFE"/>
    <w:rsid w:val="005F1161"/>
    <w:rsid w:val="005F127D"/>
    <w:rsid w:val="005F1660"/>
    <w:rsid w:val="005F181B"/>
    <w:rsid w:val="005F1CF5"/>
    <w:rsid w:val="005F20E8"/>
    <w:rsid w:val="005F2768"/>
    <w:rsid w:val="005F27E2"/>
    <w:rsid w:val="005F27E7"/>
    <w:rsid w:val="005F2A58"/>
    <w:rsid w:val="005F2B2C"/>
    <w:rsid w:val="005F2B32"/>
    <w:rsid w:val="005F2C85"/>
    <w:rsid w:val="005F2C8B"/>
    <w:rsid w:val="005F3050"/>
    <w:rsid w:val="005F30BB"/>
    <w:rsid w:val="005F30BC"/>
    <w:rsid w:val="005F364C"/>
    <w:rsid w:val="005F38FE"/>
    <w:rsid w:val="005F3C2F"/>
    <w:rsid w:val="005F3E33"/>
    <w:rsid w:val="005F4157"/>
    <w:rsid w:val="005F4211"/>
    <w:rsid w:val="005F444C"/>
    <w:rsid w:val="005F45CA"/>
    <w:rsid w:val="005F475F"/>
    <w:rsid w:val="005F48AE"/>
    <w:rsid w:val="005F492E"/>
    <w:rsid w:val="005F4A27"/>
    <w:rsid w:val="005F4B30"/>
    <w:rsid w:val="005F4C4E"/>
    <w:rsid w:val="005F4D17"/>
    <w:rsid w:val="005F58DC"/>
    <w:rsid w:val="005F5B30"/>
    <w:rsid w:val="005F5CB4"/>
    <w:rsid w:val="005F5F16"/>
    <w:rsid w:val="005F615A"/>
    <w:rsid w:val="005F644D"/>
    <w:rsid w:val="005F6786"/>
    <w:rsid w:val="005F67C2"/>
    <w:rsid w:val="005F6897"/>
    <w:rsid w:val="005F6921"/>
    <w:rsid w:val="005F6A3D"/>
    <w:rsid w:val="005F6B8C"/>
    <w:rsid w:val="005F6BB0"/>
    <w:rsid w:val="005F7059"/>
    <w:rsid w:val="005F729A"/>
    <w:rsid w:val="005F72BE"/>
    <w:rsid w:val="005F72D6"/>
    <w:rsid w:val="005F76C1"/>
    <w:rsid w:val="005F780A"/>
    <w:rsid w:val="005F7974"/>
    <w:rsid w:val="005F7985"/>
    <w:rsid w:val="005F7A47"/>
    <w:rsid w:val="005F7C70"/>
    <w:rsid w:val="006000AD"/>
    <w:rsid w:val="00600216"/>
    <w:rsid w:val="00600248"/>
    <w:rsid w:val="00600334"/>
    <w:rsid w:val="00600555"/>
    <w:rsid w:val="00600626"/>
    <w:rsid w:val="006006D5"/>
    <w:rsid w:val="0060084E"/>
    <w:rsid w:val="00600EF9"/>
    <w:rsid w:val="00600F22"/>
    <w:rsid w:val="00601325"/>
    <w:rsid w:val="006013E0"/>
    <w:rsid w:val="006014D5"/>
    <w:rsid w:val="006014FC"/>
    <w:rsid w:val="0060172D"/>
    <w:rsid w:val="0060184E"/>
    <w:rsid w:val="00601C6C"/>
    <w:rsid w:val="00602003"/>
    <w:rsid w:val="0060210C"/>
    <w:rsid w:val="00602212"/>
    <w:rsid w:val="006023F1"/>
    <w:rsid w:val="00602521"/>
    <w:rsid w:val="006027FF"/>
    <w:rsid w:val="006028E8"/>
    <w:rsid w:val="00602D43"/>
    <w:rsid w:val="00602F47"/>
    <w:rsid w:val="00602FF7"/>
    <w:rsid w:val="00603BC9"/>
    <w:rsid w:val="00603C4D"/>
    <w:rsid w:val="00603C84"/>
    <w:rsid w:val="00603FB7"/>
    <w:rsid w:val="006040FA"/>
    <w:rsid w:val="00604132"/>
    <w:rsid w:val="00604147"/>
    <w:rsid w:val="006045C8"/>
    <w:rsid w:val="006046BD"/>
    <w:rsid w:val="006049F2"/>
    <w:rsid w:val="00604A0C"/>
    <w:rsid w:val="00604A1A"/>
    <w:rsid w:val="00604BBD"/>
    <w:rsid w:val="00604C7E"/>
    <w:rsid w:val="00604DF8"/>
    <w:rsid w:val="00604EFA"/>
    <w:rsid w:val="0060569F"/>
    <w:rsid w:val="006059BA"/>
    <w:rsid w:val="00605B2F"/>
    <w:rsid w:val="00605C56"/>
    <w:rsid w:val="00605CFE"/>
    <w:rsid w:val="006060B8"/>
    <w:rsid w:val="006062BE"/>
    <w:rsid w:val="00606587"/>
    <w:rsid w:val="00606778"/>
    <w:rsid w:val="00606BA8"/>
    <w:rsid w:val="00606CB0"/>
    <w:rsid w:val="00606D30"/>
    <w:rsid w:val="00606F78"/>
    <w:rsid w:val="00607080"/>
    <w:rsid w:val="006070D1"/>
    <w:rsid w:val="006071FE"/>
    <w:rsid w:val="006072EE"/>
    <w:rsid w:val="00607534"/>
    <w:rsid w:val="0060758B"/>
    <w:rsid w:val="00607689"/>
    <w:rsid w:val="006076EA"/>
    <w:rsid w:val="00607C2B"/>
    <w:rsid w:val="00607D99"/>
    <w:rsid w:val="00607EBE"/>
    <w:rsid w:val="00607F56"/>
    <w:rsid w:val="00607FE3"/>
    <w:rsid w:val="00610276"/>
    <w:rsid w:val="0061030B"/>
    <w:rsid w:val="006103BB"/>
    <w:rsid w:val="006103FD"/>
    <w:rsid w:val="006103FF"/>
    <w:rsid w:val="0061076A"/>
    <w:rsid w:val="006107FE"/>
    <w:rsid w:val="006108B6"/>
    <w:rsid w:val="00610FF2"/>
    <w:rsid w:val="0061124F"/>
    <w:rsid w:val="006112CA"/>
    <w:rsid w:val="006113EB"/>
    <w:rsid w:val="00611454"/>
    <w:rsid w:val="00611550"/>
    <w:rsid w:val="006116A6"/>
    <w:rsid w:val="00611A10"/>
    <w:rsid w:val="00611AED"/>
    <w:rsid w:val="00611E3F"/>
    <w:rsid w:val="00611FEC"/>
    <w:rsid w:val="0061206D"/>
    <w:rsid w:val="006121BC"/>
    <w:rsid w:val="00612A7B"/>
    <w:rsid w:val="00612E03"/>
    <w:rsid w:val="00613039"/>
    <w:rsid w:val="006132F7"/>
    <w:rsid w:val="0061343E"/>
    <w:rsid w:val="00613736"/>
    <w:rsid w:val="00613738"/>
    <w:rsid w:val="006138BA"/>
    <w:rsid w:val="00613B5F"/>
    <w:rsid w:val="00613C64"/>
    <w:rsid w:val="00613F1E"/>
    <w:rsid w:val="00614360"/>
    <w:rsid w:val="00614439"/>
    <w:rsid w:val="00614601"/>
    <w:rsid w:val="00614671"/>
    <w:rsid w:val="0061484D"/>
    <w:rsid w:val="006148AA"/>
    <w:rsid w:val="00614B8A"/>
    <w:rsid w:val="00614CAD"/>
    <w:rsid w:val="0061546A"/>
    <w:rsid w:val="00615578"/>
    <w:rsid w:val="0061567A"/>
    <w:rsid w:val="00615895"/>
    <w:rsid w:val="00615C30"/>
    <w:rsid w:val="00616197"/>
    <w:rsid w:val="00616329"/>
    <w:rsid w:val="006163CA"/>
    <w:rsid w:val="006164FC"/>
    <w:rsid w:val="00616FEA"/>
    <w:rsid w:val="00617280"/>
    <w:rsid w:val="00617332"/>
    <w:rsid w:val="00617396"/>
    <w:rsid w:val="006176A1"/>
    <w:rsid w:val="006178AC"/>
    <w:rsid w:val="00617914"/>
    <w:rsid w:val="006179E2"/>
    <w:rsid w:val="00617ABD"/>
    <w:rsid w:val="00617B99"/>
    <w:rsid w:val="00617C58"/>
    <w:rsid w:val="00617D74"/>
    <w:rsid w:val="006200BB"/>
    <w:rsid w:val="006203CD"/>
    <w:rsid w:val="00620975"/>
    <w:rsid w:val="00620AFC"/>
    <w:rsid w:val="0062117B"/>
    <w:rsid w:val="006211E3"/>
    <w:rsid w:val="006212ED"/>
    <w:rsid w:val="00621639"/>
    <w:rsid w:val="00621A95"/>
    <w:rsid w:val="00621AD0"/>
    <w:rsid w:val="00621D18"/>
    <w:rsid w:val="00621D9D"/>
    <w:rsid w:val="00621EBD"/>
    <w:rsid w:val="0062200F"/>
    <w:rsid w:val="006221CD"/>
    <w:rsid w:val="006225A9"/>
    <w:rsid w:val="006228AE"/>
    <w:rsid w:val="006229D7"/>
    <w:rsid w:val="00622BDD"/>
    <w:rsid w:val="00622D16"/>
    <w:rsid w:val="006233C1"/>
    <w:rsid w:val="006236D0"/>
    <w:rsid w:val="00623790"/>
    <w:rsid w:val="006237D5"/>
    <w:rsid w:val="0062392D"/>
    <w:rsid w:val="00623C57"/>
    <w:rsid w:val="00623F2F"/>
    <w:rsid w:val="00623F61"/>
    <w:rsid w:val="006240DF"/>
    <w:rsid w:val="0062473A"/>
    <w:rsid w:val="00624FD2"/>
    <w:rsid w:val="00625068"/>
    <w:rsid w:val="006252A8"/>
    <w:rsid w:val="006254EB"/>
    <w:rsid w:val="006258D8"/>
    <w:rsid w:val="00625B5A"/>
    <w:rsid w:val="00625F4C"/>
    <w:rsid w:val="00625F56"/>
    <w:rsid w:val="00626393"/>
    <w:rsid w:val="0062682F"/>
    <w:rsid w:val="00627117"/>
    <w:rsid w:val="006277C8"/>
    <w:rsid w:val="00627813"/>
    <w:rsid w:val="00627917"/>
    <w:rsid w:val="00627B61"/>
    <w:rsid w:val="00627C3B"/>
    <w:rsid w:val="00627D55"/>
    <w:rsid w:val="00630115"/>
    <w:rsid w:val="006301E9"/>
    <w:rsid w:val="00630402"/>
    <w:rsid w:val="0063051F"/>
    <w:rsid w:val="00630664"/>
    <w:rsid w:val="00630F63"/>
    <w:rsid w:val="00631003"/>
    <w:rsid w:val="00631100"/>
    <w:rsid w:val="00631166"/>
    <w:rsid w:val="00631B9F"/>
    <w:rsid w:val="0063235F"/>
    <w:rsid w:val="00632481"/>
    <w:rsid w:val="00632535"/>
    <w:rsid w:val="006328AF"/>
    <w:rsid w:val="00632B07"/>
    <w:rsid w:val="00632BE8"/>
    <w:rsid w:val="006330FE"/>
    <w:rsid w:val="0063315E"/>
    <w:rsid w:val="006333C3"/>
    <w:rsid w:val="0063344D"/>
    <w:rsid w:val="006334A3"/>
    <w:rsid w:val="006339E4"/>
    <w:rsid w:val="00633C79"/>
    <w:rsid w:val="006341C6"/>
    <w:rsid w:val="006342FD"/>
    <w:rsid w:val="00634301"/>
    <w:rsid w:val="006343D1"/>
    <w:rsid w:val="00634637"/>
    <w:rsid w:val="00634650"/>
    <w:rsid w:val="00634A80"/>
    <w:rsid w:val="00634F26"/>
    <w:rsid w:val="00635AE7"/>
    <w:rsid w:val="00635D59"/>
    <w:rsid w:val="00635E56"/>
    <w:rsid w:val="00635EE6"/>
    <w:rsid w:val="00636044"/>
    <w:rsid w:val="006362BA"/>
    <w:rsid w:val="006362C9"/>
    <w:rsid w:val="00636389"/>
    <w:rsid w:val="0063641C"/>
    <w:rsid w:val="00636591"/>
    <w:rsid w:val="006365AD"/>
    <w:rsid w:val="006367F1"/>
    <w:rsid w:val="006367F7"/>
    <w:rsid w:val="00636A0E"/>
    <w:rsid w:val="00636A1E"/>
    <w:rsid w:val="00636BE0"/>
    <w:rsid w:val="00636C43"/>
    <w:rsid w:val="00636C45"/>
    <w:rsid w:val="00636CED"/>
    <w:rsid w:val="00636DF7"/>
    <w:rsid w:val="0063715C"/>
    <w:rsid w:val="006374BB"/>
    <w:rsid w:val="00637A52"/>
    <w:rsid w:val="00637C40"/>
    <w:rsid w:val="00637E23"/>
    <w:rsid w:val="00637EC9"/>
    <w:rsid w:val="0064018D"/>
    <w:rsid w:val="0064079D"/>
    <w:rsid w:val="0064089B"/>
    <w:rsid w:val="006409B0"/>
    <w:rsid w:val="00640BAD"/>
    <w:rsid w:val="00640FCF"/>
    <w:rsid w:val="00641003"/>
    <w:rsid w:val="006410F8"/>
    <w:rsid w:val="006412B6"/>
    <w:rsid w:val="0064160B"/>
    <w:rsid w:val="00641B34"/>
    <w:rsid w:val="00641C18"/>
    <w:rsid w:val="00641D8F"/>
    <w:rsid w:val="00641F59"/>
    <w:rsid w:val="006420E9"/>
    <w:rsid w:val="006424BC"/>
    <w:rsid w:val="006424D9"/>
    <w:rsid w:val="006425EA"/>
    <w:rsid w:val="006429D1"/>
    <w:rsid w:val="00642BAA"/>
    <w:rsid w:val="00642C7B"/>
    <w:rsid w:val="00642DC2"/>
    <w:rsid w:val="00642FBA"/>
    <w:rsid w:val="00643040"/>
    <w:rsid w:val="00643293"/>
    <w:rsid w:val="006436C7"/>
    <w:rsid w:val="00643C53"/>
    <w:rsid w:val="00643C64"/>
    <w:rsid w:val="00643D83"/>
    <w:rsid w:val="00644267"/>
    <w:rsid w:val="006445B6"/>
    <w:rsid w:val="00644710"/>
    <w:rsid w:val="006448B0"/>
    <w:rsid w:val="00644A3A"/>
    <w:rsid w:val="00644A6A"/>
    <w:rsid w:val="00644B72"/>
    <w:rsid w:val="00644B9E"/>
    <w:rsid w:val="00644BE3"/>
    <w:rsid w:val="00644C69"/>
    <w:rsid w:val="00644CC5"/>
    <w:rsid w:val="0064501F"/>
    <w:rsid w:val="006450C2"/>
    <w:rsid w:val="00645625"/>
    <w:rsid w:val="00645821"/>
    <w:rsid w:val="00645987"/>
    <w:rsid w:val="00645B3C"/>
    <w:rsid w:val="00645C73"/>
    <w:rsid w:val="00645F98"/>
    <w:rsid w:val="006463F3"/>
    <w:rsid w:val="00646427"/>
    <w:rsid w:val="006466F1"/>
    <w:rsid w:val="006467B5"/>
    <w:rsid w:val="00646A0A"/>
    <w:rsid w:val="00646B19"/>
    <w:rsid w:val="00646E14"/>
    <w:rsid w:val="00646E5C"/>
    <w:rsid w:val="00646EB8"/>
    <w:rsid w:val="00646FF6"/>
    <w:rsid w:val="006471EF"/>
    <w:rsid w:val="0064723B"/>
    <w:rsid w:val="00647375"/>
    <w:rsid w:val="0064737B"/>
    <w:rsid w:val="0064761A"/>
    <w:rsid w:val="006477BB"/>
    <w:rsid w:val="00647844"/>
    <w:rsid w:val="00647A73"/>
    <w:rsid w:val="00647B07"/>
    <w:rsid w:val="006501BE"/>
    <w:rsid w:val="0065052C"/>
    <w:rsid w:val="006505B2"/>
    <w:rsid w:val="00650689"/>
    <w:rsid w:val="00650915"/>
    <w:rsid w:val="00650A86"/>
    <w:rsid w:val="00650B2E"/>
    <w:rsid w:val="00650D8C"/>
    <w:rsid w:val="00650F92"/>
    <w:rsid w:val="0065100C"/>
    <w:rsid w:val="00651039"/>
    <w:rsid w:val="006513AB"/>
    <w:rsid w:val="0065158D"/>
    <w:rsid w:val="00651A3F"/>
    <w:rsid w:val="00651AB4"/>
    <w:rsid w:val="00651B67"/>
    <w:rsid w:val="00651C07"/>
    <w:rsid w:val="00651CC0"/>
    <w:rsid w:val="00651D11"/>
    <w:rsid w:val="006520DC"/>
    <w:rsid w:val="00652560"/>
    <w:rsid w:val="00652882"/>
    <w:rsid w:val="006528C4"/>
    <w:rsid w:val="006529BE"/>
    <w:rsid w:val="006529E8"/>
    <w:rsid w:val="00652AA4"/>
    <w:rsid w:val="00652BC9"/>
    <w:rsid w:val="00652DC3"/>
    <w:rsid w:val="00653030"/>
    <w:rsid w:val="00653447"/>
    <w:rsid w:val="00653A7E"/>
    <w:rsid w:val="00653B7F"/>
    <w:rsid w:val="00653D51"/>
    <w:rsid w:val="0065416C"/>
    <w:rsid w:val="00654648"/>
    <w:rsid w:val="0065492A"/>
    <w:rsid w:val="00654B50"/>
    <w:rsid w:val="00654CA6"/>
    <w:rsid w:val="00654D9F"/>
    <w:rsid w:val="00654EE1"/>
    <w:rsid w:val="00654F97"/>
    <w:rsid w:val="00655379"/>
    <w:rsid w:val="0065544B"/>
    <w:rsid w:val="00655610"/>
    <w:rsid w:val="00655742"/>
    <w:rsid w:val="00655B8B"/>
    <w:rsid w:val="00655DCD"/>
    <w:rsid w:val="00655FBF"/>
    <w:rsid w:val="00656025"/>
    <w:rsid w:val="0065602D"/>
    <w:rsid w:val="006561E6"/>
    <w:rsid w:val="0065627C"/>
    <w:rsid w:val="0065664E"/>
    <w:rsid w:val="00656D28"/>
    <w:rsid w:val="00656EE4"/>
    <w:rsid w:val="006570A4"/>
    <w:rsid w:val="006571E9"/>
    <w:rsid w:val="006573E3"/>
    <w:rsid w:val="006577AA"/>
    <w:rsid w:val="006577D2"/>
    <w:rsid w:val="00657AF8"/>
    <w:rsid w:val="00657DA2"/>
    <w:rsid w:val="00660875"/>
    <w:rsid w:val="00660A79"/>
    <w:rsid w:val="00660AC3"/>
    <w:rsid w:val="00660D9C"/>
    <w:rsid w:val="0066125F"/>
    <w:rsid w:val="00661269"/>
    <w:rsid w:val="00661311"/>
    <w:rsid w:val="006614E5"/>
    <w:rsid w:val="006614FA"/>
    <w:rsid w:val="00661634"/>
    <w:rsid w:val="00661703"/>
    <w:rsid w:val="006617AD"/>
    <w:rsid w:val="00661B69"/>
    <w:rsid w:val="00661B6D"/>
    <w:rsid w:val="00661FB6"/>
    <w:rsid w:val="006622C4"/>
    <w:rsid w:val="006629E9"/>
    <w:rsid w:val="00662B62"/>
    <w:rsid w:val="006636EE"/>
    <w:rsid w:val="00663AD2"/>
    <w:rsid w:val="00663B00"/>
    <w:rsid w:val="00663D75"/>
    <w:rsid w:val="006641C6"/>
    <w:rsid w:val="006642B8"/>
    <w:rsid w:val="006648F2"/>
    <w:rsid w:val="00664B38"/>
    <w:rsid w:val="00664B70"/>
    <w:rsid w:val="00664BF3"/>
    <w:rsid w:val="00665194"/>
    <w:rsid w:val="006651B4"/>
    <w:rsid w:val="00665360"/>
    <w:rsid w:val="00665375"/>
    <w:rsid w:val="006653C8"/>
    <w:rsid w:val="00665615"/>
    <w:rsid w:val="0066566A"/>
    <w:rsid w:val="006659B1"/>
    <w:rsid w:val="00665C6C"/>
    <w:rsid w:val="00665E33"/>
    <w:rsid w:val="00665FAF"/>
    <w:rsid w:val="00666091"/>
    <w:rsid w:val="00666127"/>
    <w:rsid w:val="006661A8"/>
    <w:rsid w:val="00666217"/>
    <w:rsid w:val="00666315"/>
    <w:rsid w:val="006663F9"/>
    <w:rsid w:val="0066661A"/>
    <w:rsid w:val="00666947"/>
    <w:rsid w:val="00666A12"/>
    <w:rsid w:val="00666C77"/>
    <w:rsid w:val="00666DAC"/>
    <w:rsid w:val="00666DED"/>
    <w:rsid w:val="006670EA"/>
    <w:rsid w:val="0066765A"/>
    <w:rsid w:val="006676DF"/>
    <w:rsid w:val="00667757"/>
    <w:rsid w:val="006678AF"/>
    <w:rsid w:val="00667934"/>
    <w:rsid w:val="006703E1"/>
    <w:rsid w:val="0067040D"/>
    <w:rsid w:val="006706D0"/>
    <w:rsid w:val="00670730"/>
    <w:rsid w:val="00670B06"/>
    <w:rsid w:val="00670C8F"/>
    <w:rsid w:val="00670E44"/>
    <w:rsid w:val="00670E69"/>
    <w:rsid w:val="00671281"/>
    <w:rsid w:val="00671375"/>
    <w:rsid w:val="006713B9"/>
    <w:rsid w:val="006714A4"/>
    <w:rsid w:val="00671636"/>
    <w:rsid w:val="00671A37"/>
    <w:rsid w:val="00671C1C"/>
    <w:rsid w:val="00671D15"/>
    <w:rsid w:val="00671EC4"/>
    <w:rsid w:val="00672197"/>
    <w:rsid w:val="006721DD"/>
    <w:rsid w:val="006722DA"/>
    <w:rsid w:val="006724E0"/>
    <w:rsid w:val="006725AE"/>
    <w:rsid w:val="0067268D"/>
    <w:rsid w:val="00672913"/>
    <w:rsid w:val="00672D2B"/>
    <w:rsid w:val="0067315B"/>
    <w:rsid w:val="006734CB"/>
    <w:rsid w:val="00673884"/>
    <w:rsid w:val="00673CA9"/>
    <w:rsid w:val="00673FB2"/>
    <w:rsid w:val="00674011"/>
    <w:rsid w:val="00674035"/>
    <w:rsid w:val="006742DA"/>
    <w:rsid w:val="006744FC"/>
    <w:rsid w:val="0067456E"/>
    <w:rsid w:val="006745F4"/>
    <w:rsid w:val="00674620"/>
    <w:rsid w:val="006748B3"/>
    <w:rsid w:val="00674919"/>
    <w:rsid w:val="00674ACC"/>
    <w:rsid w:val="00675035"/>
    <w:rsid w:val="00675050"/>
    <w:rsid w:val="00675166"/>
    <w:rsid w:val="00675220"/>
    <w:rsid w:val="0067534C"/>
    <w:rsid w:val="00675533"/>
    <w:rsid w:val="0067591F"/>
    <w:rsid w:val="00675943"/>
    <w:rsid w:val="00675C41"/>
    <w:rsid w:val="0067691F"/>
    <w:rsid w:val="00676B5F"/>
    <w:rsid w:val="00676C19"/>
    <w:rsid w:val="00676C3E"/>
    <w:rsid w:val="00676D32"/>
    <w:rsid w:val="00676FBC"/>
    <w:rsid w:val="006771D4"/>
    <w:rsid w:val="00677595"/>
    <w:rsid w:val="00677619"/>
    <w:rsid w:val="006776AB"/>
    <w:rsid w:val="0067774D"/>
    <w:rsid w:val="00677766"/>
    <w:rsid w:val="00677ADF"/>
    <w:rsid w:val="00677E87"/>
    <w:rsid w:val="00677FDA"/>
    <w:rsid w:val="006800C3"/>
    <w:rsid w:val="006804AE"/>
    <w:rsid w:val="006808F8"/>
    <w:rsid w:val="00680937"/>
    <w:rsid w:val="00680A27"/>
    <w:rsid w:val="00680B96"/>
    <w:rsid w:val="00681900"/>
    <w:rsid w:val="00681921"/>
    <w:rsid w:val="00681F62"/>
    <w:rsid w:val="00681FB6"/>
    <w:rsid w:val="006821A3"/>
    <w:rsid w:val="006825A6"/>
    <w:rsid w:val="0068266F"/>
    <w:rsid w:val="006828E5"/>
    <w:rsid w:val="00682C01"/>
    <w:rsid w:val="006830E9"/>
    <w:rsid w:val="006833A7"/>
    <w:rsid w:val="00683859"/>
    <w:rsid w:val="006838ED"/>
    <w:rsid w:val="00683D31"/>
    <w:rsid w:val="00683F66"/>
    <w:rsid w:val="00684051"/>
    <w:rsid w:val="00684335"/>
    <w:rsid w:val="0068491D"/>
    <w:rsid w:val="006849F1"/>
    <w:rsid w:val="006849F2"/>
    <w:rsid w:val="00684D13"/>
    <w:rsid w:val="00684E99"/>
    <w:rsid w:val="00684EEF"/>
    <w:rsid w:val="00685055"/>
    <w:rsid w:val="006850A5"/>
    <w:rsid w:val="0068531E"/>
    <w:rsid w:val="0068546D"/>
    <w:rsid w:val="0068568C"/>
    <w:rsid w:val="00685936"/>
    <w:rsid w:val="00685A35"/>
    <w:rsid w:val="00685EBD"/>
    <w:rsid w:val="0068622E"/>
    <w:rsid w:val="0068627F"/>
    <w:rsid w:val="00686294"/>
    <w:rsid w:val="0068633A"/>
    <w:rsid w:val="006865EA"/>
    <w:rsid w:val="006867DB"/>
    <w:rsid w:val="00686871"/>
    <w:rsid w:val="00686903"/>
    <w:rsid w:val="0068691F"/>
    <w:rsid w:val="00686A46"/>
    <w:rsid w:val="00686B39"/>
    <w:rsid w:val="00686C9D"/>
    <w:rsid w:val="00686DD8"/>
    <w:rsid w:val="00686F85"/>
    <w:rsid w:val="00686FC4"/>
    <w:rsid w:val="00687034"/>
    <w:rsid w:val="006870A2"/>
    <w:rsid w:val="0068738E"/>
    <w:rsid w:val="006874BF"/>
    <w:rsid w:val="0068750F"/>
    <w:rsid w:val="006877B4"/>
    <w:rsid w:val="006878E3"/>
    <w:rsid w:val="00690139"/>
    <w:rsid w:val="00690238"/>
    <w:rsid w:val="006904E5"/>
    <w:rsid w:val="0069056C"/>
    <w:rsid w:val="00690A08"/>
    <w:rsid w:val="00690AAD"/>
    <w:rsid w:val="00690C17"/>
    <w:rsid w:val="00690C39"/>
    <w:rsid w:val="00690CC7"/>
    <w:rsid w:val="00690F77"/>
    <w:rsid w:val="00691234"/>
    <w:rsid w:val="0069133E"/>
    <w:rsid w:val="0069155A"/>
    <w:rsid w:val="00691BB9"/>
    <w:rsid w:val="00691E7F"/>
    <w:rsid w:val="0069226D"/>
    <w:rsid w:val="006925D9"/>
    <w:rsid w:val="00692641"/>
    <w:rsid w:val="0069279E"/>
    <w:rsid w:val="00692857"/>
    <w:rsid w:val="006928E2"/>
    <w:rsid w:val="00692A4D"/>
    <w:rsid w:val="00692D7A"/>
    <w:rsid w:val="0069300E"/>
    <w:rsid w:val="00693373"/>
    <w:rsid w:val="00693655"/>
    <w:rsid w:val="0069378D"/>
    <w:rsid w:val="00693B4B"/>
    <w:rsid w:val="00693FDC"/>
    <w:rsid w:val="00694042"/>
    <w:rsid w:val="00694137"/>
    <w:rsid w:val="0069434F"/>
    <w:rsid w:val="006946B3"/>
    <w:rsid w:val="0069486F"/>
    <w:rsid w:val="00694A00"/>
    <w:rsid w:val="00694A11"/>
    <w:rsid w:val="00694BDD"/>
    <w:rsid w:val="00694C1F"/>
    <w:rsid w:val="00695519"/>
    <w:rsid w:val="0069555A"/>
    <w:rsid w:val="00695AD6"/>
    <w:rsid w:val="00695E27"/>
    <w:rsid w:val="00695E5C"/>
    <w:rsid w:val="00695FDC"/>
    <w:rsid w:val="00696167"/>
    <w:rsid w:val="0069620A"/>
    <w:rsid w:val="006963B9"/>
    <w:rsid w:val="006963FD"/>
    <w:rsid w:val="00696838"/>
    <w:rsid w:val="006969AC"/>
    <w:rsid w:val="00696A8C"/>
    <w:rsid w:val="00696D8E"/>
    <w:rsid w:val="00696F28"/>
    <w:rsid w:val="0069705C"/>
    <w:rsid w:val="0069717E"/>
    <w:rsid w:val="006972AD"/>
    <w:rsid w:val="0069762A"/>
    <w:rsid w:val="006979EA"/>
    <w:rsid w:val="00697B2D"/>
    <w:rsid w:val="006A0178"/>
    <w:rsid w:val="006A054C"/>
    <w:rsid w:val="006A06F6"/>
    <w:rsid w:val="006A0D07"/>
    <w:rsid w:val="006A0E92"/>
    <w:rsid w:val="006A1415"/>
    <w:rsid w:val="006A1D8D"/>
    <w:rsid w:val="006A1E38"/>
    <w:rsid w:val="006A2283"/>
    <w:rsid w:val="006A22C1"/>
    <w:rsid w:val="006A24F6"/>
    <w:rsid w:val="006A2722"/>
    <w:rsid w:val="006A293F"/>
    <w:rsid w:val="006A299B"/>
    <w:rsid w:val="006A2E2A"/>
    <w:rsid w:val="006A2F92"/>
    <w:rsid w:val="006A31D7"/>
    <w:rsid w:val="006A33B1"/>
    <w:rsid w:val="006A343D"/>
    <w:rsid w:val="006A34C6"/>
    <w:rsid w:val="006A3731"/>
    <w:rsid w:val="006A3833"/>
    <w:rsid w:val="006A3897"/>
    <w:rsid w:val="006A3C8C"/>
    <w:rsid w:val="006A4173"/>
    <w:rsid w:val="006A44BA"/>
    <w:rsid w:val="006A44F6"/>
    <w:rsid w:val="006A4A22"/>
    <w:rsid w:val="006A4E13"/>
    <w:rsid w:val="006A543E"/>
    <w:rsid w:val="006A5956"/>
    <w:rsid w:val="006A5AE2"/>
    <w:rsid w:val="006A5B8E"/>
    <w:rsid w:val="006A6326"/>
    <w:rsid w:val="006A63C5"/>
    <w:rsid w:val="006A6403"/>
    <w:rsid w:val="006A665F"/>
    <w:rsid w:val="006A66FE"/>
    <w:rsid w:val="006A6759"/>
    <w:rsid w:val="006A676D"/>
    <w:rsid w:val="006A6935"/>
    <w:rsid w:val="006A708D"/>
    <w:rsid w:val="006A7412"/>
    <w:rsid w:val="006A742D"/>
    <w:rsid w:val="006A79D5"/>
    <w:rsid w:val="006A7C9A"/>
    <w:rsid w:val="006A7E1E"/>
    <w:rsid w:val="006B02E1"/>
    <w:rsid w:val="006B0645"/>
    <w:rsid w:val="006B0809"/>
    <w:rsid w:val="006B0CD1"/>
    <w:rsid w:val="006B0F1D"/>
    <w:rsid w:val="006B0FEC"/>
    <w:rsid w:val="006B1040"/>
    <w:rsid w:val="006B1085"/>
    <w:rsid w:val="006B1454"/>
    <w:rsid w:val="006B1A93"/>
    <w:rsid w:val="006B1B96"/>
    <w:rsid w:val="006B1F7D"/>
    <w:rsid w:val="006B20AA"/>
    <w:rsid w:val="006B21D5"/>
    <w:rsid w:val="006B2429"/>
    <w:rsid w:val="006B28DC"/>
    <w:rsid w:val="006B29BE"/>
    <w:rsid w:val="006B30D0"/>
    <w:rsid w:val="006B32EC"/>
    <w:rsid w:val="006B3513"/>
    <w:rsid w:val="006B37C0"/>
    <w:rsid w:val="006B37F0"/>
    <w:rsid w:val="006B3853"/>
    <w:rsid w:val="006B3905"/>
    <w:rsid w:val="006B3C35"/>
    <w:rsid w:val="006B3C46"/>
    <w:rsid w:val="006B3CD2"/>
    <w:rsid w:val="006B3D5E"/>
    <w:rsid w:val="006B3D86"/>
    <w:rsid w:val="006B437F"/>
    <w:rsid w:val="006B445D"/>
    <w:rsid w:val="006B45EB"/>
    <w:rsid w:val="006B45F1"/>
    <w:rsid w:val="006B4AC8"/>
    <w:rsid w:val="006B5282"/>
    <w:rsid w:val="006B528F"/>
    <w:rsid w:val="006B53C3"/>
    <w:rsid w:val="006B5D63"/>
    <w:rsid w:val="006B6061"/>
    <w:rsid w:val="006B618E"/>
    <w:rsid w:val="006B6458"/>
    <w:rsid w:val="006B65DA"/>
    <w:rsid w:val="006B68AF"/>
    <w:rsid w:val="006B6E18"/>
    <w:rsid w:val="006B6F76"/>
    <w:rsid w:val="006B733E"/>
    <w:rsid w:val="006B75A8"/>
    <w:rsid w:val="006B76CC"/>
    <w:rsid w:val="006B7ACD"/>
    <w:rsid w:val="006B7B5E"/>
    <w:rsid w:val="006B7B7C"/>
    <w:rsid w:val="006C03E0"/>
    <w:rsid w:val="006C05A1"/>
    <w:rsid w:val="006C0665"/>
    <w:rsid w:val="006C0A4A"/>
    <w:rsid w:val="006C0AE9"/>
    <w:rsid w:val="006C14A2"/>
    <w:rsid w:val="006C14C2"/>
    <w:rsid w:val="006C153F"/>
    <w:rsid w:val="006C1558"/>
    <w:rsid w:val="006C1595"/>
    <w:rsid w:val="006C16BA"/>
    <w:rsid w:val="006C1918"/>
    <w:rsid w:val="006C1B47"/>
    <w:rsid w:val="006C1C69"/>
    <w:rsid w:val="006C1F2C"/>
    <w:rsid w:val="006C2059"/>
    <w:rsid w:val="006C2418"/>
    <w:rsid w:val="006C273F"/>
    <w:rsid w:val="006C2CE5"/>
    <w:rsid w:val="006C2D5C"/>
    <w:rsid w:val="006C316F"/>
    <w:rsid w:val="006C350E"/>
    <w:rsid w:val="006C3716"/>
    <w:rsid w:val="006C3754"/>
    <w:rsid w:val="006C38D5"/>
    <w:rsid w:val="006C3E0C"/>
    <w:rsid w:val="006C3F60"/>
    <w:rsid w:val="006C3FB6"/>
    <w:rsid w:val="006C42B6"/>
    <w:rsid w:val="006C467D"/>
    <w:rsid w:val="006C48CF"/>
    <w:rsid w:val="006C4976"/>
    <w:rsid w:val="006C4AA4"/>
    <w:rsid w:val="006C4E16"/>
    <w:rsid w:val="006C4F32"/>
    <w:rsid w:val="006C506A"/>
    <w:rsid w:val="006C5093"/>
    <w:rsid w:val="006C5170"/>
    <w:rsid w:val="006C51E8"/>
    <w:rsid w:val="006C548A"/>
    <w:rsid w:val="006C549D"/>
    <w:rsid w:val="006C5529"/>
    <w:rsid w:val="006C555A"/>
    <w:rsid w:val="006C5A69"/>
    <w:rsid w:val="006C5A94"/>
    <w:rsid w:val="006C5B3C"/>
    <w:rsid w:val="006C5B3F"/>
    <w:rsid w:val="006C5C7E"/>
    <w:rsid w:val="006C5E11"/>
    <w:rsid w:val="006C5FA2"/>
    <w:rsid w:val="006C5FDD"/>
    <w:rsid w:val="006C60D0"/>
    <w:rsid w:val="006C63B7"/>
    <w:rsid w:val="006C63EC"/>
    <w:rsid w:val="006C6A21"/>
    <w:rsid w:val="006C6D08"/>
    <w:rsid w:val="006C70B2"/>
    <w:rsid w:val="006C7186"/>
    <w:rsid w:val="006C7423"/>
    <w:rsid w:val="006C7496"/>
    <w:rsid w:val="006C75C9"/>
    <w:rsid w:val="006C75F4"/>
    <w:rsid w:val="006C78E3"/>
    <w:rsid w:val="006C7B44"/>
    <w:rsid w:val="006C7CDE"/>
    <w:rsid w:val="006C7D25"/>
    <w:rsid w:val="006C7DF8"/>
    <w:rsid w:val="006D0097"/>
    <w:rsid w:val="006D0162"/>
    <w:rsid w:val="006D02B5"/>
    <w:rsid w:val="006D0443"/>
    <w:rsid w:val="006D0605"/>
    <w:rsid w:val="006D07E6"/>
    <w:rsid w:val="006D0B3B"/>
    <w:rsid w:val="006D0C52"/>
    <w:rsid w:val="006D0F98"/>
    <w:rsid w:val="006D0FB3"/>
    <w:rsid w:val="006D11E1"/>
    <w:rsid w:val="006D1480"/>
    <w:rsid w:val="006D1683"/>
    <w:rsid w:val="006D1AEF"/>
    <w:rsid w:val="006D1DCB"/>
    <w:rsid w:val="006D21CC"/>
    <w:rsid w:val="006D23E3"/>
    <w:rsid w:val="006D25E0"/>
    <w:rsid w:val="006D26DA"/>
    <w:rsid w:val="006D2708"/>
    <w:rsid w:val="006D27E7"/>
    <w:rsid w:val="006D2C8B"/>
    <w:rsid w:val="006D2F6F"/>
    <w:rsid w:val="006D30F3"/>
    <w:rsid w:val="006D317D"/>
    <w:rsid w:val="006D3662"/>
    <w:rsid w:val="006D39DE"/>
    <w:rsid w:val="006D3D9B"/>
    <w:rsid w:val="006D3E7D"/>
    <w:rsid w:val="006D4168"/>
    <w:rsid w:val="006D41C2"/>
    <w:rsid w:val="006D41D9"/>
    <w:rsid w:val="006D4213"/>
    <w:rsid w:val="006D4938"/>
    <w:rsid w:val="006D4C40"/>
    <w:rsid w:val="006D4C4B"/>
    <w:rsid w:val="006D4DB2"/>
    <w:rsid w:val="006D4EE0"/>
    <w:rsid w:val="006D51DF"/>
    <w:rsid w:val="006D5379"/>
    <w:rsid w:val="006D545F"/>
    <w:rsid w:val="006D5625"/>
    <w:rsid w:val="006D56B8"/>
    <w:rsid w:val="006D5732"/>
    <w:rsid w:val="006D59CA"/>
    <w:rsid w:val="006D5C2B"/>
    <w:rsid w:val="006D5D31"/>
    <w:rsid w:val="006D6094"/>
    <w:rsid w:val="006D60DC"/>
    <w:rsid w:val="006D6642"/>
    <w:rsid w:val="006D6998"/>
    <w:rsid w:val="006D6B68"/>
    <w:rsid w:val="006D6C09"/>
    <w:rsid w:val="006D6C3B"/>
    <w:rsid w:val="006D70B0"/>
    <w:rsid w:val="006D711E"/>
    <w:rsid w:val="006D7223"/>
    <w:rsid w:val="006D73F0"/>
    <w:rsid w:val="006D7412"/>
    <w:rsid w:val="006D78A7"/>
    <w:rsid w:val="006D79E8"/>
    <w:rsid w:val="006D7CF4"/>
    <w:rsid w:val="006D7CF6"/>
    <w:rsid w:val="006E0056"/>
    <w:rsid w:val="006E00E2"/>
    <w:rsid w:val="006E0895"/>
    <w:rsid w:val="006E0A1D"/>
    <w:rsid w:val="006E0E9E"/>
    <w:rsid w:val="006E112E"/>
    <w:rsid w:val="006E164E"/>
    <w:rsid w:val="006E172F"/>
    <w:rsid w:val="006E18BD"/>
    <w:rsid w:val="006E1AB2"/>
    <w:rsid w:val="006E2584"/>
    <w:rsid w:val="006E2684"/>
    <w:rsid w:val="006E26D0"/>
    <w:rsid w:val="006E278C"/>
    <w:rsid w:val="006E2E21"/>
    <w:rsid w:val="006E306D"/>
    <w:rsid w:val="006E326B"/>
    <w:rsid w:val="006E3308"/>
    <w:rsid w:val="006E3613"/>
    <w:rsid w:val="006E3743"/>
    <w:rsid w:val="006E37A3"/>
    <w:rsid w:val="006E3A67"/>
    <w:rsid w:val="006E3E28"/>
    <w:rsid w:val="006E49D8"/>
    <w:rsid w:val="006E4AB5"/>
    <w:rsid w:val="006E4D63"/>
    <w:rsid w:val="006E50AB"/>
    <w:rsid w:val="006E522A"/>
    <w:rsid w:val="006E52F2"/>
    <w:rsid w:val="006E532E"/>
    <w:rsid w:val="006E536A"/>
    <w:rsid w:val="006E5677"/>
    <w:rsid w:val="006E569F"/>
    <w:rsid w:val="006E5756"/>
    <w:rsid w:val="006E57CA"/>
    <w:rsid w:val="006E5C90"/>
    <w:rsid w:val="006E5F7A"/>
    <w:rsid w:val="006E60C6"/>
    <w:rsid w:val="006E60CF"/>
    <w:rsid w:val="006E6106"/>
    <w:rsid w:val="006E6155"/>
    <w:rsid w:val="006E62A0"/>
    <w:rsid w:val="006E66BC"/>
    <w:rsid w:val="006E674C"/>
    <w:rsid w:val="006E6884"/>
    <w:rsid w:val="006E6AF4"/>
    <w:rsid w:val="006E6CE4"/>
    <w:rsid w:val="006E6DC1"/>
    <w:rsid w:val="006E6E11"/>
    <w:rsid w:val="006E738F"/>
    <w:rsid w:val="006E7510"/>
    <w:rsid w:val="006E7D94"/>
    <w:rsid w:val="006E7D99"/>
    <w:rsid w:val="006F02F7"/>
    <w:rsid w:val="006F0409"/>
    <w:rsid w:val="006F049A"/>
    <w:rsid w:val="006F0625"/>
    <w:rsid w:val="006F0C49"/>
    <w:rsid w:val="006F0E5D"/>
    <w:rsid w:val="006F1018"/>
    <w:rsid w:val="006F105E"/>
    <w:rsid w:val="006F129C"/>
    <w:rsid w:val="006F153B"/>
    <w:rsid w:val="006F153F"/>
    <w:rsid w:val="006F1D7F"/>
    <w:rsid w:val="006F1E4D"/>
    <w:rsid w:val="006F20E4"/>
    <w:rsid w:val="006F21ED"/>
    <w:rsid w:val="006F22B3"/>
    <w:rsid w:val="006F25F2"/>
    <w:rsid w:val="006F2767"/>
    <w:rsid w:val="006F2924"/>
    <w:rsid w:val="006F2A6D"/>
    <w:rsid w:val="006F2AE6"/>
    <w:rsid w:val="006F2E86"/>
    <w:rsid w:val="006F2E9D"/>
    <w:rsid w:val="006F3120"/>
    <w:rsid w:val="006F314F"/>
    <w:rsid w:val="006F33DF"/>
    <w:rsid w:val="006F35A8"/>
    <w:rsid w:val="006F3673"/>
    <w:rsid w:val="006F3876"/>
    <w:rsid w:val="006F3909"/>
    <w:rsid w:val="006F3A16"/>
    <w:rsid w:val="006F3D49"/>
    <w:rsid w:val="006F40E3"/>
    <w:rsid w:val="006F40EA"/>
    <w:rsid w:val="006F4657"/>
    <w:rsid w:val="006F4A79"/>
    <w:rsid w:val="006F4F2A"/>
    <w:rsid w:val="006F4F3A"/>
    <w:rsid w:val="006F4FA8"/>
    <w:rsid w:val="006F566F"/>
    <w:rsid w:val="006F58A1"/>
    <w:rsid w:val="006F59D2"/>
    <w:rsid w:val="006F5A5A"/>
    <w:rsid w:val="006F5C5F"/>
    <w:rsid w:val="006F5CD2"/>
    <w:rsid w:val="006F5EF3"/>
    <w:rsid w:val="006F5F9A"/>
    <w:rsid w:val="006F6079"/>
    <w:rsid w:val="006F61B2"/>
    <w:rsid w:val="006F6597"/>
    <w:rsid w:val="006F66D5"/>
    <w:rsid w:val="006F678B"/>
    <w:rsid w:val="006F685E"/>
    <w:rsid w:val="006F6880"/>
    <w:rsid w:val="006F6895"/>
    <w:rsid w:val="006F697C"/>
    <w:rsid w:val="006F6B61"/>
    <w:rsid w:val="006F6C3E"/>
    <w:rsid w:val="006F6F2E"/>
    <w:rsid w:val="006F744D"/>
    <w:rsid w:val="006F76D8"/>
    <w:rsid w:val="006F7852"/>
    <w:rsid w:val="006F78DE"/>
    <w:rsid w:val="006F7A8D"/>
    <w:rsid w:val="006F7E68"/>
    <w:rsid w:val="00700550"/>
    <w:rsid w:val="007005E8"/>
    <w:rsid w:val="0070098D"/>
    <w:rsid w:val="007009E3"/>
    <w:rsid w:val="00700A9D"/>
    <w:rsid w:val="00700DF0"/>
    <w:rsid w:val="007010F8"/>
    <w:rsid w:val="007011B6"/>
    <w:rsid w:val="00701200"/>
    <w:rsid w:val="00701207"/>
    <w:rsid w:val="00701566"/>
    <w:rsid w:val="00701818"/>
    <w:rsid w:val="00701841"/>
    <w:rsid w:val="00701916"/>
    <w:rsid w:val="00701B7C"/>
    <w:rsid w:val="00701F5A"/>
    <w:rsid w:val="007020CA"/>
    <w:rsid w:val="007022E8"/>
    <w:rsid w:val="007023EB"/>
    <w:rsid w:val="00702485"/>
    <w:rsid w:val="00702D68"/>
    <w:rsid w:val="00702D89"/>
    <w:rsid w:val="00702E46"/>
    <w:rsid w:val="00702ECD"/>
    <w:rsid w:val="00702F72"/>
    <w:rsid w:val="007034D9"/>
    <w:rsid w:val="0070391B"/>
    <w:rsid w:val="00703C4A"/>
    <w:rsid w:val="00703F77"/>
    <w:rsid w:val="00703F94"/>
    <w:rsid w:val="0070404D"/>
    <w:rsid w:val="007040DA"/>
    <w:rsid w:val="0070439B"/>
    <w:rsid w:val="00704512"/>
    <w:rsid w:val="0070464C"/>
    <w:rsid w:val="0070473A"/>
    <w:rsid w:val="0070474E"/>
    <w:rsid w:val="0070487D"/>
    <w:rsid w:val="007049E2"/>
    <w:rsid w:val="007054AE"/>
    <w:rsid w:val="007054CE"/>
    <w:rsid w:val="007056AF"/>
    <w:rsid w:val="007059EE"/>
    <w:rsid w:val="00705AA1"/>
    <w:rsid w:val="00705EDC"/>
    <w:rsid w:val="007060E2"/>
    <w:rsid w:val="00706234"/>
    <w:rsid w:val="00706322"/>
    <w:rsid w:val="00706722"/>
    <w:rsid w:val="007069E6"/>
    <w:rsid w:val="00706EF2"/>
    <w:rsid w:val="00706FA4"/>
    <w:rsid w:val="0070722A"/>
    <w:rsid w:val="00707421"/>
    <w:rsid w:val="00707447"/>
    <w:rsid w:val="007075EF"/>
    <w:rsid w:val="00707771"/>
    <w:rsid w:val="00707811"/>
    <w:rsid w:val="00707A02"/>
    <w:rsid w:val="00707B43"/>
    <w:rsid w:val="00707D72"/>
    <w:rsid w:val="00707E6F"/>
    <w:rsid w:val="00707FA2"/>
    <w:rsid w:val="00710523"/>
    <w:rsid w:val="00710590"/>
    <w:rsid w:val="0071085E"/>
    <w:rsid w:val="007108AF"/>
    <w:rsid w:val="007109F4"/>
    <w:rsid w:val="00711193"/>
    <w:rsid w:val="007115DC"/>
    <w:rsid w:val="0071181B"/>
    <w:rsid w:val="00711BDB"/>
    <w:rsid w:val="00711CBB"/>
    <w:rsid w:val="00711EA8"/>
    <w:rsid w:val="0071230A"/>
    <w:rsid w:val="00712A97"/>
    <w:rsid w:val="00712BF4"/>
    <w:rsid w:val="00712D48"/>
    <w:rsid w:val="007130D2"/>
    <w:rsid w:val="00713313"/>
    <w:rsid w:val="007133C1"/>
    <w:rsid w:val="007134B8"/>
    <w:rsid w:val="00713643"/>
    <w:rsid w:val="00713733"/>
    <w:rsid w:val="0071377E"/>
    <w:rsid w:val="0071386E"/>
    <w:rsid w:val="007139F0"/>
    <w:rsid w:val="00713BB8"/>
    <w:rsid w:val="00713D1C"/>
    <w:rsid w:val="007143F1"/>
    <w:rsid w:val="007147BE"/>
    <w:rsid w:val="007147C7"/>
    <w:rsid w:val="007149EA"/>
    <w:rsid w:val="00714A5D"/>
    <w:rsid w:val="00714CC5"/>
    <w:rsid w:val="007151D3"/>
    <w:rsid w:val="0071525D"/>
    <w:rsid w:val="007154B4"/>
    <w:rsid w:val="007158BD"/>
    <w:rsid w:val="00715C9F"/>
    <w:rsid w:val="00715CAE"/>
    <w:rsid w:val="00715E2F"/>
    <w:rsid w:val="0071604D"/>
    <w:rsid w:val="007163CC"/>
    <w:rsid w:val="0071642D"/>
    <w:rsid w:val="0071651C"/>
    <w:rsid w:val="00716631"/>
    <w:rsid w:val="007168E4"/>
    <w:rsid w:val="007169F0"/>
    <w:rsid w:val="00716A20"/>
    <w:rsid w:val="00716A83"/>
    <w:rsid w:val="00716F10"/>
    <w:rsid w:val="00717083"/>
    <w:rsid w:val="007170AD"/>
    <w:rsid w:val="00717216"/>
    <w:rsid w:val="00717368"/>
    <w:rsid w:val="007174CF"/>
    <w:rsid w:val="00717534"/>
    <w:rsid w:val="00717AAA"/>
    <w:rsid w:val="00717B02"/>
    <w:rsid w:val="00717B12"/>
    <w:rsid w:val="00717BE7"/>
    <w:rsid w:val="00717C31"/>
    <w:rsid w:val="00717EBB"/>
    <w:rsid w:val="00717EE1"/>
    <w:rsid w:val="00717F95"/>
    <w:rsid w:val="00720240"/>
    <w:rsid w:val="00720553"/>
    <w:rsid w:val="0072055E"/>
    <w:rsid w:val="00720671"/>
    <w:rsid w:val="00720701"/>
    <w:rsid w:val="00720739"/>
    <w:rsid w:val="007208FC"/>
    <w:rsid w:val="00720FD3"/>
    <w:rsid w:val="00721650"/>
    <w:rsid w:val="00721937"/>
    <w:rsid w:val="00721CFB"/>
    <w:rsid w:val="00721D66"/>
    <w:rsid w:val="00721DD1"/>
    <w:rsid w:val="00722287"/>
    <w:rsid w:val="0072229D"/>
    <w:rsid w:val="007223AF"/>
    <w:rsid w:val="0072240E"/>
    <w:rsid w:val="00722732"/>
    <w:rsid w:val="00722AB2"/>
    <w:rsid w:val="00722C71"/>
    <w:rsid w:val="00722EC2"/>
    <w:rsid w:val="00722F4B"/>
    <w:rsid w:val="00722F72"/>
    <w:rsid w:val="00723089"/>
    <w:rsid w:val="007237DF"/>
    <w:rsid w:val="007239E8"/>
    <w:rsid w:val="00723BC5"/>
    <w:rsid w:val="00723C11"/>
    <w:rsid w:val="00723C1D"/>
    <w:rsid w:val="00723C70"/>
    <w:rsid w:val="00724300"/>
    <w:rsid w:val="00724735"/>
    <w:rsid w:val="00724840"/>
    <w:rsid w:val="00724DB3"/>
    <w:rsid w:val="00724E48"/>
    <w:rsid w:val="007250DF"/>
    <w:rsid w:val="007250FA"/>
    <w:rsid w:val="00725212"/>
    <w:rsid w:val="00725339"/>
    <w:rsid w:val="00725560"/>
    <w:rsid w:val="0072559B"/>
    <w:rsid w:val="007256DC"/>
    <w:rsid w:val="00725804"/>
    <w:rsid w:val="00725D95"/>
    <w:rsid w:val="00725E5A"/>
    <w:rsid w:val="0072618D"/>
    <w:rsid w:val="00726251"/>
    <w:rsid w:val="007267D0"/>
    <w:rsid w:val="0072687A"/>
    <w:rsid w:val="00726886"/>
    <w:rsid w:val="00726CDD"/>
    <w:rsid w:val="00726D7B"/>
    <w:rsid w:val="007273AA"/>
    <w:rsid w:val="0072752D"/>
    <w:rsid w:val="00727904"/>
    <w:rsid w:val="00727B6B"/>
    <w:rsid w:val="00727C76"/>
    <w:rsid w:val="00727E7B"/>
    <w:rsid w:val="007301D7"/>
    <w:rsid w:val="00730362"/>
    <w:rsid w:val="0073065B"/>
    <w:rsid w:val="00730A89"/>
    <w:rsid w:val="00730D17"/>
    <w:rsid w:val="00730F27"/>
    <w:rsid w:val="0073108F"/>
    <w:rsid w:val="007310C2"/>
    <w:rsid w:val="0073160C"/>
    <w:rsid w:val="00731736"/>
    <w:rsid w:val="00731762"/>
    <w:rsid w:val="00731BD5"/>
    <w:rsid w:val="00731C2D"/>
    <w:rsid w:val="00731F60"/>
    <w:rsid w:val="007321C3"/>
    <w:rsid w:val="0073233A"/>
    <w:rsid w:val="007325E1"/>
    <w:rsid w:val="0073278D"/>
    <w:rsid w:val="007327D4"/>
    <w:rsid w:val="007327FF"/>
    <w:rsid w:val="00732991"/>
    <w:rsid w:val="00733052"/>
    <w:rsid w:val="007331D0"/>
    <w:rsid w:val="00733416"/>
    <w:rsid w:val="0073364A"/>
    <w:rsid w:val="0073366A"/>
    <w:rsid w:val="007336E6"/>
    <w:rsid w:val="007339EB"/>
    <w:rsid w:val="00733BA6"/>
    <w:rsid w:val="00733BE5"/>
    <w:rsid w:val="00734010"/>
    <w:rsid w:val="007342E8"/>
    <w:rsid w:val="0073474E"/>
    <w:rsid w:val="00734B01"/>
    <w:rsid w:val="00735520"/>
    <w:rsid w:val="00735BB3"/>
    <w:rsid w:val="00735C9C"/>
    <w:rsid w:val="007363FB"/>
    <w:rsid w:val="007364FA"/>
    <w:rsid w:val="0073661A"/>
    <w:rsid w:val="0073691A"/>
    <w:rsid w:val="00736CCD"/>
    <w:rsid w:val="00736D42"/>
    <w:rsid w:val="00736FED"/>
    <w:rsid w:val="0073715E"/>
    <w:rsid w:val="00737701"/>
    <w:rsid w:val="00737886"/>
    <w:rsid w:val="00737971"/>
    <w:rsid w:val="007379C7"/>
    <w:rsid w:val="00737DCE"/>
    <w:rsid w:val="007401C9"/>
    <w:rsid w:val="00740BDD"/>
    <w:rsid w:val="007416EA"/>
    <w:rsid w:val="007417BF"/>
    <w:rsid w:val="0074180F"/>
    <w:rsid w:val="007418B2"/>
    <w:rsid w:val="00741EF2"/>
    <w:rsid w:val="00741F1F"/>
    <w:rsid w:val="00741F36"/>
    <w:rsid w:val="0074248F"/>
    <w:rsid w:val="007426C5"/>
    <w:rsid w:val="00742A63"/>
    <w:rsid w:val="00742A81"/>
    <w:rsid w:val="00743199"/>
    <w:rsid w:val="00743278"/>
    <w:rsid w:val="0074338E"/>
    <w:rsid w:val="007435C9"/>
    <w:rsid w:val="007435E4"/>
    <w:rsid w:val="0074362B"/>
    <w:rsid w:val="00743630"/>
    <w:rsid w:val="00743890"/>
    <w:rsid w:val="007438A1"/>
    <w:rsid w:val="007439EB"/>
    <w:rsid w:val="00743B60"/>
    <w:rsid w:val="00743BB5"/>
    <w:rsid w:val="00743C0C"/>
    <w:rsid w:val="00743C0E"/>
    <w:rsid w:val="00743CDA"/>
    <w:rsid w:val="00743E1E"/>
    <w:rsid w:val="00743F85"/>
    <w:rsid w:val="007442D1"/>
    <w:rsid w:val="00744B4D"/>
    <w:rsid w:val="00744CB5"/>
    <w:rsid w:val="00744DBD"/>
    <w:rsid w:val="00744DD5"/>
    <w:rsid w:val="00744F57"/>
    <w:rsid w:val="0074523A"/>
    <w:rsid w:val="00745698"/>
    <w:rsid w:val="0074578C"/>
    <w:rsid w:val="0074587D"/>
    <w:rsid w:val="0074593F"/>
    <w:rsid w:val="00745F6B"/>
    <w:rsid w:val="00746169"/>
    <w:rsid w:val="007464ED"/>
    <w:rsid w:val="00746559"/>
    <w:rsid w:val="007466C4"/>
    <w:rsid w:val="0074672F"/>
    <w:rsid w:val="00746731"/>
    <w:rsid w:val="00746AAC"/>
    <w:rsid w:val="00746DC2"/>
    <w:rsid w:val="0074714B"/>
    <w:rsid w:val="00747556"/>
    <w:rsid w:val="007476B1"/>
    <w:rsid w:val="00747859"/>
    <w:rsid w:val="007479DD"/>
    <w:rsid w:val="00747D09"/>
    <w:rsid w:val="00747FCA"/>
    <w:rsid w:val="00747FF3"/>
    <w:rsid w:val="007502EE"/>
    <w:rsid w:val="00750888"/>
    <w:rsid w:val="00750B95"/>
    <w:rsid w:val="00750BC6"/>
    <w:rsid w:val="00750D65"/>
    <w:rsid w:val="00750DEB"/>
    <w:rsid w:val="00750F35"/>
    <w:rsid w:val="00750F8C"/>
    <w:rsid w:val="0075125D"/>
    <w:rsid w:val="0075157A"/>
    <w:rsid w:val="007516D8"/>
    <w:rsid w:val="007516F5"/>
    <w:rsid w:val="007517CC"/>
    <w:rsid w:val="007518E6"/>
    <w:rsid w:val="00751B44"/>
    <w:rsid w:val="00751BFC"/>
    <w:rsid w:val="00751DDD"/>
    <w:rsid w:val="00751F63"/>
    <w:rsid w:val="00752158"/>
    <w:rsid w:val="00752235"/>
    <w:rsid w:val="0075233A"/>
    <w:rsid w:val="00752448"/>
    <w:rsid w:val="00752510"/>
    <w:rsid w:val="0075256D"/>
    <w:rsid w:val="00752A44"/>
    <w:rsid w:val="00752B74"/>
    <w:rsid w:val="00752BC3"/>
    <w:rsid w:val="00752C10"/>
    <w:rsid w:val="00753248"/>
    <w:rsid w:val="007532F0"/>
    <w:rsid w:val="0075336C"/>
    <w:rsid w:val="00753376"/>
    <w:rsid w:val="0075396A"/>
    <w:rsid w:val="00753C3C"/>
    <w:rsid w:val="00753C46"/>
    <w:rsid w:val="00753D07"/>
    <w:rsid w:val="00753FE7"/>
    <w:rsid w:val="00754180"/>
    <w:rsid w:val="00754362"/>
    <w:rsid w:val="00754575"/>
    <w:rsid w:val="00754C99"/>
    <w:rsid w:val="0075507B"/>
    <w:rsid w:val="00755680"/>
    <w:rsid w:val="007556AD"/>
    <w:rsid w:val="0075578D"/>
    <w:rsid w:val="007558BE"/>
    <w:rsid w:val="00755952"/>
    <w:rsid w:val="00755D63"/>
    <w:rsid w:val="00755E32"/>
    <w:rsid w:val="00755E43"/>
    <w:rsid w:val="00755F45"/>
    <w:rsid w:val="00755F63"/>
    <w:rsid w:val="00756094"/>
    <w:rsid w:val="007569BF"/>
    <w:rsid w:val="00756C30"/>
    <w:rsid w:val="00756CB6"/>
    <w:rsid w:val="00757071"/>
    <w:rsid w:val="00757416"/>
    <w:rsid w:val="0075795C"/>
    <w:rsid w:val="00757A3B"/>
    <w:rsid w:val="00757AC9"/>
    <w:rsid w:val="0076038C"/>
    <w:rsid w:val="007604CE"/>
    <w:rsid w:val="00760524"/>
    <w:rsid w:val="007606EE"/>
    <w:rsid w:val="00760955"/>
    <w:rsid w:val="007609A9"/>
    <w:rsid w:val="00760CE9"/>
    <w:rsid w:val="00760DE0"/>
    <w:rsid w:val="00761067"/>
    <w:rsid w:val="007610F6"/>
    <w:rsid w:val="0076127B"/>
    <w:rsid w:val="00761349"/>
    <w:rsid w:val="00761B30"/>
    <w:rsid w:val="00761DC5"/>
    <w:rsid w:val="00761E06"/>
    <w:rsid w:val="0076207C"/>
    <w:rsid w:val="0076222C"/>
    <w:rsid w:val="007622AB"/>
    <w:rsid w:val="007624AE"/>
    <w:rsid w:val="00762609"/>
    <w:rsid w:val="00762805"/>
    <w:rsid w:val="00762937"/>
    <w:rsid w:val="00762A2E"/>
    <w:rsid w:val="00762B83"/>
    <w:rsid w:val="00762BC0"/>
    <w:rsid w:val="00763046"/>
    <w:rsid w:val="00763089"/>
    <w:rsid w:val="0076363D"/>
    <w:rsid w:val="0076368C"/>
    <w:rsid w:val="00763767"/>
    <w:rsid w:val="007637FA"/>
    <w:rsid w:val="00763B81"/>
    <w:rsid w:val="007644F5"/>
    <w:rsid w:val="0076475B"/>
    <w:rsid w:val="00764863"/>
    <w:rsid w:val="00764FDF"/>
    <w:rsid w:val="00765325"/>
    <w:rsid w:val="007653B0"/>
    <w:rsid w:val="00765407"/>
    <w:rsid w:val="00765521"/>
    <w:rsid w:val="007656B7"/>
    <w:rsid w:val="007657D0"/>
    <w:rsid w:val="0076588F"/>
    <w:rsid w:val="00765BA2"/>
    <w:rsid w:val="00765FF8"/>
    <w:rsid w:val="007662E5"/>
    <w:rsid w:val="007663B6"/>
    <w:rsid w:val="00766490"/>
    <w:rsid w:val="007664D3"/>
    <w:rsid w:val="00766555"/>
    <w:rsid w:val="007668D9"/>
    <w:rsid w:val="00766925"/>
    <w:rsid w:val="00766981"/>
    <w:rsid w:val="0076698A"/>
    <w:rsid w:val="00766991"/>
    <w:rsid w:val="00766D60"/>
    <w:rsid w:val="0076707D"/>
    <w:rsid w:val="0076751C"/>
    <w:rsid w:val="007676E8"/>
    <w:rsid w:val="00767736"/>
    <w:rsid w:val="00767886"/>
    <w:rsid w:val="00767B0B"/>
    <w:rsid w:val="007700A2"/>
    <w:rsid w:val="00770109"/>
    <w:rsid w:val="007702B1"/>
    <w:rsid w:val="007702B3"/>
    <w:rsid w:val="007702C2"/>
    <w:rsid w:val="007703C7"/>
    <w:rsid w:val="00770571"/>
    <w:rsid w:val="00770AB5"/>
    <w:rsid w:val="00770CDE"/>
    <w:rsid w:val="00770DD9"/>
    <w:rsid w:val="0077111E"/>
    <w:rsid w:val="007712E6"/>
    <w:rsid w:val="007715F5"/>
    <w:rsid w:val="00771664"/>
    <w:rsid w:val="00771891"/>
    <w:rsid w:val="007719CB"/>
    <w:rsid w:val="00771F04"/>
    <w:rsid w:val="00772247"/>
    <w:rsid w:val="00772439"/>
    <w:rsid w:val="007727BC"/>
    <w:rsid w:val="007729DE"/>
    <w:rsid w:val="00772B52"/>
    <w:rsid w:val="00772CA9"/>
    <w:rsid w:val="00772FAD"/>
    <w:rsid w:val="00773256"/>
    <w:rsid w:val="007732AB"/>
    <w:rsid w:val="007734E0"/>
    <w:rsid w:val="007736A7"/>
    <w:rsid w:val="00773757"/>
    <w:rsid w:val="00773863"/>
    <w:rsid w:val="00773916"/>
    <w:rsid w:val="00773956"/>
    <w:rsid w:val="00773EEB"/>
    <w:rsid w:val="00773F49"/>
    <w:rsid w:val="00773F8C"/>
    <w:rsid w:val="0077415A"/>
    <w:rsid w:val="007745A9"/>
    <w:rsid w:val="0077497D"/>
    <w:rsid w:val="00774DEE"/>
    <w:rsid w:val="00774F50"/>
    <w:rsid w:val="007750D8"/>
    <w:rsid w:val="00775131"/>
    <w:rsid w:val="00775188"/>
    <w:rsid w:val="0077576D"/>
    <w:rsid w:val="007758DA"/>
    <w:rsid w:val="00775A6F"/>
    <w:rsid w:val="00775D37"/>
    <w:rsid w:val="00776014"/>
    <w:rsid w:val="00776276"/>
    <w:rsid w:val="0077642F"/>
    <w:rsid w:val="0077663D"/>
    <w:rsid w:val="00776A06"/>
    <w:rsid w:val="00776B76"/>
    <w:rsid w:val="00776CE7"/>
    <w:rsid w:val="00776D6E"/>
    <w:rsid w:val="00776E7B"/>
    <w:rsid w:val="00777150"/>
    <w:rsid w:val="0077726B"/>
    <w:rsid w:val="00777D5E"/>
    <w:rsid w:val="00777F25"/>
    <w:rsid w:val="00777F49"/>
    <w:rsid w:val="00780221"/>
    <w:rsid w:val="0078028C"/>
    <w:rsid w:val="00780546"/>
    <w:rsid w:val="0078071C"/>
    <w:rsid w:val="00780809"/>
    <w:rsid w:val="00780B3F"/>
    <w:rsid w:val="00780D39"/>
    <w:rsid w:val="00780D86"/>
    <w:rsid w:val="00780F81"/>
    <w:rsid w:val="00781A1F"/>
    <w:rsid w:val="00781AD9"/>
    <w:rsid w:val="00781AFB"/>
    <w:rsid w:val="00781BCB"/>
    <w:rsid w:val="00781CE7"/>
    <w:rsid w:val="00782276"/>
    <w:rsid w:val="00782368"/>
    <w:rsid w:val="00782450"/>
    <w:rsid w:val="00782534"/>
    <w:rsid w:val="0078291F"/>
    <w:rsid w:val="00782B93"/>
    <w:rsid w:val="00782CA9"/>
    <w:rsid w:val="00783007"/>
    <w:rsid w:val="00783102"/>
    <w:rsid w:val="007831A9"/>
    <w:rsid w:val="0078321D"/>
    <w:rsid w:val="00783322"/>
    <w:rsid w:val="00783347"/>
    <w:rsid w:val="007833FC"/>
    <w:rsid w:val="00783463"/>
    <w:rsid w:val="00783D1B"/>
    <w:rsid w:val="00783F19"/>
    <w:rsid w:val="007842D6"/>
    <w:rsid w:val="007845DC"/>
    <w:rsid w:val="0078464E"/>
    <w:rsid w:val="007847D4"/>
    <w:rsid w:val="0078483F"/>
    <w:rsid w:val="00784AE9"/>
    <w:rsid w:val="00784C59"/>
    <w:rsid w:val="00784D85"/>
    <w:rsid w:val="00784D97"/>
    <w:rsid w:val="00784F46"/>
    <w:rsid w:val="00784FD9"/>
    <w:rsid w:val="0078526D"/>
    <w:rsid w:val="007852A0"/>
    <w:rsid w:val="0078553B"/>
    <w:rsid w:val="00785566"/>
    <w:rsid w:val="00785666"/>
    <w:rsid w:val="0078580D"/>
    <w:rsid w:val="00785895"/>
    <w:rsid w:val="007859D6"/>
    <w:rsid w:val="00785ADA"/>
    <w:rsid w:val="00785EFE"/>
    <w:rsid w:val="0078603F"/>
    <w:rsid w:val="00786130"/>
    <w:rsid w:val="00786882"/>
    <w:rsid w:val="00786DDA"/>
    <w:rsid w:val="00787272"/>
    <w:rsid w:val="00787490"/>
    <w:rsid w:val="007874D2"/>
    <w:rsid w:val="00787664"/>
    <w:rsid w:val="007877A0"/>
    <w:rsid w:val="007878BB"/>
    <w:rsid w:val="00787ACA"/>
    <w:rsid w:val="00787B9E"/>
    <w:rsid w:val="00787D2A"/>
    <w:rsid w:val="00787D91"/>
    <w:rsid w:val="00790043"/>
    <w:rsid w:val="007902C0"/>
    <w:rsid w:val="00790365"/>
    <w:rsid w:val="0079038B"/>
    <w:rsid w:val="007903BB"/>
    <w:rsid w:val="0079057D"/>
    <w:rsid w:val="00790775"/>
    <w:rsid w:val="007908CD"/>
    <w:rsid w:val="00790921"/>
    <w:rsid w:val="007909E3"/>
    <w:rsid w:val="00790A06"/>
    <w:rsid w:val="00790AA2"/>
    <w:rsid w:val="00790AFD"/>
    <w:rsid w:val="00790BA6"/>
    <w:rsid w:val="00790BED"/>
    <w:rsid w:val="00790D50"/>
    <w:rsid w:val="007910C5"/>
    <w:rsid w:val="007911B6"/>
    <w:rsid w:val="00791725"/>
    <w:rsid w:val="00791C87"/>
    <w:rsid w:val="00791F07"/>
    <w:rsid w:val="00792172"/>
    <w:rsid w:val="00792485"/>
    <w:rsid w:val="00792544"/>
    <w:rsid w:val="007927B8"/>
    <w:rsid w:val="00792AC1"/>
    <w:rsid w:val="00792DBE"/>
    <w:rsid w:val="00792F3E"/>
    <w:rsid w:val="0079327D"/>
    <w:rsid w:val="00793361"/>
    <w:rsid w:val="00793852"/>
    <w:rsid w:val="00793AAA"/>
    <w:rsid w:val="00793CE8"/>
    <w:rsid w:val="00793F16"/>
    <w:rsid w:val="007941BD"/>
    <w:rsid w:val="00794632"/>
    <w:rsid w:val="00794665"/>
    <w:rsid w:val="0079478E"/>
    <w:rsid w:val="007947F5"/>
    <w:rsid w:val="00794A11"/>
    <w:rsid w:val="00794AFF"/>
    <w:rsid w:val="00794B48"/>
    <w:rsid w:val="00794B7B"/>
    <w:rsid w:val="00794BEA"/>
    <w:rsid w:val="00794BF0"/>
    <w:rsid w:val="00794D7D"/>
    <w:rsid w:val="00795180"/>
    <w:rsid w:val="00795366"/>
    <w:rsid w:val="007957F5"/>
    <w:rsid w:val="00795DE7"/>
    <w:rsid w:val="00795EA7"/>
    <w:rsid w:val="00795F19"/>
    <w:rsid w:val="00796017"/>
    <w:rsid w:val="007960FE"/>
    <w:rsid w:val="00796196"/>
    <w:rsid w:val="00796251"/>
    <w:rsid w:val="007963A5"/>
    <w:rsid w:val="0079651F"/>
    <w:rsid w:val="00796696"/>
    <w:rsid w:val="00796723"/>
    <w:rsid w:val="007969CF"/>
    <w:rsid w:val="00796B92"/>
    <w:rsid w:val="00796C0F"/>
    <w:rsid w:val="00796CE7"/>
    <w:rsid w:val="00796E08"/>
    <w:rsid w:val="00797188"/>
    <w:rsid w:val="00797274"/>
    <w:rsid w:val="0079733F"/>
    <w:rsid w:val="0079762D"/>
    <w:rsid w:val="007977BC"/>
    <w:rsid w:val="0079792A"/>
    <w:rsid w:val="00797952"/>
    <w:rsid w:val="007979F0"/>
    <w:rsid w:val="00797B05"/>
    <w:rsid w:val="00797BBD"/>
    <w:rsid w:val="00797C7A"/>
    <w:rsid w:val="00797FEC"/>
    <w:rsid w:val="007A026E"/>
    <w:rsid w:val="007A03B0"/>
    <w:rsid w:val="007A0B13"/>
    <w:rsid w:val="007A0E54"/>
    <w:rsid w:val="007A0ECB"/>
    <w:rsid w:val="007A105F"/>
    <w:rsid w:val="007A13FA"/>
    <w:rsid w:val="007A1432"/>
    <w:rsid w:val="007A1475"/>
    <w:rsid w:val="007A1520"/>
    <w:rsid w:val="007A1552"/>
    <w:rsid w:val="007A17B9"/>
    <w:rsid w:val="007A183E"/>
    <w:rsid w:val="007A19A9"/>
    <w:rsid w:val="007A19B9"/>
    <w:rsid w:val="007A19DE"/>
    <w:rsid w:val="007A1B00"/>
    <w:rsid w:val="007A1B92"/>
    <w:rsid w:val="007A1D6E"/>
    <w:rsid w:val="007A23C8"/>
    <w:rsid w:val="007A23D2"/>
    <w:rsid w:val="007A23E9"/>
    <w:rsid w:val="007A25EA"/>
    <w:rsid w:val="007A2898"/>
    <w:rsid w:val="007A2A58"/>
    <w:rsid w:val="007A2C6A"/>
    <w:rsid w:val="007A2FAE"/>
    <w:rsid w:val="007A33F0"/>
    <w:rsid w:val="007A3B76"/>
    <w:rsid w:val="007A3E8C"/>
    <w:rsid w:val="007A3F61"/>
    <w:rsid w:val="007A4049"/>
    <w:rsid w:val="007A41C1"/>
    <w:rsid w:val="007A46EE"/>
    <w:rsid w:val="007A47D9"/>
    <w:rsid w:val="007A4C76"/>
    <w:rsid w:val="007A4C97"/>
    <w:rsid w:val="007A4CA2"/>
    <w:rsid w:val="007A4D06"/>
    <w:rsid w:val="007A4F7C"/>
    <w:rsid w:val="007A50FF"/>
    <w:rsid w:val="007A53F1"/>
    <w:rsid w:val="007A552C"/>
    <w:rsid w:val="007A5700"/>
    <w:rsid w:val="007A5736"/>
    <w:rsid w:val="007A5B57"/>
    <w:rsid w:val="007A5B58"/>
    <w:rsid w:val="007A5EB4"/>
    <w:rsid w:val="007A60C6"/>
    <w:rsid w:val="007A61B3"/>
    <w:rsid w:val="007A62F5"/>
    <w:rsid w:val="007A6500"/>
    <w:rsid w:val="007A6688"/>
    <w:rsid w:val="007A6748"/>
    <w:rsid w:val="007A68B4"/>
    <w:rsid w:val="007A6A64"/>
    <w:rsid w:val="007A6B10"/>
    <w:rsid w:val="007A6B8A"/>
    <w:rsid w:val="007A6D5C"/>
    <w:rsid w:val="007A6D6A"/>
    <w:rsid w:val="007A6E64"/>
    <w:rsid w:val="007A743A"/>
    <w:rsid w:val="007A77BD"/>
    <w:rsid w:val="007A7A55"/>
    <w:rsid w:val="007A7BA3"/>
    <w:rsid w:val="007A7CDC"/>
    <w:rsid w:val="007A7F3A"/>
    <w:rsid w:val="007B01BB"/>
    <w:rsid w:val="007B0410"/>
    <w:rsid w:val="007B08D0"/>
    <w:rsid w:val="007B0E1E"/>
    <w:rsid w:val="007B111D"/>
    <w:rsid w:val="007B119A"/>
    <w:rsid w:val="007B1966"/>
    <w:rsid w:val="007B19C2"/>
    <w:rsid w:val="007B1C2E"/>
    <w:rsid w:val="007B1EA7"/>
    <w:rsid w:val="007B1FB7"/>
    <w:rsid w:val="007B2113"/>
    <w:rsid w:val="007B219F"/>
    <w:rsid w:val="007B22A7"/>
    <w:rsid w:val="007B23AD"/>
    <w:rsid w:val="007B258C"/>
    <w:rsid w:val="007B2629"/>
    <w:rsid w:val="007B2700"/>
    <w:rsid w:val="007B299C"/>
    <w:rsid w:val="007B2B15"/>
    <w:rsid w:val="007B2B4F"/>
    <w:rsid w:val="007B2D4B"/>
    <w:rsid w:val="007B2E94"/>
    <w:rsid w:val="007B3411"/>
    <w:rsid w:val="007B37F8"/>
    <w:rsid w:val="007B3875"/>
    <w:rsid w:val="007B3C12"/>
    <w:rsid w:val="007B3F99"/>
    <w:rsid w:val="007B41F6"/>
    <w:rsid w:val="007B42BE"/>
    <w:rsid w:val="007B43E9"/>
    <w:rsid w:val="007B44AB"/>
    <w:rsid w:val="007B464B"/>
    <w:rsid w:val="007B4665"/>
    <w:rsid w:val="007B499F"/>
    <w:rsid w:val="007B4EFF"/>
    <w:rsid w:val="007B4F15"/>
    <w:rsid w:val="007B4FF1"/>
    <w:rsid w:val="007B5408"/>
    <w:rsid w:val="007B5564"/>
    <w:rsid w:val="007B557A"/>
    <w:rsid w:val="007B5834"/>
    <w:rsid w:val="007B5959"/>
    <w:rsid w:val="007B59AC"/>
    <w:rsid w:val="007B5DBF"/>
    <w:rsid w:val="007B5E0A"/>
    <w:rsid w:val="007B5FC5"/>
    <w:rsid w:val="007B605D"/>
    <w:rsid w:val="007B6185"/>
    <w:rsid w:val="007B624D"/>
    <w:rsid w:val="007B6305"/>
    <w:rsid w:val="007B646F"/>
    <w:rsid w:val="007B64C1"/>
    <w:rsid w:val="007B67D6"/>
    <w:rsid w:val="007B68A7"/>
    <w:rsid w:val="007B6B14"/>
    <w:rsid w:val="007B6B64"/>
    <w:rsid w:val="007B6D52"/>
    <w:rsid w:val="007B6E84"/>
    <w:rsid w:val="007B6EA1"/>
    <w:rsid w:val="007B6EF5"/>
    <w:rsid w:val="007B6F24"/>
    <w:rsid w:val="007B6F71"/>
    <w:rsid w:val="007B720D"/>
    <w:rsid w:val="007B73BC"/>
    <w:rsid w:val="007B757B"/>
    <w:rsid w:val="007B75A8"/>
    <w:rsid w:val="007B7775"/>
    <w:rsid w:val="007C023A"/>
    <w:rsid w:val="007C0276"/>
    <w:rsid w:val="007C092A"/>
    <w:rsid w:val="007C0951"/>
    <w:rsid w:val="007C0EB1"/>
    <w:rsid w:val="007C1069"/>
    <w:rsid w:val="007C1123"/>
    <w:rsid w:val="007C13CB"/>
    <w:rsid w:val="007C13F3"/>
    <w:rsid w:val="007C166C"/>
    <w:rsid w:val="007C16CF"/>
    <w:rsid w:val="007C174B"/>
    <w:rsid w:val="007C19A7"/>
    <w:rsid w:val="007C1CB8"/>
    <w:rsid w:val="007C2227"/>
    <w:rsid w:val="007C2368"/>
    <w:rsid w:val="007C241B"/>
    <w:rsid w:val="007C299F"/>
    <w:rsid w:val="007C2CDF"/>
    <w:rsid w:val="007C2D6B"/>
    <w:rsid w:val="007C2FDC"/>
    <w:rsid w:val="007C3321"/>
    <w:rsid w:val="007C34B7"/>
    <w:rsid w:val="007C3633"/>
    <w:rsid w:val="007C3796"/>
    <w:rsid w:val="007C3AC7"/>
    <w:rsid w:val="007C3B2F"/>
    <w:rsid w:val="007C4076"/>
    <w:rsid w:val="007C42F1"/>
    <w:rsid w:val="007C4332"/>
    <w:rsid w:val="007C4398"/>
    <w:rsid w:val="007C485B"/>
    <w:rsid w:val="007C48A6"/>
    <w:rsid w:val="007C49A3"/>
    <w:rsid w:val="007C4FD9"/>
    <w:rsid w:val="007C51FF"/>
    <w:rsid w:val="007C540B"/>
    <w:rsid w:val="007C54A8"/>
    <w:rsid w:val="007C54F0"/>
    <w:rsid w:val="007C5567"/>
    <w:rsid w:val="007C56A2"/>
    <w:rsid w:val="007C5709"/>
    <w:rsid w:val="007C58F0"/>
    <w:rsid w:val="007C5B16"/>
    <w:rsid w:val="007C5E47"/>
    <w:rsid w:val="007C61C4"/>
    <w:rsid w:val="007C624C"/>
    <w:rsid w:val="007C6259"/>
    <w:rsid w:val="007C6576"/>
    <w:rsid w:val="007C662F"/>
    <w:rsid w:val="007C6D54"/>
    <w:rsid w:val="007C6E0E"/>
    <w:rsid w:val="007C6E11"/>
    <w:rsid w:val="007C6E71"/>
    <w:rsid w:val="007C71FD"/>
    <w:rsid w:val="007C726B"/>
    <w:rsid w:val="007C73E9"/>
    <w:rsid w:val="007C771F"/>
    <w:rsid w:val="007C7832"/>
    <w:rsid w:val="007C7984"/>
    <w:rsid w:val="007C7C1E"/>
    <w:rsid w:val="007C7E23"/>
    <w:rsid w:val="007D014A"/>
    <w:rsid w:val="007D0841"/>
    <w:rsid w:val="007D0EC4"/>
    <w:rsid w:val="007D1238"/>
    <w:rsid w:val="007D1576"/>
    <w:rsid w:val="007D1726"/>
    <w:rsid w:val="007D1904"/>
    <w:rsid w:val="007D1C7A"/>
    <w:rsid w:val="007D1DF4"/>
    <w:rsid w:val="007D25B5"/>
    <w:rsid w:val="007D25DC"/>
    <w:rsid w:val="007D25DF"/>
    <w:rsid w:val="007D2713"/>
    <w:rsid w:val="007D2757"/>
    <w:rsid w:val="007D293D"/>
    <w:rsid w:val="007D2D03"/>
    <w:rsid w:val="007D3116"/>
    <w:rsid w:val="007D3445"/>
    <w:rsid w:val="007D3656"/>
    <w:rsid w:val="007D3840"/>
    <w:rsid w:val="007D39F5"/>
    <w:rsid w:val="007D3E91"/>
    <w:rsid w:val="007D406F"/>
    <w:rsid w:val="007D4162"/>
    <w:rsid w:val="007D4619"/>
    <w:rsid w:val="007D472A"/>
    <w:rsid w:val="007D49FA"/>
    <w:rsid w:val="007D4C71"/>
    <w:rsid w:val="007D4D44"/>
    <w:rsid w:val="007D4D9B"/>
    <w:rsid w:val="007D4F74"/>
    <w:rsid w:val="007D56D9"/>
    <w:rsid w:val="007D5796"/>
    <w:rsid w:val="007D5815"/>
    <w:rsid w:val="007D58D9"/>
    <w:rsid w:val="007D5C85"/>
    <w:rsid w:val="007D5C9F"/>
    <w:rsid w:val="007D5D84"/>
    <w:rsid w:val="007D64F5"/>
    <w:rsid w:val="007D65AD"/>
    <w:rsid w:val="007D66E8"/>
    <w:rsid w:val="007D6A8D"/>
    <w:rsid w:val="007D6BE1"/>
    <w:rsid w:val="007D70C3"/>
    <w:rsid w:val="007D72C7"/>
    <w:rsid w:val="007D73DD"/>
    <w:rsid w:val="007D772C"/>
    <w:rsid w:val="007D7936"/>
    <w:rsid w:val="007D7970"/>
    <w:rsid w:val="007D7A27"/>
    <w:rsid w:val="007D7AEF"/>
    <w:rsid w:val="007D7C40"/>
    <w:rsid w:val="007D7CCA"/>
    <w:rsid w:val="007E03D5"/>
    <w:rsid w:val="007E06F0"/>
    <w:rsid w:val="007E0955"/>
    <w:rsid w:val="007E0AF9"/>
    <w:rsid w:val="007E0C29"/>
    <w:rsid w:val="007E0EBE"/>
    <w:rsid w:val="007E1039"/>
    <w:rsid w:val="007E111E"/>
    <w:rsid w:val="007E11DF"/>
    <w:rsid w:val="007E13D2"/>
    <w:rsid w:val="007E1D22"/>
    <w:rsid w:val="007E1E6D"/>
    <w:rsid w:val="007E20F0"/>
    <w:rsid w:val="007E21A6"/>
    <w:rsid w:val="007E2209"/>
    <w:rsid w:val="007E244E"/>
    <w:rsid w:val="007E24AF"/>
    <w:rsid w:val="007E2784"/>
    <w:rsid w:val="007E2812"/>
    <w:rsid w:val="007E2912"/>
    <w:rsid w:val="007E2E9A"/>
    <w:rsid w:val="007E330C"/>
    <w:rsid w:val="007E33AC"/>
    <w:rsid w:val="007E3419"/>
    <w:rsid w:val="007E367D"/>
    <w:rsid w:val="007E36AB"/>
    <w:rsid w:val="007E3869"/>
    <w:rsid w:val="007E389D"/>
    <w:rsid w:val="007E3AEB"/>
    <w:rsid w:val="007E3D70"/>
    <w:rsid w:val="007E3D86"/>
    <w:rsid w:val="007E3F06"/>
    <w:rsid w:val="007E419A"/>
    <w:rsid w:val="007E4B63"/>
    <w:rsid w:val="007E4BB5"/>
    <w:rsid w:val="007E4DA1"/>
    <w:rsid w:val="007E4FE3"/>
    <w:rsid w:val="007E4FFF"/>
    <w:rsid w:val="007E511B"/>
    <w:rsid w:val="007E52AD"/>
    <w:rsid w:val="007E53A4"/>
    <w:rsid w:val="007E54D1"/>
    <w:rsid w:val="007E5D35"/>
    <w:rsid w:val="007E5ECD"/>
    <w:rsid w:val="007E6939"/>
    <w:rsid w:val="007E6A3A"/>
    <w:rsid w:val="007E6B09"/>
    <w:rsid w:val="007E713D"/>
    <w:rsid w:val="007E736B"/>
    <w:rsid w:val="007E741F"/>
    <w:rsid w:val="007E75E8"/>
    <w:rsid w:val="007E79C8"/>
    <w:rsid w:val="007E7A94"/>
    <w:rsid w:val="007E7E82"/>
    <w:rsid w:val="007E7EDD"/>
    <w:rsid w:val="007E7FA0"/>
    <w:rsid w:val="007F003B"/>
    <w:rsid w:val="007F02B0"/>
    <w:rsid w:val="007F05F2"/>
    <w:rsid w:val="007F0799"/>
    <w:rsid w:val="007F07DE"/>
    <w:rsid w:val="007F09FE"/>
    <w:rsid w:val="007F0C3B"/>
    <w:rsid w:val="007F0E64"/>
    <w:rsid w:val="007F12FA"/>
    <w:rsid w:val="007F134F"/>
    <w:rsid w:val="007F151F"/>
    <w:rsid w:val="007F155F"/>
    <w:rsid w:val="007F1BBD"/>
    <w:rsid w:val="007F1BF9"/>
    <w:rsid w:val="007F1C19"/>
    <w:rsid w:val="007F1CAF"/>
    <w:rsid w:val="007F1D3E"/>
    <w:rsid w:val="007F1F88"/>
    <w:rsid w:val="007F20AE"/>
    <w:rsid w:val="007F2374"/>
    <w:rsid w:val="007F275D"/>
    <w:rsid w:val="007F2C00"/>
    <w:rsid w:val="007F2CCB"/>
    <w:rsid w:val="007F2D6D"/>
    <w:rsid w:val="007F2DF0"/>
    <w:rsid w:val="007F3238"/>
    <w:rsid w:val="007F3332"/>
    <w:rsid w:val="007F34F2"/>
    <w:rsid w:val="007F35DF"/>
    <w:rsid w:val="007F3695"/>
    <w:rsid w:val="007F3792"/>
    <w:rsid w:val="007F37DB"/>
    <w:rsid w:val="007F3D47"/>
    <w:rsid w:val="007F3F5D"/>
    <w:rsid w:val="007F41BC"/>
    <w:rsid w:val="007F4570"/>
    <w:rsid w:val="007F4695"/>
    <w:rsid w:val="007F4C5A"/>
    <w:rsid w:val="007F4C95"/>
    <w:rsid w:val="007F4D23"/>
    <w:rsid w:val="007F504D"/>
    <w:rsid w:val="007F515C"/>
    <w:rsid w:val="007F5B8A"/>
    <w:rsid w:val="007F5C35"/>
    <w:rsid w:val="007F5DC5"/>
    <w:rsid w:val="007F5E27"/>
    <w:rsid w:val="007F5F7E"/>
    <w:rsid w:val="007F690F"/>
    <w:rsid w:val="007F6A29"/>
    <w:rsid w:val="007F6B67"/>
    <w:rsid w:val="007F6DF2"/>
    <w:rsid w:val="007F7061"/>
    <w:rsid w:val="007F7192"/>
    <w:rsid w:val="007F761B"/>
    <w:rsid w:val="007F768B"/>
    <w:rsid w:val="007F76A0"/>
    <w:rsid w:val="007F77D2"/>
    <w:rsid w:val="007F792D"/>
    <w:rsid w:val="007F7D07"/>
    <w:rsid w:val="00800293"/>
    <w:rsid w:val="00800403"/>
    <w:rsid w:val="00800583"/>
    <w:rsid w:val="008005C1"/>
    <w:rsid w:val="00800C39"/>
    <w:rsid w:val="00800CA7"/>
    <w:rsid w:val="008015B9"/>
    <w:rsid w:val="008015C5"/>
    <w:rsid w:val="0080170C"/>
    <w:rsid w:val="00801AF8"/>
    <w:rsid w:val="00801D58"/>
    <w:rsid w:val="00802111"/>
    <w:rsid w:val="00802264"/>
    <w:rsid w:val="008022FE"/>
    <w:rsid w:val="00802503"/>
    <w:rsid w:val="0080267D"/>
    <w:rsid w:val="0080269E"/>
    <w:rsid w:val="0080286F"/>
    <w:rsid w:val="00802AAE"/>
    <w:rsid w:val="00802C77"/>
    <w:rsid w:val="00802E15"/>
    <w:rsid w:val="00802E3B"/>
    <w:rsid w:val="008035F5"/>
    <w:rsid w:val="00803662"/>
    <w:rsid w:val="008036C0"/>
    <w:rsid w:val="00804219"/>
    <w:rsid w:val="00804276"/>
    <w:rsid w:val="0080444F"/>
    <w:rsid w:val="00804498"/>
    <w:rsid w:val="00804A07"/>
    <w:rsid w:val="00804A53"/>
    <w:rsid w:val="00804B98"/>
    <w:rsid w:val="00804E05"/>
    <w:rsid w:val="00804EA2"/>
    <w:rsid w:val="00804EF3"/>
    <w:rsid w:val="0080507D"/>
    <w:rsid w:val="008052CA"/>
    <w:rsid w:val="0080531C"/>
    <w:rsid w:val="00805369"/>
    <w:rsid w:val="00805C0F"/>
    <w:rsid w:val="00805C4A"/>
    <w:rsid w:val="00805FA9"/>
    <w:rsid w:val="008060A6"/>
    <w:rsid w:val="00806202"/>
    <w:rsid w:val="008063AF"/>
    <w:rsid w:val="0080641B"/>
    <w:rsid w:val="008064CE"/>
    <w:rsid w:val="0080655A"/>
    <w:rsid w:val="00806D11"/>
    <w:rsid w:val="00806D81"/>
    <w:rsid w:val="00806F2C"/>
    <w:rsid w:val="00806F91"/>
    <w:rsid w:val="008074D2"/>
    <w:rsid w:val="00807509"/>
    <w:rsid w:val="008076EC"/>
    <w:rsid w:val="00807774"/>
    <w:rsid w:val="0080796B"/>
    <w:rsid w:val="00807B2F"/>
    <w:rsid w:val="00807F75"/>
    <w:rsid w:val="008103F1"/>
    <w:rsid w:val="00810A40"/>
    <w:rsid w:val="00810B3C"/>
    <w:rsid w:val="00810BB2"/>
    <w:rsid w:val="00810C18"/>
    <w:rsid w:val="00810CD9"/>
    <w:rsid w:val="00810D9F"/>
    <w:rsid w:val="00810E82"/>
    <w:rsid w:val="00810FCA"/>
    <w:rsid w:val="008110CD"/>
    <w:rsid w:val="0081111D"/>
    <w:rsid w:val="00811148"/>
    <w:rsid w:val="0081125E"/>
    <w:rsid w:val="00811301"/>
    <w:rsid w:val="00811380"/>
    <w:rsid w:val="00811ADB"/>
    <w:rsid w:val="00811CD1"/>
    <w:rsid w:val="00811DC5"/>
    <w:rsid w:val="00811EF0"/>
    <w:rsid w:val="008120C2"/>
    <w:rsid w:val="008127F6"/>
    <w:rsid w:val="008129E6"/>
    <w:rsid w:val="00812C84"/>
    <w:rsid w:val="00812CAF"/>
    <w:rsid w:val="00812CBB"/>
    <w:rsid w:val="00812D49"/>
    <w:rsid w:val="00812F84"/>
    <w:rsid w:val="00813529"/>
    <w:rsid w:val="00813917"/>
    <w:rsid w:val="00813923"/>
    <w:rsid w:val="00813942"/>
    <w:rsid w:val="00813A9F"/>
    <w:rsid w:val="00813BB6"/>
    <w:rsid w:val="00813F60"/>
    <w:rsid w:val="0081402B"/>
    <w:rsid w:val="00814176"/>
    <w:rsid w:val="0081446A"/>
    <w:rsid w:val="00814590"/>
    <w:rsid w:val="00814778"/>
    <w:rsid w:val="00814E03"/>
    <w:rsid w:val="00814FA4"/>
    <w:rsid w:val="00814FEA"/>
    <w:rsid w:val="0081504A"/>
    <w:rsid w:val="00815399"/>
    <w:rsid w:val="008154DC"/>
    <w:rsid w:val="00815A20"/>
    <w:rsid w:val="00815B78"/>
    <w:rsid w:val="00815C20"/>
    <w:rsid w:val="008162BF"/>
    <w:rsid w:val="00816338"/>
    <w:rsid w:val="00816B1A"/>
    <w:rsid w:val="00817092"/>
    <w:rsid w:val="00817465"/>
    <w:rsid w:val="008176B7"/>
    <w:rsid w:val="00817782"/>
    <w:rsid w:val="00817839"/>
    <w:rsid w:val="00817B4B"/>
    <w:rsid w:val="00817C3E"/>
    <w:rsid w:val="00817F15"/>
    <w:rsid w:val="00817FFB"/>
    <w:rsid w:val="008202C3"/>
    <w:rsid w:val="00820327"/>
    <w:rsid w:val="008208EB"/>
    <w:rsid w:val="00820A12"/>
    <w:rsid w:val="00820AA7"/>
    <w:rsid w:val="00820E93"/>
    <w:rsid w:val="00820ED8"/>
    <w:rsid w:val="00821AB1"/>
    <w:rsid w:val="00821EAB"/>
    <w:rsid w:val="0082208F"/>
    <w:rsid w:val="00822102"/>
    <w:rsid w:val="0082248F"/>
    <w:rsid w:val="0082269A"/>
    <w:rsid w:val="008228E2"/>
    <w:rsid w:val="00822A53"/>
    <w:rsid w:val="00822AC7"/>
    <w:rsid w:val="00822E07"/>
    <w:rsid w:val="00823343"/>
    <w:rsid w:val="0082347F"/>
    <w:rsid w:val="008236A0"/>
    <w:rsid w:val="0082382A"/>
    <w:rsid w:val="0082396F"/>
    <w:rsid w:val="00823D5D"/>
    <w:rsid w:val="00823E94"/>
    <w:rsid w:val="00824D8A"/>
    <w:rsid w:val="00824F11"/>
    <w:rsid w:val="00825142"/>
    <w:rsid w:val="00825195"/>
    <w:rsid w:val="0082520D"/>
    <w:rsid w:val="0082556A"/>
    <w:rsid w:val="00825AC9"/>
    <w:rsid w:val="00825C1B"/>
    <w:rsid w:val="00825CAA"/>
    <w:rsid w:val="0082640F"/>
    <w:rsid w:val="008264DF"/>
    <w:rsid w:val="00826572"/>
    <w:rsid w:val="00826732"/>
    <w:rsid w:val="008267E6"/>
    <w:rsid w:val="0082681F"/>
    <w:rsid w:val="00826876"/>
    <w:rsid w:val="00826AB0"/>
    <w:rsid w:val="00826CDA"/>
    <w:rsid w:val="00827795"/>
    <w:rsid w:val="008277E7"/>
    <w:rsid w:val="00827874"/>
    <w:rsid w:val="008279DE"/>
    <w:rsid w:val="00827B7E"/>
    <w:rsid w:val="00827F8B"/>
    <w:rsid w:val="008305F1"/>
    <w:rsid w:val="0083072E"/>
    <w:rsid w:val="008308B1"/>
    <w:rsid w:val="00830A6D"/>
    <w:rsid w:val="00830D9B"/>
    <w:rsid w:val="00830DB4"/>
    <w:rsid w:val="00830E5F"/>
    <w:rsid w:val="00830EA7"/>
    <w:rsid w:val="00830F89"/>
    <w:rsid w:val="008311CA"/>
    <w:rsid w:val="008312EA"/>
    <w:rsid w:val="008316B9"/>
    <w:rsid w:val="00831738"/>
    <w:rsid w:val="00831782"/>
    <w:rsid w:val="008317D5"/>
    <w:rsid w:val="00831A15"/>
    <w:rsid w:val="00831B0A"/>
    <w:rsid w:val="00831B8F"/>
    <w:rsid w:val="00831C0A"/>
    <w:rsid w:val="00831D8F"/>
    <w:rsid w:val="00831E76"/>
    <w:rsid w:val="00831FCC"/>
    <w:rsid w:val="00832118"/>
    <w:rsid w:val="00832494"/>
    <w:rsid w:val="0083262B"/>
    <w:rsid w:val="00832951"/>
    <w:rsid w:val="00832B0D"/>
    <w:rsid w:val="00832E28"/>
    <w:rsid w:val="00832F4A"/>
    <w:rsid w:val="008332DC"/>
    <w:rsid w:val="008334B7"/>
    <w:rsid w:val="008334F3"/>
    <w:rsid w:val="0083364D"/>
    <w:rsid w:val="008337AD"/>
    <w:rsid w:val="00833C1C"/>
    <w:rsid w:val="0083400B"/>
    <w:rsid w:val="00834051"/>
    <w:rsid w:val="00834263"/>
    <w:rsid w:val="00834869"/>
    <w:rsid w:val="00834A82"/>
    <w:rsid w:val="00834B33"/>
    <w:rsid w:val="0083515B"/>
    <w:rsid w:val="008351C0"/>
    <w:rsid w:val="0083531D"/>
    <w:rsid w:val="00835412"/>
    <w:rsid w:val="0083585A"/>
    <w:rsid w:val="00835BEC"/>
    <w:rsid w:val="00835FFF"/>
    <w:rsid w:val="008363ED"/>
    <w:rsid w:val="008365D7"/>
    <w:rsid w:val="0083684E"/>
    <w:rsid w:val="00836969"/>
    <w:rsid w:val="00836D8F"/>
    <w:rsid w:val="00836F33"/>
    <w:rsid w:val="00837203"/>
    <w:rsid w:val="0083736F"/>
    <w:rsid w:val="00837560"/>
    <w:rsid w:val="00837737"/>
    <w:rsid w:val="00837870"/>
    <w:rsid w:val="008378EB"/>
    <w:rsid w:val="00837A37"/>
    <w:rsid w:val="00837B24"/>
    <w:rsid w:val="00837B8A"/>
    <w:rsid w:val="00837BF9"/>
    <w:rsid w:val="00837C04"/>
    <w:rsid w:val="00837C78"/>
    <w:rsid w:val="00837CE8"/>
    <w:rsid w:val="00837DDE"/>
    <w:rsid w:val="00837E0B"/>
    <w:rsid w:val="00837FE2"/>
    <w:rsid w:val="00840280"/>
    <w:rsid w:val="008403F7"/>
    <w:rsid w:val="00840495"/>
    <w:rsid w:val="008405E9"/>
    <w:rsid w:val="008407EC"/>
    <w:rsid w:val="00840997"/>
    <w:rsid w:val="00840A79"/>
    <w:rsid w:val="00840BDF"/>
    <w:rsid w:val="00840EA7"/>
    <w:rsid w:val="00841088"/>
    <w:rsid w:val="0084114D"/>
    <w:rsid w:val="00841387"/>
    <w:rsid w:val="00841508"/>
    <w:rsid w:val="008416A0"/>
    <w:rsid w:val="0084171C"/>
    <w:rsid w:val="00841933"/>
    <w:rsid w:val="00841956"/>
    <w:rsid w:val="00841A64"/>
    <w:rsid w:val="00841ADC"/>
    <w:rsid w:val="00841D6F"/>
    <w:rsid w:val="00841F2A"/>
    <w:rsid w:val="00841F92"/>
    <w:rsid w:val="0084210F"/>
    <w:rsid w:val="0084264A"/>
    <w:rsid w:val="00842936"/>
    <w:rsid w:val="00842C8F"/>
    <w:rsid w:val="00842CFD"/>
    <w:rsid w:val="00842D91"/>
    <w:rsid w:val="00842FC5"/>
    <w:rsid w:val="00843077"/>
    <w:rsid w:val="00843424"/>
    <w:rsid w:val="008438BB"/>
    <w:rsid w:val="008438D6"/>
    <w:rsid w:val="00843A07"/>
    <w:rsid w:val="00843E77"/>
    <w:rsid w:val="0084402A"/>
    <w:rsid w:val="00844483"/>
    <w:rsid w:val="00844769"/>
    <w:rsid w:val="0084476E"/>
    <w:rsid w:val="0084484B"/>
    <w:rsid w:val="00844A24"/>
    <w:rsid w:val="00844D05"/>
    <w:rsid w:val="00844D31"/>
    <w:rsid w:val="00844F0A"/>
    <w:rsid w:val="008450BF"/>
    <w:rsid w:val="008452A2"/>
    <w:rsid w:val="0084545A"/>
    <w:rsid w:val="008454B8"/>
    <w:rsid w:val="0084556C"/>
    <w:rsid w:val="008457DD"/>
    <w:rsid w:val="00845A8C"/>
    <w:rsid w:val="00845B43"/>
    <w:rsid w:val="00845D25"/>
    <w:rsid w:val="008466E9"/>
    <w:rsid w:val="00846789"/>
    <w:rsid w:val="008468ED"/>
    <w:rsid w:val="00846AC0"/>
    <w:rsid w:val="00846D20"/>
    <w:rsid w:val="00846D65"/>
    <w:rsid w:val="00847D28"/>
    <w:rsid w:val="00847DCD"/>
    <w:rsid w:val="00847E04"/>
    <w:rsid w:val="00847E4D"/>
    <w:rsid w:val="00850040"/>
    <w:rsid w:val="008500B4"/>
    <w:rsid w:val="008500F7"/>
    <w:rsid w:val="0085023E"/>
    <w:rsid w:val="0085040C"/>
    <w:rsid w:val="0085043E"/>
    <w:rsid w:val="008508ED"/>
    <w:rsid w:val="008509FC"/>
    <w:rsid w:val="00850A28"/>
    <w:rsid w:val="00850AAE"/>
    <w:rsid w:val="008513CD"/>
    <w:rsid w:val="00851449"/>
    <w:rsid w:val="0085199A"/>
    <w:rsid w:val="00851FA6"/>
    <w:rsid w:val="0085215B"/>
    <w:rsid w:val="0085220B"/>
    <w:rsid w:val="00852902"/>
    <w:rsid w:val="00852B06"/>
    <w:rsid w:val="00852B30"/>
    <w:rsid w:val="00852B4E"/>
    <w:rsid w:val="00852C15"/>
    <w:rsid w:val="00852D52"/>
    <w:rsid w:val="0085317A"/>
    <w:rsid w:val="008536CF"/>
    <w:rsid w:val="00853AB3"/>
    <w:rsid w:val="00853B2D"/>
    <w:rsid w:val="00853D05"/>
    <w:rsid w:val="00853D19"/>
    <w:rsid w:val="00854012"/>
    <w:rsid w:val="00854170"/>
    <w:rsid w:val="0085421F"/>
    <w:rsid w:val="00854264"/>
    <w:rsid w:val="00854386"/>
    <w:rsid w:val="0085458D"/>
    <w:rsid w:val="008548D3"/>
    <w:rsid w:val="0085492B"/>
    <w:rsid w:val="00854A4A"/>
    <w:rsid w:val="00854CF1"/>
    <w:rsid w:val="00854E52"/>
    <w:rsid w:val="0085543F"/>
    <w:rsid w:val="008554AA"/>
    <w:rsid w:val="0085551F"/>
    <w:rsid w:val="00855794"/>
    <w:rsid w:val="008558C7"/>
    <w:rsid w:val="00855C75"/>
    <w:rsid w:val="00855E71"/>
    <w:rsid w:val="00856470"/>
    <w:rsid w:val="0085652B"/>
    <w:rsid w:val="00856607"/>
    <w:rsid w:val="00856AAF"/>
    <w:rsid w:val="00856D79"/>
    <w:rsid w:val="00856F0D"/>
    <w:rsid w:val="008571AC"/>
    <w:rsid w:val="0085782D"/>
    <w:rsid w:val="00857BFA"/>
    <w:rsid w:val="00857DBC"/>
    <w:rsid w:val="008602EB"/>
    <w:rsid w:val="00860681"/>
    <w:rsid w:val="0086072B"/>
    <w:rsid w:val="00860778"/>
    <w:rsid w:val="0086087D"/>
    <w:rsid w:val="00860A50"/>
    <w:rsid w:val="00860CAD"/>
    <w:rsid w:val="00860CCA"/>
    <w:rsid w:val="00860D8D"/>
    <w:rsid w:val="00860E16"/>
    <w:rsid w:val="00860F51"/>
    <w:rsid w:val="00860F56"/>
    <w:rsid w:val="008612A0"/>
    <w:rsid w:val="00861447"/>
    <w:rsid w:val="008615CC"/>
    <w:rsid w:val="00861771"/>
    <w:rsid w:val="00861890"/>
    <w:rsid w:val="00861A9B"/>
    <w:rsid w:val="00861CF8"/>
    <w:rsid w:val="00861D6D"/>
    <w:rsid w:val="00861EFB"/>
    <w:rsid w:val="008620AA"/>
    <w:rsid w:val="00862104"/>
    <w:rsid w:val="008621CD"/>
    <w:rsid w:val="008622DD"/>
    <w:rsid w:val="00862305"/>
    <w:rsid w:val="008623F9"/>
    <w:rsid w:val="00862509"/>
    <w:rsid w:val="00862537"/>
    <w:rsid w:val="008626A8"/>
    <w:rsid w:val="00862706"/>
    <w:rsid w:val="008627E3"/>
    <w:rsid w:val="008628F3"/>
    <w:rsid w:val="00862AD8"/>
    <w:rsid w:val="008630D2"/>
    <w:rsid w:val="008632A7"/>
    <w:rsid w:val="008633D8"/>
    <w:rsid w:val="008633EB"/>
    <w:rsid w:val="008635F3"/>
    <w:rsid w:val="008636FD"/>
    <w:rsid w:val="0086393A"/>
    <w:rsid w:val="00863A61"/>
    <w:rsid w:val="00863BE0"/>
    <w:rsid w:val="00863BFF"/>
    <w:rsid w:val="00863C8C"/>
    <w:rsid w:val="00863DF6"/>
    <w:rsid w:val="00864249"/>
    <w:rsid w:val="0086437B"/>
    <w:rsid w:val="00864528"/>
    <w:rsid w:val="0086455D"/>
    <w:rsid w:val="00864812"/>
    <w:rsid w:val="008648A2"/>
    <w:rsid w:val="0086490B"/>
    <w:rsid w:val="00864979"/>
    <w:rsid w:val="00864CCB"/>
    <w:rsid w:val="00864D1B"/>
    <w:rsid w:val="00865113"/>
    <w:rsid w:val="00865375"/>
    <w:rsid w:val="00865698"/>
    <w:rsid w:val="0086583B"/>
    <w:rsid w:val="00865D21"/>
    <w:rsid w:val="00865DA1"/>
    <w:rsid w:val="00865E20"/>
    <w:rsid w:val="0086610B"/>
    <w:rsid w:val="00866172"/>
    <w:rsid w:val="008661A3"/>
    <w:rsid w:val="008665BB"/>
    <w:rsid w:val="00866636"/>
    <w:rsid w:val="00866715"/>
    <w:rsid w:val="00866CB8"/>
    <w:rsid w:val="0086714E"/>
    <w:rsid w:val="0086719C"/>
    <w:rsid w:val="00867526"/>
    <w:rsid w:val="00867627"/>
    <w:rsid w:val="008676E5"/>
    <w:rsid w:val="008678BE"/>
    <w:rsid w:val="00867946"/>
    <w:rsid w:val="00867A8E"/>
    <w:rsid w:val="00867F3F"/>
    <w:rsid w:val="008700D5"/>
    <w:rsid w:val="00870531"/>
    <w:rsid w:val="00870B15"/>
    <w:rsid w:val="00870D14"/>
    <w:rsid w:val="00870DAD"/>
    <w:rsid w:val="0087133D"/>
    <w:rsid w:val="008713FB"/>
    <w:rsid w:val="008715F0"/>
    <w:rsid w:val="0087168D"/>
    <w:rsid w:val="008716F2"/>
    <w:rsid w:val="008717F8"/>
    <w:rsid w:val="00871AC2"/>
    <w:rsid w:val="00871B3D"/>
    <w:rsid w:val="00871B52"/>
    <w:rsid w:val="00871C44"/>
    <w:rsid w:val="00871CA1"/>
    <w:rsid w:val="00871CD2"/>
    <w:rsid w:val="00871CE4"/>
    <w:rsid w:val="00871E5B"/>
    <w:rsid w:val="00871FB4"/>
    <w:rsid w:val="00872084"/>
    <w:rsid w:val="008722E5"/>
    <w:rsid w:val="0087260C"/>
    <w:rsid w:val="0087260D"/>
    <w:rsid w:val="008728F6"/>
    <w:rsid w:val="00872A37"/>
    <w:rsid w:val="00872CAB"/>
    <w:rsid w:val="00872E74"/>
    <w:rsid w:val="00872F18"/>
    <w:rsid w:val="008731AA"/>
    <w:rsid w:val="008734B5"/>
    <w:rsid w:val="0087354F"/>
    <w:rsid w:val="008737F7"/>
    <w:rsid w:val="00873977"/>
    <w:rsid w:val="00873C0A"/>
    <w:rsid w:val="0087400D"/>
    <w:rsid w:val="008740DA"/>
    <w:rsid w:val="0087416A"/>
    <w:rsid w:val="008743A4"/>
    <w:rsid w:val="008743E7"/>
    <w:rsid w:val="00874411"/>
    <w:rsid w:val="00874742"/>
    <w:rsid w:val="00874CE5"/>
    <w:rsid w:val="0087512C"/>
    <w:rsid w:val="00875206"/>
    <w:rsid w:val="008755D8"/>
    <w:rsid w:val="0087560C"/>
    <w:rsid w:val="0087578F"/>
    <w:rsid w:val="008759F4"/>
    <w:rsid w:val="00875B5C"/>
    <w:rsid w:val="00875BC8"/>
    <w:rsid w:val="00875E62"/>
    <w:rsid w:val="00876073"/>
    <w:rsid w:val="00876295"/>
    <w:rsid w:val="0087640D"/>
    <w:rsid w:val="00876545"/>
    <w:rsid w:val="008765D4"/>
    <w:rsid w:val="00876755"/>
    <w:rsid w:val="00877206"/>
    <w:rsid w:val="008773E7"/>
    <w:rsid w:val="00877441"/>
    <w:rsid w:val="008775C9"/>
    <w:rsid w:val="0087763D"/>
    <w:rsid w:val="00877762"/>
    <w:rsid w:val="00877771"/>
    <w:rsid w:val="00877C1E"/>
    <w:rsid w:val="00877DFE"/>
    <w:rsid w:val="00880134"/>
    <w:rsid w:val="00880153"/>
    <w:rsid w:val="00880226"/>
    <w:rsid w:val="0088046D"/>
    <w:rsid w:val="00880561"/>
    <w:rsid w:val="008805AD"/>
    <w:rsid w:val="00880A22"/>
    <w:rsid w:val="00880E0B"/>
    <w:rsid w:val="00881172"/>
    <w:rsid w:val="008811AE"/>
    <w:rsid w:val="008816B9"/>
    <w:rsid w:val="00881982"/>
    <w:rsid w:val="00881D6B"/>
    <w:rsid w:val="008820D1"/>
    <w:rsid w:val="008822D5"/>
    <w:rsid w:val="0088250A"/>
    <w:rsid w:val="00882722"/>
    <w:rsid w:val="0088276D"/>
    <w:rsid w:val="008828D4"/>
    <w:rsid w:val="008828DC"/>
    <w:rsid w:val="00882AB0"/>
    <w:rsid w:val="00882E65"/>
    <w:rsid w:val="00882E7B"/>
    <w:rsid w:val="00882F0A"/>
    <w:rsid w:val="00883064"/>
    <w:rsid w:val="00883086"/>
    <w:rsid w:val="00883264"/>
    <w:rsid w:val="008836AF"/>
    <w:rsid w:val="008838BA"/>
    <w:rsid w:val="008838F2"/>
    <w:rsid w:val="0088396C"/>
    <w:rsid w:val="00883AB0"/>
    <w:rsid w:val="00883AC8"/>
    <w:rsid w:val="00883B69"/>
    <w:rsid w:val="00884110"/>
    <w:rsid w:val="0088477A"/>
    <w:rsid w:val="00884967"/>
    <w:rsid w:val="0088506F"/>
    <w:rsid w:val="00885327"/>
    <w:rsid w:val="00885586"/>
    <w:rsid w:val="00885606"/>
    <w:rsid w:val="008857A2"/>
    <w:rsid w:val="00885AB2"/>
    <w:rsid w:val="00885BEC"/>
    <w:rsid w:val="00885D14"/>
    <w:rsid w:val="00885D9B"/>
    <w:rsid w:val="00885F03"/>
    <w:rsid w:val="00885F5A"/>
    <w:rsid w:val="008860A4"/>
    <w:rsid w:val="008862A9"/>
    <w:rsid w:val="00886613"/>
    <w:rsid w:val="00886908"/>
    <w:rsid w:val="00886A8B"/>
    <w:rsid w:val="00886D85"/>
    <w:rsid w:val="00887048"/>
    <w:rsid w:val="008872EF"/>
    <w:rsid w:val="00887571"/>
    <w:rsid w:val="00887582"/>
    <w:rsid w:val="008877F8"/>
    <w:rsid w:val="00887838"/>
    <w:rsid w:val="00887D9F"/>
    <w:rsid w:val="00890120"/>
    <w:rsid w:val="00890426"/>
    <w:rsid w:val="008904F8"/>
    <w:rsid w:val="008906CE"/>
    <w:rsid w:val="008909AE"/>
    <w:rsid w:val="00890A7F"/>
    <w:rsid w:val="00890C1A"/>
    <w:rsid w:val="00890D20"/>
    <w:rsid w:val="00890EAE"/>
    <w:rsid w:val="00890EE4"/>
    <w:rsid w:val="00891080"/>
    <w:rsid w:val="0089113A"/>
    <w:rsid w:val="008911C9"/>
    <w:rsid w:val="00891318"/>
    <w:rsid w:val="008914D1"/>
    <w:rsid w:val="0089154F"/>
    <w:rsid w:val="0089174B"/>
    <w:rsid w:val="008918BA"/>
    <w:rsid w:val="00891C96"/>
    <w:rsid w:val="00891CDA"/>
    <w:rsid w:val="00891F2A"/>
    <w:rsid w:val="00892085"/>
    <w:rsid w:val="00892289"/>
    <w:rsid w:val="008922DE"/>
    <w:rsid w:val="0089231B"/>
    <w:rsid w:val="008926FD"/>
    <w:rsid w:val="00892745"/>
    <w:rsid w:val="00892796"/>
    <w:rsid w:val="008927C1"/>
    <w:rsid w:val="00892969"/>
    <w:rsid w:val="00892ADC"/>
    <w:rsid w:val="00892D8D"/>
    <w:rsid w:val="00892E6B"/>
    <w:rsid w:val="00892F69"/>
    <w:rsid w:val="0089362C"/>
    <w:rsid w:val="00893805"/>
    <w:rsid w:val="00893883"/>
    <w:rsid w:val="00893A14"/>
    <w:rsid w:val="00893B20"/>
    <w:rsid w:val="00893C61"/>
    <w:rsid w:val="00893CF2"/>
    <w:rsid w:val="00893E02"/>
    <w:rsid w:val="00893FE7"/>
    <w:rsid w:val="00894008"/>
    <w:rsid w:val="00894247"/>
    <w:rsid w:val="0089434A"/>
    <w:rsid w:val="00894366"/>
    <w:rsid w:val="0089496A"/>
    <w:rsid w:val="00894A31"/>
    <w:rsid w:val="00894BB1"/>
    <w:rsid w:val="00894BB6"/>
    <w:rsid w:val="00894CD8"/>
    <w:rsid w:val="00894D52"/>
    <w:rsid w:val="00894E14"/>
    <w:rsid w:val="00894FA4"/>
    <w:rsid w:val="0089501E"/>
    <w:rsid w:val="0089507D"/>
    <w:rsid w:val="00895271"/>
    <w:rsid w:val="008954D9"/>
    <w:rsid w:val="0089562F"/>
    <w:rsid w:val="00895759"/>
    <w:rsid w:val="008957DB"/>
    <w:rsid w:val="008958DC"/>
    <w:rsid w:val="00895BCC"/>
    <w:rsid w:val="0089617A"/>
    <w:rsid w:val="00896707"/>
    <w:rsid w:val="00896729"/>
    <w:rsid w:val="00896860"/>
    <w:rsid w:val="00896A3F"/>
    <w:rsid w:val="00896B2A"/>
    <w:rsid w:val="00896D30"/>
    <w:rsid w:val="00896F23"/>
    <w:rsid w:val="00896F66"/>
    <w:rsid w:val="0089705A"/>
    <w:rsid w:val="008973EC"/>
    <w:rsid w:val="008974B9"/>
    <w:rsid w:val="008974DE"/>
    <w:rsid w:val="00897547"/>
    <w:rsid w:val="00897648"/>
    <w:rsid w:val="008979BA"/>
    <w:rsid w:val="008979F8"/>
    <w:rsid w:val="00897D6E"/>
    <w:rsid w:val="00897E49"/>
    <w:rsid w:val="008A0064"/>
    <w:rsid w:val="008A01AE"/>
    <w:rsid w:val="008A02A5"/>
    <w:rsid w:val="008A06DE"/>
    <w:rsid w:val="008A09A1"/>
    <w:rsid w:val="008A0A9F"/>
    <w:rsid w:val="008A1368"/>
    <w:rsid w:val="008A1731"/>
    <w:rsid w:val="008A18D0"/>
    <w:rsid w:val="008A19A4"/>
    <w:rsid w:val="008A1AF4"/>
    <w:rsid w:val="008A1FAE"/>
    <w:rsid w:val="008A22F0"/>
    <w:rsid w:val="008A23BC"/>
    <w:rsid w:val="008A23DB"/>
    <w:rsid w:val="008A271E"/>
    <w:rsid w:val="008A2807"/>
    <w:rsid w:val="008A28F1"/>
    <w:rsid w:val="008A2A04"/>
    <w:rsid w:val="008A2AE3"/>
    <w:rsid w:val="008A2DA2"/>
    <w:rsid w:val="008A2F64"/>
    <w:rsid w:val="008A2FFE"/>
    <w:rsid w:val="008A3100"/>
    <w:rsid w:val="008A3129"/>
    <w:rsid w:val="008A32C2"/>
    <w:rsid w:val="008A32F7"/>
    <w:rsid w:val="008A32F9"/>
    <w:rsid w:val="008A3462"/>
    <w:rsid w:val="008A3795"/>
    <w:rsid w:val="008A3B82"/>
    <w:rsid w:val="008A3C51"/>
    <w:rsid w:val="008A3C63"/>
    <w:rsid w:val="008A3CAE"/>
    <w:rsid w:val="008A3F79"/>
    <w:rsid w:val="008A3FD6"/>
    <w:rsid w:val="008A4033"/>
    <w:rsid w:val="008A40D7"/>
    <w:rsid w:val="008A4197"/>
    <w:rsid w:val="008A4208"/>
    <w:rsid w:val="008A42EB"/>
    <w:rsid w:val="008A44F2"/>
    <w:rsid w:val="008A467F"/>
    <w:rsid w:val="008A470D"/>
    <w:rsid w:val="008A477A"/>
    <w:rsid w:val="008A47D1"/>
    <w:rsid w:val="008A47E1"/>
    <w:rsid w:val="008A48D6"/>
    <w:rsid w:val="008A4B6C"/>
    <w:rsid w:val="008A4CDB"/>
    <w:rsid w:val="008A4D63"/>
    <w:rsid w:val="008A510D"/>
    <w:rsid w:val="008A51AC"/>
    <w:rsid w:val="008A52EC"/>
    <w:rsid w:val="008A58B0"/>
    <w:rsid w:val="008A5939"/>
    <w:rsid w:val="008A5BED"/>
    <w:rsid w:val="008A5F5E"/>
    <w:rsid w:val="008A6107"/>
    <w:rsid w:val="008A61D4"/>
    <w:rsid w:val="008A62E4"/>
    <w:rsid w:val="008A6781"/>
    <w:rsid w:val="008A6A06"/>
    <w:rsid w:val="008A6AE0"/>
    <w:rsid w:val="008A6C6E"/>
    <w:rsid w:val="008A6CCC"/>
    <w:rsid w:val="008A6D89"/>
    <w:rsid w:val="008A720E"/>
    <w:rsid w:val="008A7239"/>
    <w:rsid w:val="008A726A"/>
    <w:rsid w:val="008A73C0"/>
    <w:rsid w:val="008A752E"/>
    <w:rsid w:val="008A779F"/>
    <w:rsid w:val="008B07DF"/>
    <w:rsid w:val="008B094B"/>
    <w:rsid w:val="008B145C"/>
    <w:rsid w:val="008B1482"/>
    <w:rsid w:val="008B157C"/>
    <w:rsid w:val="008B162C"/>
    <w:rsid w:val="008B177D"/>
    <w:rsid w:val="008B19B9"/>
    <w:rsid w:val="008B1A7B"/>
    <w:rsid w:val="008B1BB6"/>
    <w:rsid w:val="008B1EEE"/>
    <w:rsid w:val="008B2077"/>
    <w:rsid w:val="008B21C6"/>
    <w:rsid w:val="008B27BE"/>
    <w:rsid w:val="008B2E88"/>
    <w:rsid w:val="008B33A9"/>
    <w:rsid w:val="008B3A86"/>
    <w:rsid w:val="008B3AF2"/>
    <w:rsid w:val="008B3F23"/>
    <w:rsid w:val="008B4399"/>
    <w:rsid w:val="008B496C"/>
    <w:rsid w:val="008B49B7"/>
    <w:rsid w:val="008B4BED"/>
    <w:rsid w:val="008B5025"/>
    <w:rsid w:val="008B53F7"/>
    <w:rsid w:val="008B575A"/>
    <w:rsid w:val="008B591C"/>
    <w:rsid w:val="008B5979"/>
    <w:rsid w:val="008B5B44"/>
    <w:rsid w:val="008B5E1E"/>
    <w:rsid w:val="008B628A"/>
    <w:rsid w:val="008B6318"/>
    <w:rsid w:val="008B6427"/>
    <w:rsid w:val="008B649E"/>
    <w:rsid w:val="008B67E0"/>
    <w:rsid w:val="008B6908"/>
    <w:rsid w:val="008B6A60"/>
    <w:rsid w:val="008B6B25"/>
    <w:rsid w:val="008B6F0E"/>
    <w:rsid w:val="008B6F5A"/>
    <w:rsid w:val="008B731C"/>
    <w:rsid w:val="008B734C"/>
    <w:rsid w:val="008B745B"/>
    <w:rsid w:val="008B7877"/>
    <w:rsid w:val="008B78EC"/>
    <w:rsid w:val="008B7E11"/>
    <w:rsid w:val="008B7FDA"/>
    <w:rsid w:val="008C00ED"/>
    <w:rsid w:val="008C0275"/>
    <w:rsid w:val="008C0B0E"/>
    <w:rsid w:val="008C0BF4"/>
    <w:rsid w:val="008C0C0F"/>
    <w:rsid w:val="008C0D65"/>
    <w:rsid w:val="008C0E64"/>
    <w:rsid w:val="008C138C"/>
    <w:rsid w:val="008C163F"/>
    <w:rsid w:val="008C1761"/>
    <w:rsid w:val="008C18E8"/>
    <w:rsid w:val="008C1ABE"/>
    <w:rsid w:val="008C1ACB"/>
    <w:rsid w:val="008C1D4A"/>
    <w:rsid w:val="008C1E20"/>
    <w:rsid w:val="008C23A4"/>
    <w:rsid w:val="008C23E7"/>
    <w:rsid w:val="008C251A"/>
    <w:rsid w:val="008C26C8"/>
    <w:rsid w:val="008C27A3"/>
    <w:rsid w:val="008C289B"/>
    <w:rsid w:val="008C2956"/>
    <w:rsid w:val="008C2C78"/>
    <w:rsid w:val="008C2CBC"/>
    <w:rsid w:val="008C3136"/>
    <w:rsid w:val="008C339A"/>
    <w:rsid w:val="008C34F6"/>
    <w:rsid w:val="008C37AC"/>
    <w:rsid w:val="008C3D46"/>
    <w:rsid w:val="008C3F10"/>
    <w:rsid w:val="008C4032"/>
    <w:rsid w:val="008C4252"/>
    <w:rsid w:val="008C43C5"/>
    <w:rsid w:val="008C43F7"/>
    <w:rsid w:val="008C4691"/>
    <w:rsid w:val="008C4BB7"/>
    <w:rsid w:val="008C4F16"/>
    <w:rsid w:val="008C4F33"/>
    <w:rsid w:val="008C5143"/>
    <w:rsid w:val="008C5173"/>
    <w:rsid w:val="008C51F3"/>
    <w:rsid w:val="008C53F7"/>
    <w:rsid w:val="008C557B"/>
    <w:rsid w:val="008C5AC6"/>
    <w:rsid w:val="008C5D81"/>
    <w:rsid w:val="008C5EA5"/>
    <w:rsid w:val="008C5EDA"/>
    <w:rsid w:val="008C5F2C"/>
    <w:rsid w:val="008C6391"/>
    <w:rsid w:val="008C68E5"/>
    <w:rsid w:val="008C6D15"/>
    <w:rsid w:val="008C6EBA"/>
    <w:rsid w:val="008C6FED"/>
    <w:rsid w:val="008C7007"/>
    <w:rsid w:val="008C7D62"/>
    <w:rsid w:val="008D0200"/>
    <w:rsid w:val="008D04CF"/>
    <w:rsid w:val="008D0678"/>
    <w:rsid w:val="008D0760"/>
    <w:rsid w:val="008D08AF"/>
    <w:rsid w:val="008D10AD"/>
    <w:rsid w:val="008D125B"/>
    <w:rsid w:val="008D13A9"/>
    <w:rsid w:val="008D1639"/>
    <w:rsid w:val="008D181B"/>
    <w:rsid w:val="008D1BDE"/>
    <w:rsid w:val="008D1F13"/>
    <w:rsid w:val="008D2017"/>
    <w:rsid w:val="008D2802"/>
    <w:rsid w:val="008D2A7C"/>
    <w:rsid w:val="008D2A87"/>
    <w:rsid w:val="008D2AE4"/>
    <w:rsid w:val="008D2CDC"/>
    <w:rsid w:val="008D313E"/>
    <w:rsid w:val="008D314B"/>
    <w:rsid w:val="008D33FD"/>
    <w:rsid w:val="008D34D8"/>
    <w:rsid w:val="008D3BE2"/>
    <w:rsid w:val="008D3F81"/>
    <w:rsid w:val="008D3FFE"/>
    <w:rsid w:val="008D419F"/>
    <w:rsid w:val="008D4738"/>
    <w:rsid w:val="008D494C"/>
    <w:rsid w:val="008D4D83"/>
    <w:rsid w:val="008D519C"/>
    <w:rsid w:val="008D5327"/>
    <w:rsid w:val="008D542B"/>
    <w:rsid w:val="008D5540"/>
    <w:rsid w:val="008D5594"/>
    <w:rsid w:val="008D5670"/>
    <w:rsid w:val="008D56CE"/>
    <w:rsid w:val="008D58BD"/>
    <w:rsid w:val="008D5B0C"/>
    <w:rsid w:val="008D5C62"/>
    <w:rsid w:val="008D5C7C"/>
    <w:rsid w:val="008D5D17"/>
    <w:rsid w:val="008D5EDA"/>
    <w:rsid w:val="008D60AE"/>
    <w:rsid w:val="008D60CB"/>
    <w:rsid w:val="008D6345"/>
    <w:rsid w:val="008D65CC"/>
    <w:rsid w:val="008D6AB7"/>
    <w:rsid w:val="008D6D4E"/>
    <w:rsid w:val="008D729C"/>
    <w:rsid w:val="008D73CC"/>
    <w:rsid w:val="008D73ED"/>
    <w:rsid w:val="008D7423"/>
    <w:rsid w:val="008D7997"/>
    <w:rsid w:val="008D7A2E"/>
    <w:rsid w:val="008D7A87"/>
    <w:rsid w:val="008D7CEF"/>
    <w:rsid w:val="008D7E4D"/>
    <w:rsid w:val="008E018E"/>
    <w:rsid w:val="008E02BB"/>
    <w:rsid w:val="008E0800"/>
    <w:rsid w:val="008E0808"/>
    <w:rsid w:val="008E0847"/>
    <w:rsid w:val="008E088F"/>
    <w:rsid w:val="008E097D"/>
    <w:rsid w:val="008E0A2A"/>
    <w:rsid w:val="008E0C22"/>
    <w:rsid w:val="008E0C94"/>
    <w:rsid w:val="008E10E0"/>
    <w:rsid w:val="008E1575"/>
    <w:rsid w:val="008E1791"/>
    <w:rsid w:val="008E1ABE"/>
    <w:rsid w:val="008E2055"/>
    <w:rsid w:val="008E2562"/>
    <w:rsid w:val="008E2850"/>
    <w:rsid w:val="008E2B8A"/>
    <w:rsid w:val="008E2D6D"/>
    <w:rsid w:val="008E2D79"/>
    <w:rsid w:val="008E2E7E"/>
    <w:rsid w:val="008E3025"/>
    <w:rsid w:val="008E307B"/>
    <w:rsid w:val="008E338D"/>
    <w:rsid w:val="008E3468"/>
    <w:rsid w:val="008E3506"/>
    <w:rsid w:val="008E3513"/>
    <w:rsid w:val="008E359F"/>
    <w:rsid w:val="008E3943"/>
    <w:rsid w:val="008E3982"/>
    <w:rsid w:val="008E3ABD"/>
    <w:rsid w:val="008E3FEA"/>
    <w:rsid w:val="008E448E"/>
    <w:rsid w:val="008E4C81"/>
    <w:rsid w:val="008E4E99"/>
    <w:rsid w:val="008E4F2D"/>
    <w:rsid w:val="008E5535"/>
    <w:rsid w:val="008E5583"/>
    <w:rsid w:val="008E5871"/>
    <w:rsid w:val="008E5B65"/>
    <w:rsid w:val="008E5D29"/>
    <w:rsid w:val="008E5E52"/>
    <w:rsid w:val="008E6020"/>
    <w:rsid w:val="008E6A37"/>
    <w:rsid w:val="008E728C"/>
    <w:rsid w:val="008E763A"/>
    <w:rsid w:val="008E79F9"/>
    <w:rsid w:val="008E7C37"/>
    <w:rsid w:val="008E7D27"/>
    <w:rsid w:val="008E7E92"/>
    <w:rsid w:val="008F0121"/>
    <w:rsid w:val="008F03B7"/>
    <w:rsid w:val="008F056D"/>
    <w:rsid w:val="008F07B0"/>
    <w:rsid w:val="008F07E3"/>
    <w:rsid w:val="008F0ABC"/>
    <w:rsid w:val="008F10D0"/>
    <w:rsid w:val="008F11E9"/>
    <w:rsid w:val="008F1431"/>
    <w:rsid w:val="008F1C59"/>
    <w:rsid w:val="008F1CC1"/>
    <w:rsid w:val="008F1E1D"/>
    <w:rsid w:val="008F22C1"/>
    <w:rsid w:val="008F250C"/>
    <w:rsid w:val="008F25E3"/>
    <w:rsid w:val="008F2EBB"/>
    <w:rsid w:val="008F3031"/>
    <w:rsid w:val="008F304C"/>
    <w:rsid w:val="008F306D"/>
    <w:rsid w:val="008F30FB"/>
    <w:rsid w:val="008F32F9"/>
    <w:rsid w:val="008F3385"/>
    <w:rsid w:val="008F365F"/>
    <w:rsid w:val="008F3953"/>
    <w:rsid w:val="008F3A32"/>
    <w:rsid w:val="008F3ABB"/>
    <w:rsid w:val="008F3AC8"/>
    <w:rsid w:val="008F3D2E"/>
    <w:rsid w:val="008F3EC2"/>
    <w:rsid w:val="008F401C"/>
    <w:rsid w:val="008F40BF"/>
    <w:rsid w:val="008F410A"/>
    <w:rsid w:val="008F410C"/>
    <w:rsid w:val="008F4ACB"/>
    <w:rsid w:val="008F4BBA"/>
    <w:rsid w:val="008F4C13"/>
    <w:rsid w:val="008F4C74"/>
    <w:rsid w:val="008F4D42"/>
    <w:rsid w:val="008F4ED7"/>
    <w:rsid w:val="008F54BD"/>
    <w:rsid w:val="008F54DC"/>
    <w:rsid w:val="008F5900"/>
    <w:rsid w:val="008F5C47"/>
    <w:rsid w:val="008F5F71"/>
    <w:rsid w:val="008F6366"/>
    <w:rsid w:val="008F64BA"/>
    <w:rsid w:val="008F6CD3"/>
    <w:rsid w:val="008F6D46"/>
    <w:rsid w:val="008F6DD2"/>
    <w:rsid w:val="008F72A6"/>
    <w:rsid w:val="008F72FF"/>
    <w:rsid w:val="008F7341"/>
    <w:rsid w:val="008F74B6"/>
    <w:rsid w:val="008F77F3"/>
    <w:rsid w:val="008F7A26"/>
    <w:rsid w:val="008F7C79"/>
    <w:rsid w:val="00900184"/>
    <w:rsid w:val="00900482"/>
    <w:rsid w:val="009005BD"/>
    <w:rsid w:val="00900632"/>
    <w:rsid w:val="0090067F"/>
    <w:rsid w:val="0090072C"/>
    <w:rsid w:val="0090073D"/>
    <w:rsid w:val="0090085D"/>
    <w:rsid w:val="00900B01"/>
    <w:rsid w:val="0090111B"/>
    <w:rsid w:val="0090118A"/>
    <w:rsid w:val="009012DA"/>
    <w:rsid w:val="0090134A"/>
    <w:rsid w:val="0090149E"/>
    <w:rsid w:val="009016B5"/>
    <w:rsid w:val="009018AB"/>
    <w:rsid w:val="009018AF"/>
    <w:rsid w:val="00901C10"/>
    <w:rsid w:val="00901C2A"/>
    <w:rsid w:val="00901CDE"/>
    <w:rsid w:val="009020BF"/>
    <w:rsid w:val="0090219F"/>
    <w:rsid w:val="0090247E"/>
    <w:rsid w:val="00902A0E"/>
    <w:rsid w:val="00902BE9"/>
    <w:rsid w:val="00902C1D"/>
    <w:rsid w:val="00902C87"/>
    <w:rsid w:val="00902F0F"/>
    <w:rsid w:val="00902FA8"/>
    <w:rsid w:val="009032EA"/>
    <w:rsid w:val="00903496"/>
    <w:rsid w:val="00903768"/>
    <w:rsid w:val="00903B0B"/>
    <w:rsid w:val="00903CB0"/>
    <w:rsid w:val="0090405C"/>
    <w:rsid w:val="00904080"/>
    <w:rsid w:val="009040D5"/>
    <w:rsid w:val="00904427"/>
    <w:rsid w:val="00904A21"/>
    <w:rsid w:val="00904ABA"/>
    <w:rsid w:val="00904B4A"/>
    <w:rsid w:val="00904BDE"/>
    <w:rsid w:val="00904EBB"/>
    <w:rsid w:val="00904F8A"/>
    <w:rsid w:val="00905078"/>
    <w:rsid w:val="00905654"/>
    <w:rsid w:val="00905A40"/>
    <w:rsid w:val="00905DEA"/>
    <w:rsid w:val="00905EED"/>
    <w:rsid w:val="00905F5D"/>
    <w:rsid w:val="00905F62"/>
    <w:rsid w:val="0090617A"/>
    <w:rsid w:val="00906546"/>
    <w:rsid w:val="009066CC"/>
    <w:rsid w:val="00906AF3"/>
    <w:rsid w:val="00907224"/>
    <w:rsid w:val="00907CE0"/>
    <w:rsid w:val="00907E67"/>
    <w:rsid w:val="00907EB3"/>
    <w:rsid w:val="009103B3"/>
    <w:rsid w:val="009103FA"/>
    <w:rsid w:val="009104CB"/>
    <w:rsid w:val="0091088C"/>
    <w:rsid w:val="00910B04"/>
    <w:rsid w:val="00910D90"/>
    <w:rsid w:val="009110B9"/>
    <w:rsid w:val="009110BB"/>
    <w:rsid w:val="009111B1"/>
    <w:rsid w:val="009118FC"/>
    <w:rsid w:val="00911B3D"/>
    <w:rsid w:val="00911E2F"/>
    <w:rsid w:val="00912135"/>
    <w:rsid w:val="00912253"/>
    <w:rsid w:val="009125B7"/>
    <w:rsid w:val="00912B1E"/>
    <w:rsid w:val="00912FFA"/>
    <w:rsid w:val="0091334F"/>
    <w:rsid w:val="0091397B"/>
    <w:rsid w:val="00913A81"/>
    <w:rsid w:val="00913BEC"/>
    <w:rsid w:val="00914230"/>
    <w:rsid w:val="009142EF"/>
    <w:rsid w:val="0091448B"/>
    <w:rsid w:val="00914B00"/>
    <w:rsid w:val="00914B27"/>
    <w:rsid w:val="00914C15"/>
    <w:rsid w:val="00914CB8"/>
    <w:rsid w:val="00914DC0"/>
    <w:rsid w:val="00914E65"/>
    <w:rsid w:val="00914EA8"/>
    <w:rsid w:val="00915058"/>
    <w:rsid w:val="0091515E"/>
    <w:rsid w:val="00915724"/>
    <w:rsid w:val="0091579F"/>
    <w:rsid w:val="00915912"/>
    <w:rsid w:val="00915920"/>
    <w:rsid w:val="00915960"/>
    <w:rsid w:val="0091598A"/>
    <w:rsid w:val="00915ADE"/>
    <w:rsid w:val="00915CE7"/>
    <w:rsid w:val="009161AB"/>
    <w:rsid w:val="0091662F"/>
    <w:rsid w:val="0091686E"/>
    <w:rsid w:val="00916BC5"/>
    <w:rsid w:val="00916E24"/>
    <w:rsid w:val="00916E51"/>
    <w:rsid w:val="0091717C"/>
    <w:rsid w:val="009171B3"/>
    <w:rsid w:val="00917570"/>
    <w:rsid w:val="00917745"/>
    <w:rsid w:val="00920056"/>
    <w:rsid w:val="00920164"/>
    <w:rsid w:val="00920174"/>
    <w:rsid w:val="0092051E"/>
    <w:rsid w:val="00920573"/>
    <w:rsid w:val="0092059A"/>
    <w:rsid w:val="009206B5"/>
    <w:rsid w:val="0092085D"/>
    <w:rsid w:val="00920886"/>
    <w:rsid w:val="00920936"/>
    <w:rsid w:val="00920B00"/>
    <w:rsid w:val="0092115F"/>
    <w:rsid w:val="00921445"/>
    <w:rsid w:val="00921900"/>
    <w:rsid w:val="009219A1"/>
    <w:rsid w:val="00921A62"/>
    <w:rsid w:val="009223BE"/>
    <w:rsid w:val="009226BB"/>
    <w:rsid w:val="009228FB"/>
    <w:rsid w:val="00922A1A"/>
    <w:rsid w:val="00922C05"/>
    <w:rsid w:val="00922E62"/>
    <w:rsid w:val="009231D9"/>
    <w:rsid w:val="0092337B"/>
    <w:rsid w:val="0092359F"/>
    <w:rsid w:val="0092361B"/>
    <w:rsid w:val="0092382B"/>
    <w:rsid w:val="009239FA"/>
    <w:rsid w:val="00923D31"/>
    <w:rsid w:val="00924217"/>
    <w:rsid w:val="00924804"/>
    <w:rsid w:val="00924884"/>
    <w:rsid w:val="00924E52"/>
    <w:rsid w:val="00925017"/>
    <w:rsid w:val="009252A0"/>
    <w:rsid w:val="009252F5"/>
    <w:rsid w:val="0092535A"/>
    <w:rsid w:val="00925420"/>
    <w:rsid w:val="00925777"/>
    <w:rsid w:val="009257AE"/>
    <w:rsid w:val="0092587F"/>
    <w:rsid w:val="00925959"/>
    <w:rsid w:val="009259BE"/>
    <w:rsid w:val="00925CDD"/>
    <w:rsid w:val="00925E58"/>
    <w:rsid w:val="00926063"/>
    <w:rsid w:val="00926273"/>
    <w:rsid w:val="00926360"/>
    <w:rsid w:val="0092692D"/>
    <w:rsid w:val="00926B83"/>
    <w:rsid w:val="00926D3C"/>
    <w:rsid w:val="00926F0D"/>
    <w:rsid w:val="00926F1C"/>
    <w:rsid w:val="009273A6"/>
    <w:rsid w:val="009274CE"/>
    <w:rsid w:val="009278FD"/>
    <w:rsid w:val="00927C26"/>
    <w:rsid w:val="00927E58"/>
    <w:rsid w:val="00927F9C"/>
    <w:rsid w:val="009300AE"/>
    <w:rsid w:val="009303A2"/>
    <w:rsid w:val="0093042F"/>
    <w:rsid w:val="0093049C"/>
    <w:rsid w:val="00930524"/>
    <w:rsid w:val="0093072A"/>
    <w:rsid w:val="00930FFB"/>
    <w:rsid w:val="0093101C"/>
    <w:rsid w:val="00931032"/>
    <w:rsid w:val="00931269"/>
    <w:rsid w:val="009314C7"/>
    <w:rsid w:val="0093158B"/>
    <w:rsid w:val="00931B0A"/>
    <w:rsid w:val="00931B57"/>
    <w:rsid w:val="00931FBC"/>
    <w:rsid w:val="00932061"/>
    <w:rsid w:val="00932481"/>
    <w:rsid w:val="009324C2"/>
    <w:rsid w:val="009327BE"/>
    <w:rsid w:val="009327E6"/>
    <w:rsid w:val="009327F7"/>
    <w:rsid w:val="009329EE"/>
    <w:rsid w:val="009330EF"/>
    <w:rsid w:val="009334E9"/>
    <w:rsid w:val="00933518"/>
    <w:rsid w:val="00933684"/>
    <w:rsid w:val="009338AC"/>
    <w:rsid w:val="00933D59"/>
    <w:rsid w:val="009342B8"/>
    <w:rsid w:val="0093432B"/>
    <w:rsid w:val="009346C8"/>
    <w:rsid w:val="0093483E"/>
    <w:rsid w:val="00934A05"/>
    <w:rsid w:val="00934BA2"/>
    <w:rsid w:val="00934BC4"/>
    <w:rsid w:val="009350C3"/>
    <w:rsid w:val="009350DE"/>
    <w:rsid w:val="00935104"/>
    <w:rsid w:val="009352DC"/>
    <w:rsid w:val="0093550C"/>
    <w:rsid w:val="0093550E"/>
    <w:rsid w:val="0093562D"/>
    <w:rsid w:val="0093566E"/>
    <w:rsid w:val="00935764"/>
    <w:rsid w:val="00935783"/>
    <w:rsid w:val="00935AC5"/>
    <w:rsid w:val="00935B35"/>
    <w:rsid w:val="00935E7B"/>
    <w:rsid w:val="0093619C"/>
    <w:rsid w:val="00936316"/>
    <w:rsid w:val="00936C62"/>
    <w:rsid w:val="00936C80"/>
    <w:rsid w:val="00936D51"/>
    <w:rsid w:val="0093717B"/>
    <w:rsid w:val="009373FF"/>
    <w:rsid w:val="009374AD"/>
    <w:rsid w:val="009375DD"/>
    <w:rsid w:val="00937610"/>
    <w:rsid w:val="009376EF"/>
    <w:rsid w:val="009377F3"/>
    <w:rsid w:val="0093798F"/>
    <w:rsid w:val="00937A45"/>
    <w:rsid w:val="00937D24"/>
    <w:rsid w:val="00937E18"/>
    <w:rsid w:val="00940180"/>
    <w:rsid w:val="0094078C"/>
    <w:rsid w:val="009407F2"/>
    <w:rsid w:val="00940A19"/>
    <w:rsid w:val="00940A1A"/>
    <w:rsid w:val="00940C6E"/>
    <w:rsid w:val="00940CAA"/>
    <w:rsid w:val="00940EE5"/>
    <w:rsid w:val="009411DB"/>
    <w:rsid w:val="00941288"/>
    <w:rsid w:val="009417EB"/>
    <w:rsid w:val="00941C86"/>
    <w:rsid w:val="00941D18"/>
    <w:rsid w:val="00941D2C"/>
    <w:rsid w:val="00942093"/>
    <w:rsid w:val="009422F3"/>
    <w:rsid w:val="009423BC"/>
    <w:rsid w:val="009425B4"/>
    <w:rsid w:val="009428E2"/>
    <w:rsid w:val="0094299E"/>
    <w:rsid w:val="009430BD"/>
    <w:rsid w:val="009431FF"/>
    <w:rsid w:val="00943324"/>
    <w:rsid w:val="00943368"/>
    <w:rsid w:val="00943B81"/>
    <w:rsid w:val="00943F6D"/>
    <w:rsid w:val="0094408B"/>
    <w:rsid w:val="009441DF"/>
    <w:rsid w:val="0094432D"/>
    <w:rsid w:val="00944397"/>
    <w:rsid w:val="0094476F"/>
    <w:rsid w:val="009449A2"/>
    <w:rsid w:val="00944AC8"/>
    <w:rsid w:val="00944BBA"/>
    <w:rsid w:val="00944F9C"/>
    <w:rsid w:val="0094503A"/>
    <w:rsid w:val="0094513F"/>
    <w:rsid w:val="00945163"/>
    <w:rsid w:val="009451D7"/>
    <w:rsid w:val="009453BC"/>
    <w:rsid w:val="00945592"/>
    <w:rsid w:val="00945717"/>
    <w:rsid w:val="0094588A"/>
    <w:rsid w:val="0094592F"/>
    <w:rsid w:val="00945A25"/>
    <w:rsid w:val="00945B23"/>
    <w:rsid w:val="00945B3E"/>
    <w:rsid w:val="00945C9F"/>
    <w:rsid w:val="00945EA7"/>
    <w:rsid w:val="00946486"/>
    <w:rsid w:val="00946810"/>
    <w:rsid w:val="00946F6E"/>
    <w:rsid w:val="00947009"/>
    <w:rsid w:val="00947435"/>
    <w:rsid w:val="00947451"/>
    <w:rsid w:val="00947563"/>
    <w:rsid w:val="0094783B"/>
    <w:rsid w:val="00947B33"/>
    <w:rsid w:val="00947C0C"/>
    <w:rsid w:val="00947E88"/>
    <w:rsid w:val="00947F39"/>
    <w:rsid w:val="00950081"/>
    <w:rsid w:val="0095042B"/>
    <w:rsid w:val="0095074E"/>
    <w:rsid w:val="009507EB"/>
    <w:rsid w:val="0095098D"/>
    <w:rsid w:val="009509E8"/>
    <w:rsid w:val="009509FF"/>
    <w:rsid w:val="00950A92"/>
    <w:rsid w:val="00950E84"/>
    <w:rsid w:val="0095102F"/>
    <w:rsid w:val="00951085"/>
    <w:rsid w:val="009513E5"/>
    <w:rsid w:val="00951753"/>
    <w:rsid w:val="00951A36"/>
    <w:rsid w:val="00951E1D"/>
    <w:rsid w:val="00951F00"/>
    <w:rsid w:val="009521E3"/>
    <w:rsid w:val="00952853"/>
    <w:rsid w:val="0095292E"/>
    <w:rsid w:val="00952C01"/>
    <w:rsid w:val="00952D82"/>
    <w:rsid w:val="009531A7"/>
    <w:rsid w:val="00953394"/>
    <w:rsid w:val="00953397"/>
    <w:rsid w:val="009535D3"/>
    <w:rsid w:val="0095377F"/>
    <w:rsid w:val="00953A36"/>
    <w:rsid w:val="00953B06"/>
    <w:rsid w:val="00953CF1"/>
    <w:rsid w:val="00953FEC"/>
    <w:rsid w:val="0095401D"/>
    <w:rsid w:val="00954719"/>
    <w:rsid w:val="00954BCD"/>
    <w:rsid w:val="00954C42"/>
    <w:rsid w:val="00955923"/>
    <w:rsid w:val="00955B36"/>
    <w:rsid w:val="009560CD"/>
    <w:rsid w:val="0095616F"/>
    <w:rsid w:val="0095622D"/>
    <w:rsid w:val="009562E0"/>
    <w:rsid w:val="00956634"/>
    <w:rsid w:val="00956B65"/>
    <w:rsid w:val="00956B7B"/>
    <w:rsid w:val="00956F0E"/>
    <w:rsid w:val="00956F47"/>
    <w:rsid w:val="00957382"/>
    <w:rsid w:val="009575C9"/>
    <w:rsid w:val="00957DA5"/>
    <w:rsid w:val="00960427"/>
    <w:rsid w:val="009606D6"/>
    <w:rsid w:val="009608A1"/>
    <w:rsid w:val="00960AF3"/>
    <w:rsid w:val="00960FA5"/>
    <w:rsid w:val="00961050"/>
    <w:rsid w:val="009612C0"/>
    <w:rsid w:val="00961564"/>
    <w:rsid w:val="00961A3E"/>
    <w:rsid w:val="009620F3"/>
    <w:rsid w:val="00962178"/>
    <w:rsid w:val="00962219"/>
    <w:rsid w:val="00962287"/>
    <w:rsid w:val="00962613"/>
    <w:rsid w:val="0096261B"/>
    <w:rsid w:val="009629BB"/>
    <w:rsid w:val="009629F1"/>
    <w:rsid w:val="0096309B"/>
    <w:rsid w:val="00963245"/>
    <w:rsid w:val="009632D3"/>
    <w:rsid w:val="009636EC"/>
    <w:rsid w:val="009637DA"/>
    <w:rsid w:val="00963B12"/>
    <w:rsid w:val="00963DD1"/>
    <w:rsid w:val="00963DF9"/>
    <w:rsid w:val="00963F1F"/>
    <w:rsid w:val="00964112"/>
    <w:rsid w:val="00964300"/>
    <w:rsid w:val="00964713"/>
    <w:rsid w:val="009647F1"/>
    <w:rsid w:val="009648CF"/>
    <w:rsid w:val="0096495F"/>
    <w:rsid w:val="00964FFF"/>
    <w:rsid w:val="0096517C"/>
    <w:rsid w:val="0096523C"/>
    <w:rsid w:val="00965819"/>
    <w:rsid w:val="00965A24"/>
    <w:rsid w:val="00965B89"/>
    <w:rsid w:val="00965D8F"/>
    <w:rsid w:val="009661D4"/>
    <w:rsid w:val="009662F0"/>
    <w:rsid w:val="00966493"/>
    <w:rsid w:val="00966576"/>
    <w:rsid w:val="009665A1"/>
    <w:rsid w:val="00966788"/>
    <w:rsid w:val="00967486"/>
    <w:rsid w:val="0096750E"/>
    <w:rsid w:val="00967557"/>
    <w:rsid w:val="00967686"/>
    <w:rsid w:val="00967792"/>
    <w:rsid w:val="00967857"/>
    <w:rsid w:val="00967A7C"/>
    <w:rsid w:val="00967B8F"/>
    <w:rsid w:val="00967FA8"/>
    <w:rsid w:val="00967FFC"/>
    <w:rsid w:val="0097005A"/>
    <w:rsid w:val="009700F4"/>
    <w:rsid w:val="00970A4F"/>
    <w:rsid w:val="00971C1D"/>
    <w:rsid w:val="00971E3B"/>
    <w:rsid w:val="0097242B"/>
    <w:rsid w:val="00972459"/>
    <w:rsid w:val="00972C04"/>
    <w:rsid w:val="00972ED2"/>
    <w:rsid w:val="0097302C"/>
    <w:rsid w:val="00973171"/>
    <w:rsid w:val="009732FA"/>
    <w:rsid w:val="009734B6"/>
    <w:rsid w:val="009734C2"/>
    <w:rsid w:val="009735C4"/>
    <w:rsid w:val="0097388A"/>
    <w:rsid w:val="00973AC8"/>
    <w:rsid w:val="00973C1D"/>
    <w:rsid w:val="00973E37"/>
    <w:rsid w:val="00973E70"/>
    <w:rsid w:val="00973F24"/>
    <w:rsid w:val="00973FC1"/>
    <w:rsid w:val="009740CA"/>
    <w:rsid w:val="009740CD"/>
    <w:rsid w:val="00974382"/>
    <w:rsid w:val="009743AF"/>
    <w:rsid w:val="00974BB8"/>
    <w:rsid w:val="00974D92"/>
    <w:rsid w:val="00974E59"/>
    <w:rsid w:val="009750C9"/>
    <w:rsid w:val="009760B4"/>
    <w:rsid w:val="00976136"/>
    <w:rsid w:val="009761F3"/>
    <w:rsid w:val="009765CE"/>
    <w:rsid w:val="0097682C"/>
    <w:rsid w:val="00976926"/>
    <w:rsid w:val="00976B48"/>
    <w:rsid w:val="00976C78"/>
    <w:rsid w:val="009772C2"/>
    <w:rsid w:val="009773F4"/>
    <w:rsid w:val="00977536"/>
    <w:rsid w:val="009775BE"/>
    <w:rsid w:val="00977741"/>
    <w:rsid w:val="00977A31"/>
    <w:rsid w:val="00977B02"/>
    <w:rsid w:val="00980513"/>
    <w:rsid w:val="00980C4F"/>
    <w:rsid w:val="00981603"/>
    <w:rsid w:val="0098163B"/>
    <w:rsid w:val="009816B7"/>
    <w:rsid w:val="009817A5"/>
    <w:rsid w:val="0098185D"/>
    <w:rsid w:val="0098192B"/>
    <w:rsid w:val="00981B7C"/>
    <w:rsid w:val="00981EA7"/>
    <w:rsid w:val="009822EE"/>
    <w:rsid w:val="00982562"/>
    <w:rsid w:val="00982574"/>
    <w:rsid w:val="009827F5"/>
    <w:rsid w:val="00982A44"/>
    <w:rsid w:val="00982C40"/>
    <w:rsid w:val="00982C76"/>
    <w:rsid w:val="00982DCD"/>
    <w:rsid w:val="00982FCF"/>
    <w:rsid w:val="009832C3"/>
    <w:rsid w:val="0098335E"/>
    <w:rsid w:val="00983424"/>
    <w:rsid w:val="00983800"/>
    <w:rsid w:val="00983A77"/>
    <w:rsid w:val="00983B38"/>
    <w:rsid w:val="00984055"/>
    <w:rsid w:val="00984302"/>
    <w:rsid w:val="00984482"/>
    <w:rsid w:val="0098463E"/>
    <w:rsid w:val="00984825"/>
    <w:rsid w:val="0098505E"/>
    <w:rsid w:val="0098516F"/>
    <w:rsid w:val="00985296"/>
    <w:rsid w:val="00985525"/>
    <w:rsid w:val="00985601"/>
    <w:rsid w:val="009858A4"/>
    <w:rsid w:val="009858A7"/>
    <w:rsid w:val="0098598B"/>
    <w:rsid w:val="00985AF5"/>
    <w:rsid w:val="00985CD0"/>
    <w:rsid w:val="00985ED5"/>
    <w:rsid w:val="00985F4B"/>
    <w:rsid w:val="009860D2"/>
    <w:rsid w:val="00986192"/>
    <w:rsid w:val="009863E4"/>
    <w:rsid w:val="00986500"/>
    <w:rsid w:val="009867EE"/>
    <w:rsid w:val="00986A85"/>
    <w:rsid w:val="00986B47"/>
    <w:rsid w:val="00986C82"/>
    <w:rsid w:val="00987358"/>
    <w:rsid w:val="009873FD"/>
    <w:rsid w:val="00987579"/>
    <w:rsid w:val="00987EA5"/>
    <w:rsid w:val="00990055"/>
    <w:rsid w:val="0099029D"/>
    <w:rsid w:val="00990392"/>
    <w:rsid w:val="009904FC"/>
    <w:rsid w:val="009905EE"/>
    <w:rsid w:val="0099064C"/>
    <w:rsid w:val="0099073C"/>
    <w:rsid w:val="00990938"/>
    <w:rsid w:val="009909E5"/>
    <w:rsid w:val="00990D6F"/>
    <w:rsid w:val="00990FC7"/>
    <w:rsid w:val="009910F0"/>
    <w:rsid w:val="00991114"/>
    <w:rsid w:val="00991289"/>
    <w:rsid w:val="009914D5"/>
    <w:rsid w:val="009914F6"/>
    <w:rsid w:val="00991541"/>
    <w:rsid w:val="009915DB"/>
    <w:rsid w:val="0099161D"/>
    <w:rsid w:val="00991670"/>
    <w:rsid w:val="0099184D"/>
    <w:rsid w:val="00991AD5"/>
    <w:rsid w:val="00991CCA"/>
    <w:rsid w:val="00991E22"/>
    <w:rsid w:val="00991E6A"/>
    <w:rsid w:val="00991EE6"/>
    <w:rsid w:val="00991F2A"/>
    <w:rsid w:val="00992460"/>
    <w:rsid w:val="00992512"/>
    <w:rsid w:val="009929FF"/>
    <w:rsid w:val="00992C18"/>
    <w:rsid w:val="00992F79"/>
    <w:rsid w:val="00993266"/>
    <w:rsid w:val="0099367B"/>
    <w:rsid w:val="00993694"/>
    <w:rsid w:val="00993908"/>
    <w:rsid w:val="00993A7B"/>
    <w:rsid w:val="00993C56"/>
    <w:rsid w:val="00993D79"/>
    <w:rsid w:val="009940E4"/>
    <w:rsid w:val="00994A40"/>
    <w:rsid w:val="00994D4D"/>
    <w:rsid w:val="00994F6F"/>
    <w:rsid w:val="0099508F"/>
    <w:rsid w:val="009950EA"/>
    <w:rsid w:val="00995161"/>
    <w:rsid w:val="0099566F"/>
    <w:rsid w:val="009957AE"/>
    <w:rsid w:val="00995B84"/>
    <w:rsid w:val="00995C2D"/>
    <w:rsid w:val="00995CE2"/>
    <w:rsid w:val="00995E49"/>
    <w:rsid w:val="00996026"/>
    <w:rsid w:val="009961C8"/>
    <w:rsid w:val="00996243"/>
    <w:rsid w:val="009964C8"/>
    <w:rsid w:val="009966E0"/>
    <w:rsid w:val="00996AD7"/>
    <w:rsid w:val="00997579"/>
    <w:rsid w:val="00997681"/>
    <w:rsid w:val="009977C2"/>
    <w:rsid w:val="009977CD"/>
    <w:rsid w:val="009977FF"/>
    <w:rsid w:val="00997CF0"/>
    <w:rsid w:val="00997E97"/>
    <w:rsid w:val="009A0164"/>
    <w:rsid w:val="009A027D"/>
    <w:rsid w:val="009A0507"/>
    <w:rsid w:val="009A061F"/>
    <w:rsid w:val="009A08FA"/>
    <w:rsid w:val="009A135C"/>
    <w:rsid w:val="009A15F4"/>
    <w:rsid w:val="009A1AFC"/>
    <w:rsid w:val="009A1C4B"/>
    <w:rsid w:val="009A2177"/>
    <w:rsid w:val="009A21E5"/>
    <w:rsid w:val="009A24B4"/>
    <w:rsid w:val="009A2797"/>
    <w:rsid w:val="009A2CFA"/>
    <w:rsid w:val="009A30B4"/>
    <w:rsid w:val="009A3432"/>
    <w:rsid w:val="009A3692"/>
    <w:rsid w:val="009A3745"/>
    <w:rsid w:val="009A3A52"/>
    <w:rsid w:val="009A3A7D"/>
    <w:rsid w:val="009A3E39"/>
    <w:rsid w:val="009A3E46"/>
    <w:rsid w:val="009A3EF2"/>
    <w:rsid w:val="009A3F40"/>
    <w:rsid w:val="009A4177"/>
    <w:rsid w:val="009A42F3"/>
    <w:rsid w:val="009A4512"/>
    <w:rsid w:val="009A4A89"/>
    <w:rsid w:val="009A4C73"/>
    <w:rsid w:val="009A4DED"/>
    <w:rsid w:val="009A58BC"/>
    <w:rsid w:val="009A59F0"/>
    <w:rsid w:val="009A5BE5"/>
    <w:rsid w:val="009A5D1B"/>
    <w:rsid w:val="009A60CB"/>
    <w:rsid w:val="009A61D3"/>
    <w:rsid w:val="009A68A7"/>
    <w:rsid w:val="009A6A24"/>
    <w:rsid w:val="009A7022"/>
    <w:rsid w:val="009A70B3"/>
    <w:rsid w:val="009A7272"/>
    <w:rsid w:val="009A778B"/>
    <w:rsid w:val="009A77B5"/>
    <w:rsid w:val="009A7953"/>
    <w:rsid w:val="009A7990"/>
    <w:rsid w:val="009A79F2"/>
    <w:rsid w:val="009A7B87"/>
    <w:rsid w:val="009A7CA3"/>
    <w:rsid w:val="009A7DD5"/>
    <w:rsid w:val="009A7FE1"/>
    <w:rsid w:val="009B03DC"/>
    <w:rsid w:val="009B043C"/>
    <w:rsid w:val="009B051C"/>
    <w:rsid w:val="009B06FE"/>
    <w:rsid w:val="009B07C8"/>
    <w:rsid w:val="009B0CEF"/>
    <w:rsid w:val="009B0D60"/>
    <w:rsid w:val="009B11E0"/>
    <w:rsid w:val="009B1462"/>
    <w:rsid w:val="009B15CB"/>
    <w:rsid w:val="009B1634"/>
    <w:rsid w:val="009B1990"/>
    <w:rsid w:val="009B1A3A"/>
    <w:rsid w:val="009B1AE2"/>
    <w:rsid w:val="009B1AFD"/>
    <w:rsid w:val="009B1D5B"/>
    <w:rsid w:val="009B2063"/>
    <w:rsid w:val="009B289B"/>
    <w:rsid w:val="009B2E14"/>
    <w:rsid w:val="009B2E83"/>
    <w:rsid w:val="009B31B5"/>
    <w:rsid w:val="009B3207"/>
    <w:rsid w:val="009B3341"/>
    <w:rsid w:val="009B337F"/>
    <w:rsid w:val="009B3498"/>
    <w:rsid w:val="009B34D3"/>
    <w:rsid w:val="009B3671"/>
    <w:rsid w:val="009B36A4"/>
    <w:rsid w:val="009B38E4"/>
    <w:rsid w:val="009B3A09"/>
    <w:rsid w:val="009B3A7F"/>
    <w:rsid w:val="009B3ACE"/>
    <w:rsid w:val="009B3F00"/>
    <w:rsid w:val="009B436D"/>
    <w:rsid w:val="009B4659"/>
    <w:rsid w:val="009B490E"/>
    <w:rsid w:val="009B4A33"/>
    <w:rsid w:val="009B4FAF"/>
    <w:rsid w:val="009B55FD"/>
    <w:rsid w:val="009B59F3"/>
    <w:rsid w:val="009B59FA"/>
    <w:rsid w:val="009B5A65"/>
    <w:rsid w:val="009B5D61"/>
    <w:rsid w:val="009B5EFF"/>
    <w:rsid w:val="009B6012"/>
    <w:rsid w:val="009B616E"/>
    <w:rsid w:val="009B6653"/>
    <w:rsid w:val="009B6737"/>
    <w:rsid w:val="009B69FE"/>
    <w:rsid w:val="009B6A7E"/>
    <w:rsid w:val="009B6A91"/>
    <w:rsid w:val="009B7073"/>
    <w:rsid w:val="009B727F"/>
    <w:rsid w:val="009B75CA"/>
    <w:rsid w:val="009B797F"/>
    <w:rsid w:val="009B79C0"/>
    <w:rsid w:val="009B7AB0"/>
    <w:rsid w:val="009B7F5C"/>
    <w:rsid w:val="009C00D1"/>
    <w:rsid w:val="009C0138"/>
    <w:rsid w:val="009C0365"/>
    <w:rsid w:val="009C058B"/>
    <w:rsid w:val="009C0826"/>
    <w:rsid w:val="009C113C"/>
    <w:rsid w:val="009C14E1"/>
    <w:rsid w:val="009C1567"/>
    <w:rsid w:val="009C15BB"/>
    <w:rsid w:val="009C15EB"/>
    <w:rsid w:val="009C1731"/>
    <w:rsid w:val="009C18E3"/>
    <w:rsid w:val="009C1986"/>
    <w:rsid w:val="009C1A42"/>
    <w:rsid w:val="009C1A5E"/>
    <w:rsid w:val="009C1AA4"/>
    <w:rsid w:val="009C1BED"/>
    <w:rsid w:val="009C1C3E"/>
    <w:rsid w:val="009C1D48"/>
    <w:rsid w:val="009C2201"/>
    <w:rsid w:val="009C2243"/>
    <w:rsid w:val="009C288B"/>
    <w:rsid w:val="009C2895"/>
    <w:rsid w:val="009C2C15"/>
    <w:rsid w:val="009C2D21"/>
    <w:rsid w:val="009C2E33"/>
    <w:rsid w:val="009C304F"/>
    <w:rsid w:val="009C317F"/>
    <w:rsid w:val="009C3292"/>
    <w:rsid w:val="009C35DC"/>
    <w:rsid w:val="009C39CF"/>
    <w:rsid w:val="009C4340"/>
    <w:rsid w:val="009C4385"/>
    <w:rsid w:val="009C46BD"/>
    <w:rsid w:val="009C4717"/>
    <w:rsid w:val="009C48EC"/>
    <w:rsid w:val="009C4D12"/>
    <w:rsid w:val="009C4E42"/>
    <w:rsid w:val="009C4F77"/>
    <w:rsid w:val="009C50ED"/>
    <w:rsid w:val="009C5384"/>
    <w:rsid w:val="009C53C7"/>
    <w:rsid w:val="009C55BA"/>
    <w:rsid w:val="009C5968"/>
    <w:rsid w:val="009C59B2"/>
    <w:rsid w:val="009C59B5"/>
    <w:rsid w:val="009C5B6E"/>
    <w:rsid w:val="009C5CC7"/>
    <w:rsid w:val="009C5DEE"/>
    <w:rsid w:val="009C600C"/>
    <w:rsid w:val="009C60D2"/>
    <w:rsid w:val="009C6152"/>
    <w:rsid w:val="009C645D"/>
    <w:rsid w:val="009C64FF"/>
    <w:rsid w:val="009C69F3"/>
    <w:rsid w:val="009C6B85"/>
    <w:rsid w:val="009C6FCA"/>
    <w:rsid w:val="009C7040"/>
    <w:rsid w:val="009C7564"/>
    <w:rsid w:val="009C7645"/>
    <w:rsid w:val="009C7729"/>
    <w:rsid w:val="009C7AFE"/>
    <w:rsid w:val="009C7E22"/>
    <w:rsid w:val="009C7F57"/>
    <w:rsid w:val="009C7F7F"/>
    <w:rsid w:val="009D0336"/>
    <w:rsid w:val="009D056E"/>
    <w:rsid w:val="009D0591"/>
    <w:rsid w:val="009D05B1"/>
    <w:rsid w:val="009D0B42"/>
    <w:rsid w:val="009D0D62"/>
    <w:rsid w:val="009D0F18"/>
    <w:rsid w:val="009D125D"/>
    <w:rsid w:val="009D127F"/>
    <w:rsid w:val="009D12F8"/>
    <w:rsid w:val="009D1351"/>
    <w:rsid w:val="009D16FF"/>
    <w:rsid w:val="009D1804"/>
    <w:rsid w:val="009D188B"/>
    <w:rsid w:val="009D1D76"/>
    <w:rsid w:val="009D2193"/>
    <w:rsid w:val="009D21E9"/>
    <w:rsid w:val="009D2446"/>
    <w:rsid w:val="009D268F"/>
    <w:rsid w:val="009D26C6"/>
    <w:rsid w:val="009D2947"/>
    <w:rsid w:val="009D2B16"/>
    <w:rsid w:val="009D2EB2"/>
    <w:rsid w:val="009D3354"/>
    <w:rsid w:val="009D36E3"/>
    <w:rsid w:val="009D37F2"/>
    <w:rsid w:val="009D3920"/>
    <w:rsid w:val="009D3C68"/>
    <w:rsid w:val="009D3D1A"/>
    <w:rsid w:val="009D3D52"/>
    <w:rsid w:val="009D3DEF"/>
    <w:rsid w:val="009D3F9D"/>
    <w:rsid w:val="009D4007"/>
    <w:rsid w:val="009D416A"/>
    <w:rsid w:val="009D41F9"/>
    <w:rsid w:val="009D42BE"/>
    <w:rsid w:val="009D4399"/>
    <w:rsid w:val="009D46E5"/>
    <w:rsid w:val="009D473B"/>
    <w:rsid w:val="009D4765"/>
    <w:rsid w:val="009D4E64"/>
    <w:rsid w:val="009D5199"/>
    <w:rsid w:val="009D51A8"/>
    <w:rsid w:val="009D533C"/>
    <w:rsid w:val="009D5543"/>
    <w:rsid w:val="009D56B3"/>
    <w:rsid w:val="009D58F9"/>
    <w:rsid w:val="009D5956"/>
    <w:rsid w:val="009D5979"/>
    <w:rsid w:val="009D5AE2"/>
    <w:rsid w:val="009D696D"/>
    <w:rsid w:val="009D6AA3"/>
    <w:rsid w:val="009D6C8B"/>
    <w:rsid w:val="009D6E49"/>
    <w:rsid w:val="009D70EA"/>
    <w:rsid w:val="009D714C"/>
    <w:rsid w:val="009D7264"/>
    <w:rsid w:val="009D74A3"/>
    <w:rsid w:val="009D74F9"/>
    <w:rsid w:val="009D79E7"/>
    <w:rsid w:val="009D7BA9"/>
    <w:rsid w:val="009D7BD4"/>
    <w:rsid w:val="009D7E0C"/>
    <w:rsid w:val="009D7EB4"/>
    <w:rsid w:val="009D7EBD"/>
    <w:rsid w:val="009E0177"/>
    <w:rsid w:val="009E02C3"/>
    <w:rsid w:val="009E058A"/>
    <w:rsid w:val="009E0947"/>
    <w:rsid w:val="009E09C9"/>
    <w:rsid w:val="009E1208"/>
    <w:rsid w:val="009E13A9"/>
    <w:rsid w:val="009E13E7"/>
    <w:rsid w:val="009E14C4"/>
    <w:rsid w:val="009E18C3"/>
    <w:rsid w:val="009E1B7E"/>
    <w:rsid w:val="009E1D2C"/>
    <w:rsid w:val="009E1E76"/>
    <w:rsid w:val="009E2241"/>
    <w:rsid w:val="009E233E"/>
    <w:rsid w:val="009E2424"/>
    <w:rsid w:val="009E2474"/>
    <w:rsid w:val="009E2650"/>
    <w:rsid w:val="009E2702"/>
    <w:rsid w:val="009E274C"/>
    <w:rsid w:val="009E2967"/>
    <w:rsid w:val="009E2BC9"/>
    <w:rsid w:val="009E2BD2"/>
    <w:rsid w:val="009E2E97"/>
    <w:rsid w:val="009E303B"/>
    <w:rsid w:val="009E303D"/>
    <w:rsid w:val="009E31C2"/>
    <w:rsid w:val="009E332B"/>
    <w:rsid w:val="009E35CB"/>
    <w:rsid w:val="009E3787"/>
    <w:rsid w:val="009E39EE"/>
    <w:rsid w:val="009E3A26"/>
    <w:rsid w:val="009E3EC2"/>
    <w:rsid w:val="009E40B2"/>
    <w:rsid w:val="009E41B4"/>
    <w:rsid w:val="009E43AD"/>
    <w:rsid w:val="009E453D"/>
    <w:rsid w:val="009E46E8"/>
    <w:rsid w:val="009E46FC"/>
    <w:rsid w:val="009E4BED"/>
    <w:rsid w:val="009E4CD7"/>
    <w:rsid w:val="009E4FDD"/>
    <w:rsid w:val="009E50DB"/>
    <w:rsid w:val="009E5270"/>
    <w:rsid w:val="009E56E3"/>
    <w:rsid w:val="009E576A"/>
    <w:rsid w:val="009E5940"/>
    <w:rsid w:val="009E5B0A"/>
    <w:rsid w:val="009E616B"/>
    <w:rsid w:val="009E649A"/>
    <w:rsid w:val="009E652B"/>
    <w:rsid w:val="009E67EE"/>
    <w:rsid w:val="009E68E4"/>
    <w:rsid w:val="009E6E0D"/>
    <w:rsid w:val="009E6EA8"/>
    <w:rsid w:val="009E7142"/>
    <w:rsid w:val="009E71DC"/>
    <w:rsid w:val="009E74EE"/>
    <w:rsid w:val="009E7502"/>
    <w:rsid w:val="009E7643"/>
    <w:rsid w:val="009E7655"/>
    <w:rsid w:val="009E784B"/>
    <w:rsid w:val="009E795B"/>
    <w:rsid w:val="009E79C7"/>
    <w:rsid w:val="009E7AA8"/>
    <w:rsid w:val="009E7BBE"/>
    <w:rsid w:val="009E7D27"/>
    <w:rsid w:val="009E7E6E"/>
    <w:rsid w:val="009F0681"/>
    <w:rsid w:val="009F0C7C"/>
    <w:rsid w:val="009F0DE2"/>
    <w:rsid w:val="009F10FA"/>
    <w:rsid w:val="009F156E"/>
    <w:rsid w:val="009F1768"/>
    <w:rsid w:val="009F190A"/>
    <w:rsid w:val="009F19EC"/>
    <w:rsid w:val="009F1AD2"/>
    <w:rsid w:val="009F1D0B"/>
    <w:rsid w:val="009F1D58"/>
    <w:rsid w:val="009F2215"/>
    <w:rsid w:val="009F2328"/>
    <w:rsid w:val="009F2FC9"/>
    <w:rsid w:val="009F30CD"/>
    <w:rsid w:val="009F311C"/>
    <w:rsid w:val="009F3232"/>
    <w:rsid w:val="009F33AF"/>
    <w:rsid w:val="009F33F0"/>
    <w:rsid w:val="009F3595"/>
    <w:rsid w:val="009F3600"/>
    <w:rsid w:val="009F363D"/>
    <w:rsid w:val="009F365B"/>
    <w:rsid w:val="009F3747"/>
    <w:rsid w:val="009F3A80"/>
    <w:rsid w:val="009F3BBF"/>
    <w:rsid w:val="009F3C02"/>
    <w:rsid w:val="009F3CEE"/>
    <w:rsid w:val="009F3E87"/>
    <w:rsid w:val="009F3F5D"/>
    <w:rsid w:val="009F420C"/>
    <w:rsid w:val="009F4474"/>
    <w:rsid w:val="009F44A0"/>
    <w:rsid w:val="009F4588"/>
    <w:rsid w:val="009F4A8D"/>
    <w:rsid w:val="009F4C49"/>
    <w:rsid w:val="009F4C70"/>
    <w:rsid w:val="009F4D1B"/>
    <w:rsid w:val="009F4F53"/>
    <w:rsid w:val="009F518A"/>
    <w:rsid w:val="009F5588"/>
    <w:rsid w:val="009F5603"/>
    <w:rsid w:val="009F5F62"/>
    <w:rsid w:val="009F61BD"/>
    <w:rsid w:val="009F6563"/>
    <w:rsid w:val="009F663A"/>
    <w:rsid w:val="009F6878"/>
    <w:rsid w:val="009F68CB"/>
    <w:rsid w:val="009F722E"/>
    <w:rsid w:val="009F739E"/>
    <w:rsid w:val="009F7ADC"/>
    <w:rsid w:val="009F7D87"/>
    <w:rsid w:val="009F7EBA"/>
    <w:rsid w:val="00A0059A"/>
    <w:rsid w:val="00A00648"/>
    <w:rsid w:val="00A0065F"/>
    <w:rsid w:val="00A009F8"/>
    <w:rsid w:val="00A00B43"/>
    <w:rsid w:val="00A011FC"/>
    <w:rsid w:val="00A014C9"/>
    <w:rsid w:val="00A015DA"/>
    <w:rsid w:val="00A016D2"/>
    <w:rsid w:val="00A0187A"/>
    <w:rsid w:val="00A01900"/>
    <w:rsid w:val="00A01925"/>
    <w:rsid w:val="00A019B6"/>
    <w:rsid w:val="00A01B41"/>
    <w:rsid w:val="00A01BDD"/>
    <w:rsid w:val="00A01E24"/>
    <w:rsid w:val="00A01EEC"/>
    <w:rsid w:val="00A01F53"/>
    <w:rsid w:val="00A020A7"/>
    <w:rsid w:val="00A02287"/>
    <w:rsid w:val="00A0248E"/>
    <w:rsid w:val="00A028D0"/>
    <w:rsid w:val="00A02BA8"/>
    <w:rsid w:val="00A02D93"/>
    <w:rsid w:val="00A02F56"/>
    <w:rsid w:val="00A03613"/>
    <w:rsid w:val="00A03622"/>
    <w:rsid w:val="00A03910"/>
    <w:rsid w:val="00A03A2F"/>
    <w:rsid w:val="00A03A8C"/>
    <w:rsid w:val="00A03D13"/>
    <w:rsid w:val="00A03DF7"/>
    <w:rsid w:val="00A03F85"/>
    <w:rsid w:val="00A04672"/>
    <w:rsid w:val="00A048AB"/>
    <w:rsid w:val="00A04B62"/>
    <w:rsid w:val="00A04BE1"/>
    <w:rsid w:val="00A04C8C"/>
    <w:rsid w:val="00A05659"/>
    <w:rsid w:val="00A056BC"/>
    <w:rsid w:val="00A057BF"/>
    <w:rsid w:val="00A05AFD"/>
    <w:rsid w:val="00A05E89"/>
    <w:rsid w:val="00A05EDB"/>
    <w:rsid w:val="00A060FD"/>
    <w:rsid w:val="00A06148"/>
    <w:rsid w:val="00A061FB"/>
    <w:rsid w:val="00A06786"/>
    <w:rsid w:val="00A068CA"/>
    <w:rsid w:val="00A06A10"/>
    <w:rsid w:val="00A06CDD"/>
    <w:rsid w:val="00A06D08"/>
    <w:rsid w:val="00A06E45"/>
    <w:rsid w:val="00A06FEF"/>
    <w:rsid w:val="00A073D1"/>
    <w:rsid w:val="00A074D8"/>
    <w:rsid w:val="00A0788F"/>
    <w:rsid w:val="00A07A80"/>
    <w:rsid w:val="00A1036E"/>
    <w:rsid w:val="00A10421"/>
    <w:rsid w:val="00A106C7"/>
    <w:rsid w:val="00A108D2"/>
    <w:rsid w:val="00A109AF"/>
    <w:rsid w:val="00A109F9"/>
    <w:rsid w:val="00A10FD2"/>
    <w:rsid w:val="00A1125C"/>
    <w:rsid w:val="00A11453"/>
    <w:rsid w:val="00A114BA"/>
    <w:rsid w:val="00A11617"/>
    <w:rsid w:val="00A116E7"/>
    <w:rsid w:val="00A117A9"/>
    <w:rsid w:val="00A11BD1"/>
    <w:rsid w:val="00A11CB4"/>
    <w:rsid w:val="00A11F22"/>
    <w:rsid w:val="00A11F24"/>
    <w:rsid w:val="00A120CA"/>
    <w:rsid w:val="00A1213D"/>
    <w:rsid w:val="00A12266"/>
    <w:rsid w:val="00A122AC"/>
    <w:rsid w:val="00A1271D"/>
    <w:rsid w:val="00A1277F"/>
    <w:rsid w:val="00A12868"/>
    <w:rsid w:val="00A128A9"/>
    <w:rsid w:val="00A1297F"/>
    <w:rsid w:val="00A129EF"/>
    <w:rsid w:val="00A12B02"/>
    <w:rsid w:val="00A12C51"/>
    <w:rsid w:val="00A12C62"/>
    <w:rsid w:val="00A12D1B"/>
    <w:rsid w:val="00A130E0"/>
    <w:rsid w:val="00A130E5"/>
    <w:rsid w:val="00A132B5"/>
    <w:rsid w:val="00A13304"/>
    <w:rsid w:val="00A13325"/>
    <w:rsid w:val="00A134D0"/>
    <w:rsid w:val="00A1354A"/>
    <w:rsid w:val="00A13765"/>
    <w:rsid w:val="00A13C3C"/>
    <w:rsid w:val="00A13D09"/>
    <w:rsid w:val="00A140B6"/>
    <w:rsid w:val="00A1442F"/>
    <w:rsid w:val="00A14487"/>
    <w:rsid w:val="00A144A3"/>
    <w:rsid w:val="00A148BA"/>
    <w:rsid w:val="00A14B4C"/>
    <w:rsid w:val="00A14C3D"/>
    <w:rsid w:val="00A14E54"/>
    <w:rsid w:val="00A151A2"/>
    <w:rsid w:val="00A152FF"/>
    <w:rsid w:val="00A153C7"/>
    <w:rsid w:val="00A15529"/>
    <w:rsid w:val="00A1559F"/>
    <w:rsid w:val="00A15679"/>
    <w:rsid w:val="00A1574F"/>
    <w:rsid w:val="00A157AD"/>
    <w:rsid w:val="00A1601D"/>
    <w:rsid w:val="00A163C8"/>
    <w:rsid w:val="00A16641"/>
    <w:rsid w:val="00A16A1E"/>
    <w:rsid w:val="00A16B67"/>
    <w:rsid w:val="00A16BE3"/>
    <w:rsid w:val="00A17002"/>
    <w:rsid w:val="00A1755E"/>
    <w:rsid w:val="00A1786B"/>
    <w:rsid w:val="00A17887"/>
    <w:rsid w:val="00A17B96"/>
    <w:rsid w:val="00A17CCB"/>
    <w:rsid w:val="00A17D15"/>
    <w:rsid w:val="00A17F49"/>
    <w:rsid w:val="00A17FA3"/>
    <w:rsid w:val="00A200A0"/>
    <w:rsid w:val="00A2020E"/>
    <w:rsid w:val="00A20494"/>
    <w:rsid w:val="00A2053F"/>
    <w:rsid w:val="00A2059A"/>
    <w:rsid w:val="00A20F8B"/>
    <w:rsid w:val="00A211D9"/>
    <w:rsid w:val="00A21493"/>
    <w:rsid w:val="00A215A7"/>
    <w:rsid w:val="00A2167B"/>
    <w:rsid w:val="00A217EC"/>
    <w:rsid w:val="00A21BE2"/>
    <w:rsid w:val="00A21D4A"/>
    <w:rsid w:val="00A22089"/>
    <w:rsid w:val="00A221BB"/>
    <w:rsid w:val="00A223E3"/>
    <w:rsid w:val="00A225E5"/>
    <w:rsid w:val="00A22691"/>
    <w:rsid w:val="00A22708"/>
    <w:rsid w:val="00A227C5"/>
    <w:rsid w:val="00A22856"/>
    <w:rsid w:val="00A22AE0"/>
    <w:rsid w:val="00A22D04"/>
    <w:rsid w:val="00A22D05"/>
    <w:rsid w:val="00A22DA2"/>
    <w:rsid w:val="00A233AD"/>
    <w:rsid w:val="00A233C5"/>
    <w:rsid w:val="00A23623"/>
    <w:rsid w:val="00A236DE"/>
    <w:rsid w:val="00A238E2"/>
    <w:rsid w:val="00A23A42"/>
    <w:rsid w:val="00A23C02"/>
    <w:rsid w:val="00A23F37"/>
    <w:rsid w:val="00A23F7D"/>
    <w:rsid w:val="00A241FB"/>
    <w:rsid w:val="00A24416"/>
    <w:rsid w:val="00A2451A"/>
    <w:rsid w:val="00A24527"/>
    <w:rsid w:val="00A2453A"/>
    <w:rsid w:val="00A245CE"/>
    <w:rsid w:val="00A24601"/>
    <w:rsid w:val="00A24965"/>
    <w:rsid w:val="00A24A29"/>
    <w:rsid w:val="00A25145"/>
    <w:rsid w:val="00A2542E"/>
    <w:rsid w:val="00A25508"/>
    <w:rsid w:val="00A25596"/>
    <w:rsid w:val="00A258AE"/>
    <w:rsid w:val="00A25A9C"/>
    <w:rsid w:val="00A25AC5"/>
    <w:rsid w:val="00A25BD1"/>
    <w:rsid w:val="00A25C35"/>
    <w:rsid w:val="00A25C63"/>
    <w:rsid w:val="00A25D07"/>
    <w:rsid w:val="00A25D77"/>
    <w:rsid w:val="00A260F3"/>
    <w:rsid w:val="00A26192"/>
    <w:rsid w:val="00A264A7"/>
    <w:rsid w:val="00A2663E"/>
    <w:rsid w:val="00A26B65"/>
    <w:rsid w:val="00A26BC9"/>
    <w:rsid w:val="00A26F32"/>
    <w:rsid w:val="00A27283"/>
    <w:rsid w:val="00A272A1"/>
    <w:rsid w:val="00A27BE2"/>
    <w:rsid w:val="00A30208"/>
    <w:rsid w:val="00A3030E"/>
    <w:rsid w:val="00A3054F"/>
    <w:rsid w:val="00A310A3"/>
    <w:rsid w:val="00A31230"/>
    <w:rsid w:val="00A312E3"/>
    <w:rsid w:val="00A314FA"/>
    <w:rsid w:val="00A31640"/>
    <w:rsid w:val="00A316F7"/>
    <w:rsid w:val="00A317D0"/>
    <w:rsid w:val="00A31919"/>
    <w:rsid w:val="00A31C65"/>
    <w:rsid w:val="00A31C83"/>
    <w:rsid w:val="00A3213B"/>
    <w:rsid w:val="00A322D4"/>
    <w:rsid w:val="00A32409"/>
    <w:rsid w:val="00A32521"/>
    <w:rsid w:val="00A32A9D"/>
    <w:rsid w:val="00A32BAD"/>
    <w:rsid w:val="00A32BD2"/>
    <w:rsid w:val="00A32C0F"/>
    <w:rsid w:val="00A32E59"/>
    <w:rsid w:val="00A3313A"/>
    <w:rsid w:val="00A3338E"/>
    <w:rsid w:val="00A3350D"/>
    <w:rsid w:val="00A33720"/>
    <w:rsid w:val="00A33875"/>
    <w:rsid w:val="00A33CB7"/>
    <w:rsid w:val="00A34388"/>
    <w:rsid w:val="00A343E5"/>
    <w:rsid w:val="00A34C08"/>
    <w:rsid w:val="00A34D0C"/>
    <w:rsid w:val="00A34E03"/>
    <w:rsid w:val="00A34E04"/>
    <w:rsid w:val="00A34F4A"/>
    <w:rsid w:val="00A34FB9"/>
    <w:rsid w:val="00A35087"/>
    <w:rsid w:val="00A35352"/>
    <w:rsid w:val="00A354CA"/>
    <w:rsid w:val="00A35575"/>
    <w:rsid w:val="00A358CF"/>
    <w:rsid w:val="00A35A89"/>
    <w:rsid w:val="00A35DB0"/>
    <w:rsid w:val="00A36117"/>
    <w:rsid w:val="00A362AC"/>
    <w:rsid w:val="00A365DC"/>
    <w:rsid w:val="00A36D7E"/>
    <w:rsid w:val="00A36D8B"/>
    <w:rsid w:val="00A36DD4"/>
    <w:rsid w:val="00A36E92"/>
    <w:rsid w:val="00A36FE1"/>
    <w:rsid w:val="00A372A5"/>
    <w:rsid w:val="00A373E2"/>
    <w:rsid w:val="00A375AB"/>
    <w:rsid w:val="00A37701"/>
    <w:rsid w:val="00A37A56"/>
    <w:rsid w:val="00A37AF2"/>
    <w:rsid w:val="00A37B07"/>
    <w:rsid w:val="00A37B56"/>
    <w:rsid w:val="00A37BAB"/>
    <w:rsid w:val="00A37C71"/>
    <w:rsid w:val="00A37ECC"/>
    <w:rsid w:val="00A4025E"/>
    <w:rsid w:val="00A4027A"/>
    <w:rsid w:val="00A40585"/>
    <w:rsid w:val="00A40ABA"/>
    <w:rsid w:val="00A40E86"/>
    <w:rsid w:val="00A410E7"/>
    <w:rsid w:val="00A411B8"/>
    <w:rsid w:val="00A417C1"/>
    <w:rsid w:val="00A417EF"/>
    <w:rsid w:val="00A41BA8"/>
    <w:rsid w:val="00A41BD4"/>
    <w:rsid w:val="00A42061"/>
    <w:rsid w:val="00A42142"/>
    <w:rsid w:val="00A425AF"/>
    <w:rsid w:val="00A426D2"/>
    <w:rsid w:val="00A4277E"/>
    <w:rsid w:val="00A4282A"/>
    <w:rsid w:val="00A42B23"/>
    <w:rsid w:val="00A42B55"/>
    <w:rsid w:val="00A42CDF"/>
    <w:rsid w:val="00A42D14"/>
    <w:rsid w:val="00A42D70"/>
    <w:rsid w:val="00A42EC6"/>
    <w:rsid w:val="00A42FF9"/>
    <w:rsid w:val="00A43006"/>
    <w:rsid w:val="00A430E9"/>
    <w:rsid w:val="00A432FE"/>
    <w:rsid w:val="00A435CB"/>
    <w:rsid w:val="00A4362F"/>
    <w:rsid w:val="00A43A3E"/>
    <w:rsid w:val="00A44084"/>
    <w:rsid w:val="00A44166"/>
    <w:rsid w:val="00A4501C"/>
    <w:rsid w:val="00A450FE"/>
    <w:rsid w:val="00A45190"/>
    <w:rsid w:val="00A451CC"/>
    <w:rsid w:val="00A452B0"/>
    <w:rsid w:val="00A45329"/>
    <w:rsid w:val="00A453ED"/>
    <w:rsid w:val="00A454B8"/>
    <w:rsid w:val="00A4562D"/>
    <w:rsid w:val="00A456CC"/>
    <w:rsid w:val="00A456D9"/>
    <w:rsid w:val="00A457EA"/>
    <w:rsid w:val="00A45829"/>
    <w:rsid w:val="00A45876"/>
    <w:rsid w:val="00A460C9"/>
    <w:rsid w:val="00A4666A"/>
    <w:rsid w:val="00A467FE"/>
    <w:rsid w:val="00A46913"/>
    <w:rsid w:val="00A46C37"/>
    <w:rsid w:val="00A46E0C"/>
    <w:rsid w:val="00A46F0F"/>
    <w:rsid w:val="00A47003"/>
    <w:rsid w:val="00A47ACB"/>
    <w:rsid w:val="00A47C3D"/>
    <w:rsid w:val="00A47F3D"/>
    <w:rsid w:val="00A500B9"/>
    <w:rsid w:val="00A501BF"/>
    <w:rsid w:val="00A50584"/>
    <w:rsid w:val="00A505B3"/>
    <w:rsid w:val="00A505FE"/>
    <w:rsid w:val="00A5088E"/>
    <w:rsid w:val="00A50A99"/>
    <w:rsid w:val="00A50CC9"/>
    <w:rsid w:val="00A50DF9"/>
    <w:rsid w:val="00A51079"/>
    <w:rsid w:val="00A512D9"/>
    <w:rsid w:val="00A512F8"/>
    <w:rsid w:val="00A514BE"/>
    <w:rsid w:val="00A5182E"/>
    <w:rsid w:val="00A51B0D"/>
    <w:rsid w:val="00A51BBB"/>
    <w:rsid w:val="00A51BE3"/>
    <w:rsid w:val="00A51EC0"/>
    <w:rsid w:val="00A52015"/>
    <w:rsid w:val="00A52898"/>
    <w:rsid w:val="00A52B87"/>
    <w:rsid w:val="00A52DFF"/>
    <w:rsid w:val="00A52E1B"/>
    <w:rsid w:val="00A53273"/>
    <w:rsid w:val="00A53368"/>
    <w:rsid w:val="00A5372A"/>
    <w:rsid w:val="00A53F2A"/>
    <w:rsid w:val="00A53FEF"/>
    <w:rsid w:val="00A5410E"/>
    <w:rsid w:val="00A5427B"/>
    <w:rsid w:val="00A54EFE"/>
    <w:rsid w:val="00A55193"/>
    <w:rsid w:val="00A553C6"/>
    <w:rsid w:val="00A554E6"/>
    <w:rsid w:val="00A55564"/>
    <w:rsid w:val="00A55587"/>
    <w:rsid w:val="00A55689"/>
    <w:rsid w:val="00A55A06"/>
    <w:rsid w:val="00A55AEA"/>
    <w:rsid w:val="00A55CD6"/>
    <w:rsid w:val="00A56157"/>
    <w:rsid w:val="00A56193"/>
    <w:rsid w:val="00A56268"/>
    <w:rsid w:val="00A5644E"/>
    <w:rsid w:val="00A5682C"/>
    <w:rsid w:val="00A56852"/>
    <w:rsid w:val="00A572F2"/>
    <w:rsid w:val="00A574F7"/>
    <w:rsid w:val="00A57666"/>
    <w:rsid w:val="00A576AC"/>
    <w:rsid w:val="00A5770C"/>
    <w:rsid w:val="00A57853"/>
    <w:rsid w:val="00A57AF5"/>
    <w:rsid w:val="00A57D41"/>
    <w:rsid w:val="00A57DC6"/>
    <w:rsid w:val="00A57E36"/>
    <w:rsid w:val="00A57FE3"/>
    <w:rsid w:val="00A600FC"/>
    <w:rsid w:val="00A60189"/>
    <w:rsid w:val="00A60265"/>
    <w:rsid w:val="00A60359"/>
    <w:rsid w:val="00A6040E"/>
    <w:rsid w:val="00A6058C"/>
    <w:rsid w:val="00A60B61"/>
    <w:rsid w:val="00A60D46"/>
    <w:rsid w:val="00A60F33"/>
    <w:rsid w:val="00A61863"/>
    <w:rsid w:val="00A6190F"/>
    <w:rsid w:val="00A6195C"/>
    <w:rsid w:val="00A61B31"/>
    <w:rsid w:val="00A61C1D"/>
    <w:rsid w:val="00A61CED"/>
    <w:rsid w:val="00A61EDD"/>
    <w:rsid w:val="00A62491"/>
    <w:rsid w:val="00A625AC"/>
    <w:rsid w:val="00A63093"/>
    <w:rsid w:val="00A634C2"/>
    <w:rsid w:val="00A63660"/>
    <w:rsid w:val="00A6385E"/>
    <w:rsid w:val="00A638AE"/>
    <w:rsid w:val="00A63A0B"/>
    <w:rsid w:val="00A63C41"/>
    <w:rsid w:val="00A63EDF"/>
    <w:rsid w:val="00A63F24"/>
    <w:rsid w:val="00A6402B"/>
    <w:rsid w:val="00A64431"/>
    <w:rsid w:val="00A64759"/>
    <w:rsid w:val="00A649AE"/>
    <w:rsid w:val="00A64BD8"/>
    <w:rsid w:val="00A64EBC"/>
    <w:rsid w:val="00A65255"/>
    <w:rsid w:val="00A65292"/>
    <w:rsid w:val="00A65478"/>
    <w:rsid w:val="00A6596B"/>
    <w:rsid w:val="00A65C0B"/>
    <w:rsid w:val="00A65C56"/>
    <w:rsid w:val="00A65C69"/>
    <w:rsid w:val="00A65CC6"/>
    <w:rsid w:val="00A65D6D"/>
    <w:rsid w:val="00A65DF3"/>
    <w:rsid w:val="00A65E31"/>
    <w:rsid w:val="00A65E51"/>
    <w:rsid w:val="00A66190"/>
    <w:rsid w:val="00A6674E"/>
    <w:rsid w:val="00A66810"/>
    <w:rsid w:val="00A6696F"/>
    <w:rsid w:val="00A66CD4"/>
    <w:rsid w:val="00A66D59"/>
    <w:rsid w:val="00A66F53"/>
    <w:rsid w:val="00A67067"/>
    <w:rsid w:val="00A670BE"/>
    <w:rsid w:val="00A67898"/>
    <w:rsid w:val="00A67902"/>
    <w:rsid w:val="00A679F1"/>
    <w:rsid w:val="00A67DED"/>
    <w:rsid w:val="00A67F3A"/>
    <w:rsid w:val="00A7008B"/>
    <w:rsid w:val="00A7012B"/>
    <w:rsid w:val="00A703B8"/>
    <w:rsid w:val="00A70693"/>
    <w:rsid w:val="00A7069E"/>
    <w:rsid w:val="00A70B62"/>
    <w:rsid w:val="00A712CD"/>
    <w:rsid w:val="00A71482"/>
    <w:rsid w:val="00A716A3"/>
    <w:rsid w:val="00A716F0"/>
    <w:rsid w:val="00A719D7"/>
    <w:rsid w:val="00A71C77"/>
    <w:rsid w:val="00A71CE4"/>
    <w:rsid w:val="00A71D73"/>
    <w:rsid w:val="00A71DB5"/>
    <w:rsid w:val="00A71DFF"/>
    <w:rsid w:val="00A7217A"/>
    <w:rsid w:val="00A7256D"/>
    <w:rsid w:val="00A7288A"/>
    <w:rsid w:val="00A73526"/>
    <w:rsid w:val="00A738DD"/>
    <w:rsid w:val="00A73C2D"/>
    <w:rsid w:val="00A73CF7"/>
    <w:rsid w:val="00A73D62"/>
    <w:rsid w:val="00A73E56"/>
    <w:rsid w:val="00A73FFB"/>
    <w:rsid w:val="00A73FFF"/>
    <w:rsid w:val="00A7416D"/>
    <w:rsid w:val="00A743F7"/>
    <w:rsid w:val="00A74755"/>
    <w:rsid w:val="00A74857"/>
    <w:rsid w:val="00A74B78"/>
    <w:rsid w:val="00A74BBE"/>
    <w:rsid w:val="00A7504E"/>
    <w:rsid w:val="00A752E2"/>
    <w:rsid w:val="00A7553D"/>
    <w:rsid w:val="00A75894"/>
    <w:rsid w:val="00A7598C"/>
    <w:rsid w:val="00A75B71"/>
    <w:rsid w:val="00A75B7A"/>
    <w:rsid w:val="00A75D3D"/>
    <w:rsid w:val="00A75D5E"/>
    <w:rsid w:val="00A75E7D"/>
    <w:rsid w:val="00A763B9"/>
    <w:rsid w:val="00A764BB"/>
    <w:rsid w:val="00A76733"/>
    <w:rsid w:val="00A76860"/>
    <w:rsid w:val="00A768D3"/>
    <w:rsid w:val="00A76CE6"/>
    <w:rsid w:val="00A76D03"/>
    <w:rsid w:val="00A76DB6"/>
    <w:rsid w:val="00A76FE6"/>
    <w:rsid w:val="00A77059"/>
    <w:rsid w:val="00A773A8"/>
    <w:rsid w:val="00A777CF"/>
    <w:rsid w:val="00A7782F"/>
    <w:rsid w:val="00A778FE"/>
    <w:rsid w:val="00A77B3E"/>
    <w:rsid w:val="00A77B9E"/>
    <w:rsid w:val="00A77C61"/>
    <w:rsid w:val="00A77CC6"/>
    <w:rsid w:val="00A80385"/>
    <w:rsid w:val="00A8066C"/>
    <w:rsid w:val="00A807AA"/>
    <w:rsid w:val="00A8080A"/>
    <w:rsid w:val="00A8081E"/>
    <w:rsid w:val="00A809F7"/>
    <w:rsid w:val="00A80CBE"/>
    <w:rsid w:val="00A80EFA"/>
    <w:rsid w:val="00A80FAA"/>
    <w:rsid w:val="00A810E3"/>
    <w:rsid w:val="00A8150E"/>
    <w:rsid w:val="00A81583"/>
    <w:rsid w:val="00A815D0"/>
    <w:rsid w:val="00A8168B"/>
    <w:rsid w:val="00A81E9A"/>
    <w:rsid w:val="00A8203B"/>
    <w:rsid w:val="00A8272B"/>
    <w:rsid w:val="00A82966"/>
    <w:rsid w:val="00A82A14"/>
    <w:rsid w:val="00A82D4D"/>
    <w:rsid w:val="00A83313"/>
    <w:rsid w:val="00A83347"/>
    <w:rsid w:val="00A83415"/>
    <w:rsid w:val="00A8358B"/>
    <w:rsid w:val="00A83801"/>
    <w:rsid w:val="00A83863"/>
    <w:rsid w:val="00A838B8"/>
    <w:rsid w:val="00A83905"/>
    <w:rsid w:val="00A8390C"/>
    <w:rsid w:val="00A839FC"/>
    <w:rsid w:val="00A83DE8"/>
    <w:rsid w:val="00A83F3C"/>
    <w:rsid w:val="00A840E1"/>
    <w:rsid w:val="00A841B3"/>
    <w:rsid w:val="00A84312"/>
    <w:rsid w:val="00A8495F"/>
    <w:rsid w:val="00A84EAD"/>
    <w:rsid w:val="00A85167"/>
    <w:rsid w:val="00A85412"/>
    <w:rsid w:val="00A86057"/>
    <w:rsid w:val="00A860F2"/>
    <w:rsid w:val="00A86103"/>
    <w:rsid w:val="00A8631E"/>
    <w:rsid w:val="00A86469"/>
    <w:rsid w:val="00A864D9"/>
    <w:rsid w:val="00A865A3"/>
    <w:rsid w:val="00A866C5"/>
    <w:rsid w:val="00A867AE"/>
    <w:rsid w:val="00A86C7B"/>
    <w:rsid w:val="00A86EAD"/>
    <w:rsid w:val="00A86F92"/>
    <w:rsid w:val="00A8725E"/>
    <w:rsid w:val="00A8754A"/>
    <w:rsid w:val="00A8788D"/>
    <w:rsid w:val="00A878F5"/>
    <w:rsid w:val="00A87976"/>
    <w:rsid w:val="00A87A84"/>
    <w:rsid w:val="00A87B5F"/>
    <w:rsid w:val="00A87DAD"/>
    <w:rsid w:val="00A87DD9"/>
    <w:rsid w:val="00A9005B"/>
    <w:rsid w:val="00A90082"/>
    <w:rsid w:val="00A90B22"/>
    <w:rsid w:val="00A9103D"/>
    <w:rsid w:val="00A91488"/>
    <w:rsid w:val="00A91499"/>
    <w:rsid w:val="00A9150F"/>
    <w:rsid w:val="00A91B1E"/>
    <w:rsid w:val="00A91B75"/>
    <w:rsid w:val="00A91F09"/>
    <w:rsid w:val="00A91F46"/>
    <w:rsid w:val="00A91F48"/>
    <w:rsid w:val="00A9225B"/>
    <w:rsid w:val="00A92797"/>
    <w:rsid w:val="00A92CBC"/>
    <w:rsid w:val="00A931B7"/>
    <w:rsid w:val="00A9370A"/>
    <w:rsid w:val="00A9372D"/>
    <w:rsid w:val="00A93872"/>
    <w:rsid w:val="00A938EA"/>
    <w:rsid w:val="00A939DB"/>
    <w:rsid w:val="00A93B41"/>
    <w:rsid w:val="00A93C76"/>
    <w:rsid w:val="00A93EAF"/>
    <w:rsid w:val="00A94539"/>
    <w:rsid w:val="00A946A7"/>
    <w:rsid w:val="00A94784"/>
    <w:rsid w:val="00A94A78"/>
    <w:rsid w:val="00A94A81"/>
    <w:rsid w:val="00A94AA6"/>
    <w:rsid w:val="00A94B45"/>
    <w:rsid w:val="00A94B8E"/>
    <w:rsid w:val="00A94C27"/>
    <w:rsid w:val="00A95045"/>
    <w:rsid w:val="00A953B7"/>
    <w:rsid w:val="00A953E5"/>
    <w:rsid w:val="00A95498"/>
    <w:rsid w:val="00A955D6"/>
    <w:rsid w:val="00A956A5"/>
    <w:rsid w:val="00A95DF6"/>
    <w:rsid w:val="00A95F6A"/>
    <w:rsid w:val="00A961A4"/>
    <w:rsid w:val="00A962E5"/>
    <w:rsid w:val="00A962EC"/>
    <w:rsid w:val="00A96329"/>
    <w:rsid w:val="00A963C6"/>
    <w:rsid w:val="00A96410"/>
    <w:rsid w:val="00A96736"/>
    <w:rsid w:val="00A967C7"/>
    <w:rsid w:val="00A96A45"/>
    <w:rsid w:val="00A970AB"/>
    <w:rsid w:val="00A971C7"/>
    <w:rsid w:val="00A976A5"/>
    <w:rsid w:val="00A976C1"/>
    <w:rsid w:val="00A97908"/>
    <w:rsid w:val="00A97A67"/>
    <w:rsid w:val="00A97CFA"/>
    <w:rsid w:val="00A97E4C"/>
    <w:rsid w:val="00AA0001"/>
    <w:rsid w:val="00AA0069"/>
    <w:rsid w:val="00AA0133"/>
    <w:rsid w:val="00AA03DE"/>
    <w:rsid w:val="00AA0561"/>
    <w:rsid w:val="00AA0B37"/>
    <w:rsid w:val="00AA0B43"/>
    <w:rsid w:val="00AA0C56"/>
    <w:rsid w:val="00AA0E85"/>
    <w:rsid w:val="00AA1924"/>
    <w:rsid w:val="00AA1B12"/>
    <w:rsid w:val="00AA1D1C"/>
    <w:rsid w:val="00AA247F"/>
    <w:rsid w:val="00AA25A2"/>
    <w:rsid w:val="00AA2852"/>
    <w:rsid w:val="00AA2BD8"/>
    <w:rsid w:val="00AA2E73"/>
    <w:rsid w:val="00AA344F"/>
    <w:rsid w:val="00AA38EF"/>
    <w:rsid w:val="00AA3AA9"/>
    <w:rsid w:val="00AA3B5F"/>
    <w:rsid w:val="00AA3B6C"/>
    <w:rsid w:val="00AA3B8D"/>
    <w:rsid w:val="00AA3D10"/>
    <w:rsid w:val="00AA3E98"/>
    <w:rsid w:val="00AA3FC9"/>
    <w:rsid w:val="00AA4014"/>
    <w:rsid w:val="00AA4082"/>
    <w:rsid w:val="00AA40F2"/>
    <w:rsid w:val="00AA41E8"/>
    <w:rsid w:val="00AA41E9"/>
    <w:rsid w:val="00AA4327"/>
    <w:rsid w:val="00AA4426"/>
    <w:rsid w:val="00AA45D8"/>
    <w:rsid w:val="00AA46F3"/>
    <w:rsid w:val="00AA4AA8"/>
    <w:rsid w:val="00AA4B92"/>
    <w:rsid w:val="00AA4BDA"/>
    <w:rsid w:val="00AA4E1B"/>
    <w:rsid w:val="00AA4E37"/>
    <w:rsid w:val="00AA4F3B"/>
    <w:rsid w:val="00AA4F4C"/>
    <w:rsid w:val="00AA50BB"/>
    <w:rsid w:val="00AA5303"/>
    <w:rsid w:val="00AA579E"/>
    <w:rsid w:val="00AA595E"/>
    <w:rsid w:val="00AA5CF0"/>
    <w:rsid w:val="00AA62D2"/>
    <w:rsid w:val="00AA6764"/>
    <w:rsid w:val="00AA6BC4"/>
    <w:rsid w:val="00AA6F70"/>
    <w:rsid w:val="00AA712D"/>
    <w:rsid w:val="00AA71CD"/>
    <w:rsid w:val="00AA74C1"/>
    <w:rsid w:val="00AA75EA"/>
    <w:rsid w:val="00AA7602"/>
    <w:rsid w:val="00AA78A1"/>
    <w:rsid w:val="00AA78E1"/>
    <w:rsid w:val="00AA795B"/>
    <w:rsid w:val="00AA7B95"/>
    <w:rsid w:val="00AA7CE4"/>
    <w:rsid w:val="00AA7D16"/>
    <w:rsid w:val="00AA7EDD"/>
    <w:rsid w:val="00AA7FA8"/>
    <w:rsid w:val="00AB0061"/>
    <w:rsid w:val="00AB0251"/>
    <w:rsid w:val="00AB0318"/>
    <w:rsid w:val="00AB045C"/>
    <w:rsid w:val="00AB0C0E"/>
    <w:rsid w:val="00AB0C26"/>
    <w:rsid w:val="00AB0C9D"/>
    <w:rsid w:val="00AB0DA8"/>
    <w:rsid w:val="00AB0DDA"/>
    <w:rsid w:val="00AB1152"/>
    <w:rsid w:val="00AB1598"/>
    <w:rsid w:val="00AB1606"/>
    <w:rsid w:val="00AB186A"/>
    <w:rsid w:val="00AB18AF"/>
    <w:rsid w:val="00AB1A11"/>
    <w:rsid w:val="00AB1A90"/>
    <w:rsid w:val="00AB1B8F"/>
    <w:rsid w:val="00AB21A9"/>
    <w:rsid w:val="00AB21DD"/>
    <w:rsid w:val="00AB2290"/>
    <w:rsid w:val="00AB22F9"/>
    <w:rsid w:val="00AB23A6"/>
    <w:rsid w:val="00AB27A9"/>
    <w:rsid w:val="00AB2BD4"/>
    <w:rsid w:val="00AB2CA3"/>
    <w:rsid w:val="00AB2D81"/>
    <w:rsid w:val="00AB2FC4"/>
    <w:rsid w:val="00AB367B"/>
    <w:rsid w:val="00AB3727"/>
    <w:rsid w:val="00AB3B03"/>
    <w:rsid w:val="00AB3B3E"/>
    <w:rsid w:val="00AB3DC2"/>
    <w:rsid w:val="00AB40BE"/>
    <w:rsid w:val="00AB449A"/>
    <w:rsid w:val="00AB4583"/>
    <w:rsid w:val="00AB4589"/>
    <w:rsid w:val="00AB4C1D"/>
    <w:rsid w:val="00AB51CA"/>
    <w:rsid w:val="00AB5414"/>
    <w:rsid w:val="00AB5482"/>
    <w:rsid w:val="00AB56B3"/>
    <w:rsid w:val="00AB57CB"/>
    <w:rsid w:val="00AB59B3"/>
    <w:rsid w:val="00AB5CC1"/>
    <w:rsid w:val="00AB5D9A"/>
    <w:rsid w:val="00AB5E0E"/>
    <w:rsid w:val="00AB5F86"/>
    <w:rsid w:val="00AB6042"/>
    <w:rsid w:val="00AB607D"/>
    <w:rsid w:val="00AB66B9"/>
    <w:rsid w:val="00AB66EC"/>
    <w:rsid w:val="00AB6971"/>
    <w:rsid w:val="00AB6A5A"/>
    <w:rsid w:val="00AB6BDE"/>
    <w:rsid w:val="00AB6ED9"/>
    <w:rsid w:val="00AB73C6"/>
    <w:rsid w:val="00AB73D5"/>
    <w:rsid w:val="00AB767E"/>
    <w:rsid w:val="00AB76B8"/>
    <w:rsid w:val="00AB7840"/>
    <w:rsid w:val="00AB7914"/>
    <w:rsid w:val="00AB7C2C"/>
    <w:rsid w:val="00AC0054"/>
    <w:rsid w:val="00AC0203"/>
    <w:rsid w:val="00AC032A"/>
    <w:rsid w:val="00AC0368"/>
    <w:rsid w:val="00AC040D"/>
    <w:rsid w:val="00AC0978"/>
    <w:rsid w:val="00AC0B6D"/>
    <w:rsid w:val="00AC0B7C"/>
    <w:rsid w:val="00AC0B9A"/>
    <w:rsid w:val="00AC0D04"/>
    <w:rsid w:val="00AC0D20"/>
    <w:rsid w:val="00AC0F4F"/>
    <w:rsid w:val="00AC0F6D"/>
    <w:rsid w:val="00AC1027"/>
    <w:rsid w:val="00AC108D"/>
    <w:rsid w:val="00AC15B4"/>
    <w:rsid w:val="00AC1D38"/>
    <w:rsid w:val="00AC1D59"/>
    <w:rsid w:val="00AC1E04"/>
    <w:rsid w:val="00AC1EB9"/>
    <w:rsid w:val="00AC2091"/>
    <w:rsid w:val="00AC220E"/>
    <w:rsid w:val="00AC224F"/>
    <w:rsid w:val="00AC2566"/>
    <w:rsid w:val="00AC2717"/>
    <w:rsid w:val="00AC27B5"/>
    <w:rsid w:val="00AC284D"/>
    <w:rsid w:val="00AC2856"/>
    <w:rsid w:val="00AC294C"/>
    <w:rsid w:val="00AC2A24"/>
    <w:rsid w:val="00AC2B58"/>
    <w:rsid w:val="00AC2B79"/>
    <w:rsid w:val="00AC2BCC"/>
    <w:rsid w:val="00AC312F"/>
    <w:rsid w:val="00AC3183"/>
    <w:rsid w:val="00AC333C"/>
    <w:rsid w:val="00AC33BC"/>
    <w:rsid w:val="00AC35E2"/>
    <w:rsid w:val="00AC3927"/>
    <w:rsid w:val="00AC3970"/>
    <w:rsid w:val="00AC3994"/>
    <w:rsid w:val="00AC39BA"/>
    <w:rsid w:val="00AC3B0A"/>
    <w:rsid w:val="00AC3C93"/>
    <w:rsid w:val="00AC41A2"/>
    <w:rsid w:val="00AC4323"/>
    <w:rsid w:val="00AC4736"/>
    <w:rsid w:val="00AC49B4"/>
    <w:rsid w:val="00AC4B6D"/>
    <w:rsid w:val="00AC4F8E"/>
    <w:rsid w:val="00AC4FDE"/>
    <w:rsid w:val="00AC51FF"/>
    <w:rsid w:val="00AC54C4"/>
    <w:rsid w:val="00AC5895"/>
    <w:rsid w:val="00AC5CFC"/>
    <w:rsid w:val="00AC6044"/>
    <w:rsid w:val="00AC6121"/>
    <w:rsid w:val="00AC6396"/>
    <w:rsid w:val="00AC64A0"/>
    <w:rsid w:val="00AC6557"/>
    <w:rsid w:val="00AC6591"/>
    <w:rsid w:val="00AC68BE"/>
    <w:rsid w:val="00AC69D6"/>
    <w:rsid w:val="00AC6B05"/>
    <w:rsid w:val="00AC7340"/>
    <w:rsid w:val="00AC73A6"/>
    <w:rsid w:val="00AC7B91"/>
    <w:rsid w:val="00AD03F5"/>
    <w:rsid w:val="00AD052A"/>
    <w:rsid w:val="00AD09C8"/>
    <w:rsid w:val="00AD0A33"/>
    <w:rsid w:val="00AD0AF2"/>
    <w:rsid w:val="00AD0CD7"/>
    <w:rsid w:val="00AD0DD1"/>
    <w:rsid w:val="00AD1162"/>
    <w:rsid w:val="00AD1377"/>
    <w:rsid w:val="00AD14A9"/>
    <w:rsid w:val="00AD161D"/>
    <w:rsid w:val="00AD1700"/>
    <w:rsid w:val="00AD19A3"/>
    <w:rsid w:val="00AD1BE6"/>
    <w:rsid w:val="00AD1EE0"/>
    <w:rsid w:val="00AD2396"/>
    <w:rsid w:val="00AD28C4"/>
    <w:rsid w:val="00AD2B26"/>
    <w:rsid w:val="00AD2FF1"/>
    <w:rsid w:val="00AD3036"/>
    <w:rsid w:val="00AD3651"/>
    <w:rsid w:val="00AD3ABC"/>
    <w:rsid w:val="00AD3AC5"/>
    <w:rsid w:val="00AD3EDB"/>
    <w:rsid w:val="00AD3F02"/>
    <w:rsid w:val="00AD41AB"/>
    <w:rsid w:val="00AD449E"/>
    <w:rsid w:val="00AD47E6"/>
    <w:rsid w:val="00AD4888"/>
    <w:rsid w:val="00AD4A06"/>
    <w:rsid w:val="00AD4A16"/>
    <w:rsid w:val="00AD4A63"/>
    <w:rsid w:val="00AD4AE0"/>
    <w:rsid w:val="00AD4E52"/>
    <w:rsid w:val="00AD5375"/>
    <w:rsid w:val="00AD5495"/>
    <w:rsid w:val="00AD5A33"/>
    <w:rsid w:val="00AD5B7B"/>
    <w:rsid w:val="00AD5CCF"/>
    <w:rsid w:val="00AD5D04"/>
    <w:rsid w:val="00AD5E0C"/>
    <w:rsid w:val="00AD6220"/>
    <w:rsid w:val="00AD64E7"/>
    <w:rsid w:val="00AD65B1"/>
    <w:rsid w:val="00AD678A"/>
    <w:rsid w:val="00AD6886"/>
    <w:rsid w:val="00AD6B0C"/>
    <w:rsid w:val="00AD6E4A"/>
    <w:rsid w:val="00AD70C1"/>
    <w:rsid w:val="00AD71AA"/>
    <w:rsid w:val="00AD72BC"/>
    <w:rsid w:val="00AD75F4"/>
    <w:rsid w:val="00AD76D7"/>
    <w:rsid w:val="00AD7830"/>
    <w:rsid w:val="00AD797D"/>
    <w:rsid w:val="00AD7AE8"/>
    <w:rsid w:val="00AD7C95"/>
    <w:rsid w:val="00AD7CCB"/>
    <w:rsid w:val="00AD7EC8"/>
    <w:rsid w:val="00AE0134"/>
    <w:rsid w:val="00AE0301"/>
    <w:rsid w:val="00AE03F3"/>
    <w:rsid w:val="00AE0696"/>
    <w:rsid w:val="00AE0C3D"/>
    <w:rsid w:val="00AE0E74"/>
    <w:rsid w:val="00AE0F6F"/>
    <w:rsid w:val="00AE118F"/>
    <w:rsid w:val="00AE146C"/>
    <w:rsid w:val="00AE165F"/>
    <w:rsid w:val="00AE170F"/>
    <w:rsid w:val="00AE17DF"/>
    <w:rsid w:val="00AE1928"/>
    <w:rsid w:val="00AE19D8"/>
    <w:rsid w:val="00AE19F1"/>
    <w:rsid w:val="00AE1A1A"/>
    <w:rsid w:val="00AE1B80"/>
    <w:rsid w:val="00AE1D31"/>
    <w:rsid w:val="00AE1D8D"/>
    <w:rsid w:val="00AE1E55"/>
    <w:rsid w:val="00AE2499"/>
    <w:rsid w:val="00AE2638"/>
    <w:rsid w:val="00AE2830"/>
    <w:rsid w:val="00AE289C"/>
    <w:rsid w:val="00AE2BDC"/>
    <w:rsid w:val="00AE2F27"/>
    <w:rsid w:val="00AE3169"/>
    <w:rsid w:val="00AE32E4"/>
    <w:rsid w:val="00AE3318"/>
    <w:rsid w:val="00AE3366"/>
    <w:rsid w:val="00AE336A"/>
    <w:rsid w:val="00AE3384"/>
    <w:rsid w:val="00AE34F0"/>
    <w:rsid w:val="00AE3545"/>
    <w:rsid w:val="00AE3835"/>
    <w:rsid w:val="00AE38B8"/>
    <w:rsid w:val="00AE39B1"/>
    <w:rsid w:val="00AE3A19"/>
    <w:rsid w:val="00AE3BF8"/>
    <w:rsid w:val="00AE3CF0"/>
    <w:rsid w:val="00AE3EA5"/>
    <w:rsid w:val="00AE41B0"/>
    <w:rsid w:val="00AE42DF"/>
    <w:rsid w:val="00AE44C9"/>
    <w:rsid w:val="00AE4A8E"/>
    <w:rsid w:val="00AE503C"/>
    <w:rsid w:val="00AE52FD"/>
    <w:rsid w:val="00AE55E7"/>
    <w:rsid w:val="00AE5870"/>
    <w:rsid w:val="00AE595C"/>
    <w:rsid w:val="00AE5A12"/>
    <w:rsid w:val="00AE5A8A"/>
    <w:rsid w:val="00AE6398"/>
    <w:rsid w:val="00AE662F"/>
    <w:rsid w:val="00AE66BC"/>
    <w:rsid w:val="00AE6AA5"/>
    <w:rsid w:val="00AE6F01"/>
    <w:rsid w:val="00AE6F6C"/>
    <w:rsid w:val="00AE731B"/>
    <w:rsid w:val="00AE744D"/>
    <w:rsid w:val="00AE7708"/>
    <w:rsid w:val="00AE7A64"/>
    <w:rsid w:val="00AE7ECC"/>
    <w:rsid w:val="00AE7ED3"/>
    <w:rsid w:val="00AE7EFC"/>
    <w:rsid w:val="00AF0039"/>
    <w:rsid w:val="00AF0292"/>
    <w:rsid w:val="00AF0387"/>
    <w:rsid w:val="00AF073F"/>
    <w:rsid w:val="00AF0B18"/>
    <w:rsid w:val="00AF0F3D"/>
    <w:rsid w:val="00AF0FFB"/>
    <w:rsid w:val="00AF12AD"/>
    <w:rsid w:val="00AF1AE3"/>
    <w:rsid w:val="00AF1EA8"/>
    <w:rsid w:val="00AF224B"/>
    <w:rsid w:val="00AF2932"/>
    <w:rsid w:val="00AF2D9A"/>
    <w:rsid w:val="00AF2EC7"/>
    <w:rsid w:val="00AF30C6"/>
    <w:rsid w:val="00AF328B"/>
    <w:rsid w:val="00AF3730"/>
    <w:rsid w:val="00AF424E"/>
    <w:rsid w:val="00AF452B"/>
    <w:rsid w:val="00AF47D8"/>
    <w:rsid w:val="00AF49C2"/>
    <w:rsid w:val="00AF4C02"/>
    <w:rsid w:val="00AF4DCA"/>
    <w:rsid w:val="00AF5020"/>
    <w:rsid w:val="00AF5108"/>
    <w:rsid w:val="00AF51A3"/>
    <w:rsid w:val="00AF5724"/>
    <w:rsid w:val="00AF5782"/>
    <w:rsid w:val="00AF584E"/>
    <w:rsid w:val="00AF5938"/>
    <w:rsid w:val="00AF5987"/>
    <w:rsid w:val="00AF5C31"/>
    <w:rsid w:val="00AF5DCA"/>
    <w:rsid w:val="00AF5E4E"/>
    <w:rsid w:val="00AF643F"/>
    <w:rsid w:val="00AF662D"/>
    <w:rsid w:val="00AF686C"/>
    <w:rsid w:val="00AF6A00"/>
    <w:rsid w:val="00AF6C0D"/>
    <w:rsid w:val="00AF6C21"/>
    <w:rsid w:val="00AF6E22"/>
    <w:rsid w:val="00AF7010"/>
    <w:rsid w:val="00AF7357"/>
    <w:rsid w:val="00AF748D"/>
    <w:rsid w:val="00AF75ED"/>
    <w:rsid w:val="00AF764A"/>
    <w:rsid w:val="00AF79FA"/>
    <w:rsid w:val="00AF7C39"/>
    <w:rsid w:val="00AF7FB8"/>
    <w:rsid w:val="00B00134"/>
    <w:rsid w:val="00B0013F"/>
    <w:rsid w:val="00B0017F"/>
    <w:rsid w:val="00B00342"/>
    <w:rsid w:val="00B0040A"/>
    <w:rsid w:val="00B0042C"/>
    <w:rsid w:val="00B0052C"/>
    <w:rsid w:val="00B005BF"/>
    <w:rsid w:val="00B005FA"/>
    <w:rsid w:val="00B00780"/>
    <w:rsid w:val="00B009FC"/>
    <w:rsid w:val="00B00B15"/>
    <w:rsid w:val="00B013A9"/>
    <w:rsid w:val="00B01804"/>
    <w:rsid w:val="00B01E21"/>
    <w:rsid w:val="00B01EC7"/>
    <w:rsid w:val="00B01ED1"/>
    <w:rsid w:val="00B0204B"/>
    <w:rsid w:val="00B020A5"/>
    <w:rsid w:val="00B020B5"/>
    <w:rsid w:val="00B0222F"/>
    <w:rsid w:val="00B02607"/>
    <w:rsid w:val="00B028B6"/>
    <w:rsid w:val="00B02A63"/>
    <w:rsid w:val="00B02ADE"/>
    <w:rsid w:val="00B02D9F"/>
    <w:rsid w:val="00B02E08"/>
    <w:rsid w:val="00B02E27"/>
    <w:rsid w:val="00B02F63"/>
    <w:rsid w:val="00B03384"/>
    <w:rsid w:val="00B035F8"/>
    <w:rsid w:val="00B03785"/>
    <w:rsid w:val="00B0391E"/>
    <w:rsid w:val="00B03E12"/>
    <w:rsid w:val="00B03FEA"/>
    <w:rsid w:val="00B04103"/>
    <w:rsid w:val="00B04106"/>
    <w:rsid w:val="00B04188"/>
    <w:rsid w:val="00B0423F"/>
    <w:rsid w:val="00B048F0"/>
    <w:rsid w:val="00B049C7"/>
    <w:rsid w:val="00B04C34"/>
    <w:rsid w:val="00B04C8F"/>
    <w:rsid w:val="00B04D20"/>
    <w:rsid w:val="00B04D7B"/>
    <w:rsid w:val="00B04EDD"/>
    <w:rsid w:val="00B0503B"/>
    <w:rsid w:val="00B054D3"/>
    <w:rsid w:val="00B0552A"/>
    <w:rsid w:val="00B055E3"/>
    <w:rsid w:val="00B055ED"/>
    <w:rsid w:val="00B057FB"/>
    <w:rsid w:val="00B0589F"/>
    <w:rsid w:val="00B05B1A"/>
    <w:rsid w:val="00B05B9F"/>
    <w:rsid w:val="00B05EEA"/>
    <w:rsid w:val="00B06163"/>
    <w:rsid w:val="00B06997"/>
    <w:rsid w:val="00B06B3F"/>
    <w:rsid w:val="00B06B4E"/>
    <w:rsid w:val="00B06D75"/>
    <w:rsid w:val="00B07083"/>
    <w:rsid w:val="00B07093"/>
    <w:rsid w:val="00B07253"/>
    <w:rsid w:val="00B073EB"/>
    <w:rsid w:val="00B07543"/>
    <w:rsid w:val="00B07576"/>
    <w:rsid w:val="00B075D1"/>
    <w:rsid w:val="00B0761A"/>
    <w:rsid w:val="00B077D1"/>
    <w:rsid w:val="00B10067"/>
    <w:rsid w:val="00B10705"/>
    <w:rsid w:val="00B1088A"/>
    <w:rsid w:val="00B10EA7"/>
    <w:rsid w:val="00B111BE"/>
    <w:rsid w:val="00B11241"/>
    <w:rsid w:val="00B118D0"/>
    <w:rsid w:val="00B11922"/>
    <w:rsid w:val="00B11B4C"/>
    <w:rsid w:val="00B11D09"/>
    <w:rsid w:val="00B11EC1"/>
    <w:rsid w:val="00B11F2E"/>
    <w:rsid w:val="00B1222B"/>
    <w:rsid w:val="00B12357"/>
    <w:rsid w:val="00B12509"/>
    <w:rsid w:val="00B12660"/>
    <w:rsid w:val="00B127B9"/>
    <w:rsid w:val="00B12802"/>
    <w:rsid w:val="00B12826"/>
    <w:rsid w:val="00B12881"/>
    <w:rsid w:val="00B12B7A"/>
    <w:rsid w:val="00B12DBC"/>
    <w:rsid w:val="00B12E9E"/>
    <w:rsid w:val="00B133C2"/>
    <w:rsid w:val="00B13641"/>
    <w:rsid w:val="00B13793"/>
    <w:rsid w:val="00B13B33"/>
    <w:rsid w:val="00B13B77"/>
    <w:rsid w:val="00B13B9E"/>
    <w:rsid w:val="00B13C71"/>
    <w:rsid w:val="00B13E2E"/>
    <w:rsid w:val="00B1472D"/>
    <w:rsid w:val="00B1496B"/>
    <w:rsid w:val="00B14CE0"/>
    <w:rsid w:val="00B15AB3"/>
    <w:rsid w:val="00B15E47"/>
    <w:rsid w:val="00B15F35"/>
    <w:rsid w:val="00B16482"/>
    <w:rsid w:val="00B167F4"/>
    <w:rsid w:val="00B168A3"/>
    <w:rsid w:val="00B16917"/>
    <w:rsid w:val="00B16C69"/>
    <w:rsid w:val="00B1711F"/>
    <w:rsid w:val="00B1712D"/>
    <w:rsid w:val="00B173E0"/>
    <w:rsid w:val="00B17465"/>
    <w:rsid w:val="00B17AFB"/>
    <w:rsid w:val="00B17B98"/>
    <w:rsid w:val="00B17F70"/>
    <w:rsid w:val="00B17F86"/>
    <w:rsid w:val="00B200FB"/>
    <w:rsid w:val="00B2030E"/>
    <w:rsid w:val="00B20425"/>
    <w:rsid w:val="00B209D0"/>
    <w:rsid w:val="00B20A4A"/>
    <w:rsid w:val="00B20CC1"/>
    <w:rsid w:val="00B20F25"/>
    <w:rsid w:val="00B21423"/>
    <w:rsid w:val="00B2194A"/>
    <w:rsid w:val="00B21C59"/>
    <w:rsid w:val="00B22061"/>
    <w:rsid w:val="00B224C1"/>
    <w:rsid w:val="00B226A7"/>
    <w:rsid w:val="00B227E7"/>
    <w:rsid w:val="00B22EFD"/>
    <w:rsid w:val="00B23025"/>
    <w:rsid w:val="00B23302"/>
    <w:rsid w:val="00B233D0"/>
    <w:rsid w:val="00B23612"/>
    <w:rsid w:val="00B23A37"/>
    <w:rsid w:val="00B23A75"/>
    <w:rsid w:val="00B23AA4"/>
    <w:rsid w:val="00B248DD"/>
    <w:rsid w:val="00B249B6"/>
    <w:rsid w:val="00B24C02"/>
    <w:rsid w:val="00B24FAB"/>
    <w:rsid w:val="00B24FEE"/>
    <w:rsid w:val="00B256F2"/>
    <w:rsid w:val="00B25B11"/>
    <w:rsid w:val="00B25BF7"/>
    <w:rsid w:val="00B25CA4"/>
    <w:rsid w:val="00B26321"/>
    <w:rsid w:val="00B2641A"/>
    <w:rsid w:val="00B26D68"/>
    <w:rsid w:val="00B26FFD"/>
    <w:rsid w:val="00B27171"/>
    <w:rsid w:val="00B27638"/>
    <w:rsid w:val="00B27672"/>
    <w:rsid w:val="00B2770C"/>
    <w:rsid w:val="00B2790D"/>
    <w:rsid w:val="00B2799C"/>
    <w:rsid w:val="00B27C61"/>
    <w:rsid w:val="00B27E00"/>
    <w:rsid w:val="00B27F94"/>
    <w:rsid w:val="00B3008C"/>
    <w:rsid w:val="00B3018C"/>
    <w:rsid w:val="00B3034A"/>
    <w:rsid w:val="00B30740"/>
    <w:rsid w:val="00B30A90"/>
    <w:rsid w:val="00B30AFC"/>
    <w:rsid w:val="00B30BF0"/>
    <w:rsid w:val="00B30EBD"/>
    <w:rsid w:val="00B31615"/>
    <w:rsid w:val="00B316A6"/>
    <w:rsid w:val="00B31A0F"/>
    <w:rsid w:val="00B31AE1"/>
    <w:rsid w:val="00B31C63"/>
    <w:rsid w:val="00B3242F"/>
    <w:rsid w:val="00B327A1"/>
    <w:rsid w:val="00B32877"/>
    <w:rsid w:val="00B32C08"/>
    <w:rsid w:val="00B32C96"/>
    <w:rsid w:val="00B33384"/>
    <w:rsid w:val="00B33424"/>
    <w:rsid w:val="00B3342F"/>
    <w:rsid w:val="00B337D8"/>
    <w:rsid w:val="00B33F44"/>
    <w:rsid w:val="00B34012"/>
    <w:rsid w:val="00B34046"/>
    <w:rsid w:val="00B3415C"/>
    <w:rsid w:val="00B3436C"/>
    <w:rsid w:val="00B3449B"/>
    <w:rsid w:val="00B344EB"/>
    <w:rsid w:val="00B3456E"/>
    <w:rsid w:val="00B34712"/>
    <w:rsid w:val="00B34A76"/>
    <w:rsid w:val="00B34BB1"/>
    <w:rsid w:val="00B34DDF"/>
    <w:rsid w:val="00B35271"/>
    <w:rsid w:val="00B3538D"/>
    <w:rsid w:val="00B3559E"/>
    <w:rsid w:val="00B3568B"/>
    <w:rsid w:val="00B358D5"/>
    <w:rsid w:val="00B35BB6"/>
    <w:rsid w:val="00B35D92"/>
    <w:rsid w:val="00B35F94"/>
    <w:rsid w:val="00B362E1"/>
    <w:rsid w:val="00B36487"/>
    <w:rsid w:val="00B36623"/>
    <w:rsid w:val="00B369F7"/>
    <w:rsid w:val="00B36AFC"/>
    <w:rsid w:val="00B36C83"/>
    <w:rsid w:val="00B36F1A"/>
    <w:rsid w:val="00B36F54"/>
    <w:rsid w:val="00B37453"/>
    <w:rsid w:val="00B377AB"/>
    <w:rsid w:val="00B37AE6"/>
    <w:rsid w:val="00B37B50"/>
    <w:rsid w:val="00B37DC4"/>
    <w:rsid w:val="00B37F59"/>
    <w:rsid w:val="00B402D1"/>
    <w:rsid w:val="00B40433"/>
    <w:rsid w:val="00B407A8"/>
    <w:rsid w:val="00B409E9"/>
    <w:rsid w:val="00B40AC1"/>
    <w:rsid w:val="00B40BBC"/>
    <w:rsid w:val="00B40E02"/>
    <w:rsid w:val="00B40F36"/>
    <w:rsid w:val="00B40FA0"/>
    <w:rsid w:val="00B412BB"/>
    <w:rsid w:val="00B413F8"/>
    <w:rsid w:val="00B41480"/>
    <w:rsid w:val="00B41518"/>
    <w:rsid w:val="00B416A1"/>
    <w:rsid w:val="00B4191F"/>
    <w:rsid w:val="00B41A61"/>
    <w:rsid w:val="00B41B8A"/>
    <w:rsid w:val="00B41D4D"/>
    <w:rsid w:val="00B41F93"/>
    <w:rsid w:val="00B41FDE"/>
    <w:rsid w:val="00B42068"/>
    <w:rsid w:val="00B42CA3"/>
    <w:rsid w:val="00B42F4A"/>
    <w:rsid w:val="00B42FA5"/>
    <w:rsid w:val="00B42FD1"/>
    <w:rsid w:val="00B4314B"/>
    <w:rsid w:val="00B433B0"/>
    <w:rsid w:val="00B43566"/>
    <w:rsid w:val="00B439DC"/>
    <w:rsid w:val="00B43AA0"/>
    <w:rsid w:val="00B43C93"/>
    <w:rsid w:val="00B43D3E"/>
    <w:rsid w:val="00B43D9F"/>
    <w:rsid w:val="00B43DE6"/>
    <w:rsid w:val="00B43EF0"/>
    <w:rsid w:val="00B43FA8"/>
    <w:rsid w:val="00B44082"/>
    <w:rsid w:val="00B4438A"/>
    <w:rsid w:val="00B443A2"/>
    <w:rsid w:val="00B44613"/>
    <w:rsid w:val="00B44614"/>
    <w:rsid w:val="00B44629"/>
    <w:rsid w:val="00B447CC"/>
    <w:rsid w:val="00B44888"/>
    <w:rsid w:val="00B44AC5"/>
    <w:rsid w:val="00B450B1"/>
    <w:rsid w:val="00B4574B"/>
    <w:rsid w:val="00B45767"/>
    <w:rsid w:val="00B45AD0"/>
    <w:rsid w:val="00B45B68"/>
    <w:rsid w:val="00B45D3A"/>
    <w:rsid w:val="00B46293"/>
    <w:rsid w:val="00B462D0"/>
    <w:rsid w:val="00B462FE"/>
    <w:rsid w:val="00B46383"/>
    <w:rsid w:val="00B463CF"/>
    <w:rsid w:val="00B46657"/>
    <w:rsid w:val="00B46C85"/>
    <w:rsid w:val="00B46D0F"/>
    <w:rsid w:val="00B46D4E"/>
    <w:rsid w:val="00B46DF6"/>
    <w:rsid w:val="00B46F8C"/>
    <w:rsid w:val="00B47223"/>
    <w:rsid w:val="00B47257"/>
    <w:rsid w:val="00B47491"/>
    <w:rsid w:val="00B474A1"/>
    <w:rsid w:val="00B4754E"/>
    <w:rsid w:val="00B47841"/>
    <w:rsid w:val="00B4796F"/>
    <w:rsid w:val="00B47BDA"/>
    <w:rsid w:val="00B47CF0"/>
    <w:rsid w:val="00B47CFB"/>
    <w:rsid w:val="00B500FE"/>
    <w:rsid w:val="00B5019B"/>
    <w:rsid w:val="00B5053F"/>
    <w:rsid w:val="00B5060F"/>
    <w:rsid w:val="00B50ABD"/>
    <w:rsid w:val="00B50AF0"/>
    <w:rsid w:val="00B50BCA"/>
    <w:rsid w:val="00B50E7A"/>
    <w:rsid w:val="00B51137"/>
    <w:rsid w:val="00B51184"/>
    <w:rsid w:val="00B512B0"/>
    <w:rsid w:val="00B512E6"/>
    <w:rsid w:val="00B5154E"/>
    <w:rsid w:val="00B5172C"/>
    <w:rsid w:val="00B517B5"/>
    <w:rsid w:val="00B51802"/>
    <w:rsid w:val="00B518BF"/>
    <w:rsid w:val="00B519C8"/>
    <w:rsid w:val="00B51A29"/>
    <w:rsid w:val="00B520FE"/>
    <w:rsid w:val="00B5242B"/>
    <w:rsid w:val="00B526FE"/>
    <w:rsid w:val="00B5292F"/>
    <w:rsid w:val="00B52AAB"/>
    <w:rsid w:val="00B52D28"/>
    <w:rsid w:val="00B53115"/>
    <w:rsid w:val="00B53A95"/>
    <w:rsid w:val="00B53B65"/>
    <w:rsid w:val="00B53B88"/>
    <w:rsid w:val="00B53D16"/>
    <w:rsid w:val="00B53DFF"/>
    <w:rsid w:val="00B53F0B"/>
    <w:rsid w:val="00B54407"/>
    <w:rsid w:val="00B544A5"/>
    <w:rsid w:val="00B544CA"/>
    <w:rsid w:val="00B5454F"/>
    <w:rsid w:val="00B54670"/>
    <w:rsid w:val="00B546B6"/>
    <w:rsid w:val="00B54AED"/>
    <w:rsid w:val="00B54B0F"/>
    <w:rsid w:val="00B54BBA"/>
    <w:rsid w:val="00B550E5"/>
    <w:rsid w:val="00B55349"/>
    <w:rsid w:val="00B553A2"/>
    <w:rsid w:val="00B55404"/>
    <w:rsid w:val="00B55422"/>
    <w:rsid w:val="00B55436"/>
    <w:rsid w:val="00B556C7"/>
    <w:rsid w:val="00B557BB"/>
    <w:rsid w:val="00B5613C"/>
    <w:rsid w:val="00B5623C"/>
    <w:rsid w:val="00B56752"/>
    <w:rsid w:val="00B567E3"/>
    <w:rsid w:val="00B569FD"/>
    <w:rsid w:val="00B56BAE"/>
    <w:rsid w:val="00B56EF3"/>
    <w:rsid w:val="00B570E3"/>
    <w:rsid w:val="00B5722E"/>
    <w:rsid w:val="00B57476"/>
    <w:rsid w:val="00B578FA"/>
    <w:rsid w:val="00B579E1"/>
    <w:rsid w:val="00B57AEA"/>
    <w:rsid w:val="00B57E67"/>
    <w:rsid w:val="00B57E9A"/>
    <w:rsid w:val="00B57FE1"/>
    <w:rsid w:val="00B605A5"/>
    <w:rsid w:val="00B607FA"/>
    <w:rsid w:val="00B61516"/>
    <w:rsid w:val="00B6152C"/>
    <w:rsid w:val="00B615AE"/>
    <w:rsid w:val="00B61BA3"/>
    <w:rsid w:val="00B61BC0"/>
    <w:rsid w:val="00B61C93"/>
    <w:rsid w:val="00B61D58"/>
    <w:rsid w:val="00B61E70"/>
    <w:rsid w:val="00B6200B"/>
    <w:rsid w:val="00B62273"/>
    <w:rsid w:val="00B622B3"/>
    <w:rsid w:val="00B625B7"/>
    <w:rsid w:val="00B627B5"/>
    <w:rsid w:val="00B62CDB"/>
    <w:rsid w:val="00B6309C"/>
    <w:rsid w:val="00B6314C"/>
    <w:rsid w:val="00B63574"/>
    <w:rsid w:val="00B6358D"/>
    <w:rsid w:val="00B636A7"/>
    <w:rsid w:val="00B639FC"/>
    <w:rsid w:val="00B63DBD"/>
    <w:rsid w:val="00B64005"/>
    <w:rsid w:val="00B646E4"/>
    <w:rsid w:val="00B64920"/>
    <w:rsid w:val="00B649BF"/>
    <w:rsid w:val="00B64D80"/>
    <w:rsid w:val="00B650B4"/>
    <w:rsid w:val="00B65195"/>
    <w:rsid w:val="00B652C4"/>
    <w:rsid w:val="00B65347"/>
    <w:rsid w:val="00B6549E"/>
    <w:rsid w:val="00B65DF9"/>
    <w:rsid w:val="00B65FAF"/>
    <w:rsid w:val="00B65FEF"/>
    <w:rsid w:val="00B66267"/>
    <w:rsid w:val="00B66897"/>
    <w:rsid w:val="00B66B8F"/>
    <w:rsid w:val="00B66F35"/>
    <w:rsid w:val="00B66FC1"/>
    <w:rsid w:val="00B66FDE"/>
    <w:rsid w:val="00B671BB"/>
    <w:rsid w:val="00B673EC"/>
    <w:rsid w:val="00B67778"/>
    <w:rsid w:val="00B67822"/>
    <w:rsid w:val="00B679DA"/>
    <w:rsid w:val="00B67A63"/>
    <w:rsid w:val="00B67B4C"/>
    <w:rsid w:val="00B67BFE"/>
    <w:rsid w:val="00B67D4B"/>
    <w:rsid w:val="00B67DEF"/>
    <w:rsid w:val="00B67F7E"/>
    <w:rsid w:val="00B70149"/>
    <w:rsid w:val="00B7026A"/>
    <w:rsid w:val="00B70436"/>
    <w:rsid w:val="00B70508"/>
    <w:rsid w:val="00B7059C"/>
    <w:rsid w:val="00B70892"/>
    <w:rsid w:val="00B70A7D"/>
    <w:rsid w:val="00B70D29"/>
    <w:rsid w:val="00B70E60"/>
    <w:rsid w:val="00B70F13"/>
    <w:rsid w:val="00B70FAC"/>
    <w:rsid w:val="00B71539"/>
    <w:rsid w:val="00B71807"/>
    <w:rsid w:val="00B7199B"/>
    <w:rsid w:val="00B71D12"/>
    <w:rsid w:val="00B72029"/>
    <w:rsid w:val="00B72033"/>
    <w:rsid w:val="00B72181"/>
    <w:rsid w:val="00B7224E"/>
    <w:rsid w:val="00B7227F"/>
    <w:rsid w:val="00B722AC"/>
    <w:rsid w:val="00B725FD"/>
    <w:rsid w:val="00B726D5"/>
    <w:rsid w:val="00B72716"/>
    <w:rsid w:val="00B72775"/>
    <w:rsid w:val="00B72EF8"/>
    <w:rsid w:val="00B731CB"/>
    <w:rsid w:val="00B732CF"/>
    <w:rsid w:val="00B73636"/>
    <w:rsid w:val="00B73B1F"/>
    <w:rsid w:val="00B73D67"/>
    <w:rsid w:val="00B73E64"/>
    <w:rsid w:val="00B74171"/>
    <w:rsid w:val="00B7420C"/>
    <w:rsid w:val="00B7431A"/>
    <w:rsid w:val="00B74C25"/>
    <w:rsid w:val="00B74D3F"/>
    <w:rsid w:val="00B754FE"/>
    <w:rsid w:val="00B75822"/>
    <w:rsid w:val="00B7585D"/>
    <w:rsid w:val="00B7594F"/>
    <w:rsid w:val="00B75AE7"/>
    <w:rsid w:val="00B760F2"/>
    <w:rsid w:val="00B76339"/>
    <w:rsid w:val="00B7645F"/>
    <w:rsid w:val="00B764BA"/>
    <w:rsid w:val="00B764E5"/>
    <w:rsid w:val="00B765C8"/>
    <w:rsid w:val="00B765EF"/>
    <w:rsid w:val="00B76759"/>
    <w:rsid w:val="00B7698A"/>
    <w:rsid w:val="00B76BCE"/>
    <w:rsid w:val="00B76C88"/>
    <w:rsid w:val="00B76ED2"/>
    <w:rsid w:val="00B77065"/>
    <w:rsid w:val="00B77191"/>
    <w:rsid w:val="00B771E6"/>
    <w:rsid w:val="00B771E8"/>
    <w:rsid w:val="00B773A5"/>
    <w:rsid w:val="00B7744F"/>
    <w:rsid w:val="00B7783F"/>
    <w:rsid w:val="00B77DB5"/>
    <w:rsid w:val="00B8009D"/>
    <w:rsid w:val="00B8023D"/>
    <w:rsid w:val="00B80392"/>
    <w:rsid w:val="00B803D5"/>
    <w:rsid w:val="00B804F9"/>
    <w:rsid w:val="00B80663"/>
    <w:rsid w:val="00B80822"/>
    <w:rsid w:val="00B808F6"/>
    <w:rsid w:val="00B80B84"/>
    <w:rsid w:val="00B80DC4"/>
    <w:rsid w:val="00B80E80"/>
    <w:rsid w:val="00B81196"/>
    <w:rsid w:val="00B816A0"/>
    <w:rsid w:val="00B81848"/>
    <w:rsid w:val="00B8188F"/>
    <w:rsid w:val="00B81F58"/>
    <w:rsid w:val="00B8231A"/>
    <w:rsid w:val="00B827B0"/>
    <w:rsid w:val="00B82913"/>
    <w:rsid w:val="00B82A63"/>
    <w:rsid w:val="00B82A97"/>
    <w:rsid w:val="00B82CF9"/>
    <w:rsid w:val="00B82F04"/>
    <w:rsid w:val="00B8308D"/>
    <w:rsid w:val="00B83274"/>
    <w:rsid w:val="00B832C0"/>
    <w:rsid w:val="00B83323"/>
    <w:rsid w:val="00B83341"/>
    <w:rsid w:val="00B835AE"/>
    <w:rsid w:val="00B837D8"/>
    <w:rsid w:val="00B83C11"/>
    <w:rsid w:val="00B83D30"/>
    <w:rsid w:val="00B83E9B"/>
    <w:rsid w:val="00B848B1"/>
    <w:rsid w:val="00B84C17"/>
    <w:rsid w:val="00B84D7A"/>
    <w:rsid w:val="00B84E32"/>
    <w:rsid w:val="00B85023"/>
    <w:rsid w:val="00B853AF"/>
    <w:rsid w:val="00B8564E"/>
    <w:rsid w:val="00B856F6"/>
    <w:rsid w:val="00B85777"/>
    <w:rsid w:val="00B85789"/>
    <w:rsid w:val="00B8597C"/>
    <w:rsid w:val="00B85A1B"/>
    <w:rsid w:val="00B85B76"/>
    <w:rsid w:val="00B85C35"/>
    <w:rsid w:val="00B85C9E"/>
    <w:rsid w:val="00B85D2E"/>
    <w:rsid w:val="00B85E6E"/>
    <w:rsid w:val="00B86072"/>
    <w:rsid w:val="00B86AA0"/>
    <w:rsid w:val="00B86BEA"/>
    <w:rsid w:val="00B86CF8"/>
    <w:rsid w:val="00B86E07"/>
    <w:rsid w:val="00B86E9F"/>
    <w:rsid w:val="00B86FB1"/>
    <w:rsid w:val="00B86FB5"/>
    <w:rsid w:val="00B87247"/>
    <w:rsid w:val="00B87263"/>
    <w:rsid w:val="00B874CD"/>
    <w:rsid w:val="00B87501"/>
    <w:rsid w:val="00B87780"/>
    <w:rsid w:val="00B87A36"/>
    <w:rsid w:val="00B87A40"/>
    <w:rsid w:val="00B87AF5"/>
    <w:rsid w:val="00B87E49"/>
    <w:rsid w:val="00B9013D"/>
    <w:rsid w:val="00B90522"/>
    <w:rsid w:val="00B9054A"/>
    <w:rsid w:val="00B90584"/>
    <w:rsid w:val="00B90747"/>
    <w:rsid w:val="00B90B49"/>
    <w:rsid w:val="00B90B8A"/>
    <w:rsid w:val="00B90D10"/>
    <w:rsid w:val="00B90E92"/>
    <w:rsid w:val="00B910A9"/>
    <w:rsid w:val="00B910BB"/>
    <w:rsid w:val="00B910D5"/>
    <w:rsid w:val="00B916A6"/>
    <w:rsid w:val="00B91725"/>
    <w:rsid w:val="00B9174F"/>
    <w:rsid w:val="00B9184A"/>
    <w:rsid w:val="00B919C7"/>
    <w:rsid w:val="00B91B62"/>
    <w:rsid w:val="00B91FB2"/>
    <w:rsid w:val="00B92168"/>
    <w:rsid w:val="00B921C3"/>
    <w:rsid w:val="00B92497"/>
    <w:rsid w:val="00B926E6"/>
    <w:rsid w:val="00B92AFB"/>
    <w:rsid w:val="00B92B3E"/>
    <w:rsid w:val="00B92B94"/>
    <w:rsid w:val="00B92FC6"/>
    <w:rsid w:val="00B93574"/>
    <w:rsid w:val="00B9376D"/>
    <w:rsid w:val="00B9384A"/>
    <w:rsid w:val="00B93912"/>
    <w:rsid w:val="00B93AAC"/>
    <w:rsid w:val="00B93AAD"/>
    <w:rsid w:val="00B93DF8"/>
    <w:rsid w:val="00B93EF3"/>
    <w:rsid w:val="00B9435D"/>
    <w:rsid w:val="00B94618"/>
    <w:rsid w:val="00B953A9"/>
    <w:rsid w:val="00B95507"/>
    <w:rsid w:val="00B95599"/>
    <w:rsid w:val="00B9565E"/>
    <w:rsid w:val="00B956A4"/>
    <w:rsid w:val="00B95795"/>
    <w:rsid w:val="00B958F1"/>
    <w:rsid w:val="00B95DD2"/>
    <w:rsid w:val="00B95EB9"/>
    <w:rsid w:val="00B95EEA"/>
    <w:rsid w:val="00B961CC"/>
    <w:rsid w:val="00B962C4"/>
    <w:rsid w:val="00B9632C"/>
    <w:rsid w:val="00B965A8"/>
    <w:rsid w:val="00B966E0"/>
    <w:rsid w:val="00B97B3E"/>
    <w:rsid w:val="00B97D25"/>
    <w:rsid w:val="00B97F22"/>
    <w:rsid w:val="00BA005A"/>
    <w:rsid w:val="00BA0182"/>
    <w:rsid w:val="00BA0466"/>
    <w:rsid w:val="00BA0787"/>
    <w:rsid w:val="00BA07A9"/>
    <w:rsid w:val="00BA0950"/>
    <w:rsid w:val="00BA0D84"/>
    <w:rsid w:val="00BA0D8F"/>
    <w:rsid w:val="00BA0ED5"/>
    <w:rsid w:val="00BA1898"/>
    <w:rsid w:val="00BA19CE"/>
    <w:rsid w:val="00BA1A8A"/>
    <w:rsid w:val="00BA1B95"/>
    <w:rsid w:val="00BA1C4E"/>
    <w:rsid w:val="00BA1D21"/>
    <w:rsid w:val="00BA1D4C"/>
    <w:rsid w:val="00BA1D5A"/>
    <w:rsid w:val="00BA1E5D"/>
    <w:rsid w:val="00BA26AA"/>
    <w:rsid w:val="00BA2982"/>
    <w:rsid w:val="00BA2DA9"/>
    <w:rsid w:val="00BA2E80"/>
    <w:rsid w:val="00BA34E1"/>
    <w:rsid w:val="00BA3598"/>
    <w:rsid w:val="00BA370A"/>
    <w:rsid w:val="00BA37CA"/>
    <w:rsid w:val="00BA3CE3"/>
    <w:rsid w:val="00BA4038"/>
    <w:rsid w:val="00BA4073"/>
    <w:rsid w:val="00BA40F7"/>
    <w:rsid w:val="00BA42E5"/>
    <w:rsid w:val="00BA437C"/>
    <w:rsid w:val="00BA446E"/>
    <w:rsid w:val="00BA4EA8"/>
    <w:rsid w:val="00BA4EFD"/>
    <w:rsid w:val="00BA4F0A"/>
    <w:rsid w:val="00BA513B"/>
    <w:rsid w:val="00BA532E"/>
    <w:rsid w:val="00BA553D"/>
    <w:rsid w:val="00BA557C"/>
    <w:rsid w:val="00BA55D7"/>
    <w:rsid w:val="00BA63C2"/>
    <w:rsid w:val="00BA65D5"/>
    <w:rsid w:val="00BA67CD"/>
    <w:rsid w:val="00BA6A8C"/>
    <w:rsid w:val="00BA6B9B"/>
    <w:rsid w:val="00BA6D87"/>
    <w:rsid w:val="00BA6E6D"/>
    <w:rsid w:val="00BA7017"/>
    <w:rsid w:val="00BA7261"/>
    <w:rsid w:val="00BA7437"/>
    <w:rsid w:val="00BA7827"/>
    <w:rsid w:val="00BA79B8"/>
    <w:rsid w:val="00BA7A6B"/>
    <w:rsid w:val="00BA7B58"/>
    <w:rsid w:val="00BA7C8A"/>
    <w:rsid w:val="00BA7D1D"/>
    <w:rsid w:val="00BA7D5E"/>
    <w:rsid w:val="00BA7DC7"/>
    <w:rsid w:val="00BA7F45"/>
    <w:rsid w:val="00BB000F"/>
    <w:rsid w:val="00BB05A8"/>
    <w:rsid w:val="00BB0973"/>
    <w:rsid w:val="00BB0988"/>
    <w:rsid w:val="00BB0B34"/>
    <w:rsid w:val="00BB0C7E"/>
    <w:rsid w:val="00BB0CC9"/>
    <w:rsid w:val="00BB0D3E"/>
    <w:rsid w:val="00BB1252"/>
    <w:rsid w:val="00BB1346"/>
    <w:rsid w:val="00BB13A1"/>
    <w:rsid w:val="00BB148F"/>
    <w:rsid w:val="00BB15F1"/>
    <w:rsid w:val="00BB1702"/>
    <w:rsid w:val="00BB1DCC"/>
    <w:rsid w:val="00BB1E1C"/>
    <w:rsid w:val="00BB1F00"/>
    <w:rsid w:val="00BB1FBE"/>
    <w:rsid w:val="00BB20E2"/>
    <w:rsid w:val="00BB211D"/>
    <w:rsid w:val="00BB2546"/>
    <w:rsid w:val="00BB2735"/>
    <w:rsid w:val="00BB274A"/>
    <w:rsid w:val="00BB2A92"/>
    <w:rsid w:val="00BB2BB6"/>
    <w:rsid w:val="00BB2CAE"/>
    <w:rsid w:val="00BB2EC9"/>
    <w:rsid w:val="00BB3010"/>
    <w:rsid w:val="00BB30FE"/>
    <w:rsid w:val="00BB3412"/>
    <w:rsid w:val="00BB34D3"/>
    <w:rsid w:val="00BB3755"/>
    <w:rsid w:val="00BB3999"/>
    <w:rsid w:val="00BB39AB"/>
    <w:rsid w:val="00BB3B72"/>
    <w:rsid w:val="00BB3D6C"/>
    <w:rsid w:val="00BB3D74"/>
    <w:rsid w:val="00BB3DC9"/>
    <w:rsid w:val="00BB3FA3"/>
    <w:rsid w:val="00BB4840"/>
    <w:rsid w:val="00BB4A7C"/>
    <w:rsid w:val="00BB4B76"/>
    <w:rsid w:val="00BB5098"/>
    <w:rsid w:val="00BB52B7"/>
    <w:rsid w:val="00BB5350"/>
    <w:rsid w:val="00BB53AB"/>
    <w:rsid w:val="00BB5513"/>
    <w:rsid w:val="00BB577E"/>
    <w:rsid w:val="00BB5798"/>
    <w:rsid w:val="00BB5813"/>
    <w:rsid w:val="00BB5BEB"/>
    <w:rsid w:val="00BB5C45"/>
    <w:rsid w:val="00BB5EC6"/>
    <w:rsid w:val="00BB61F0"/>
    <w:rsid w:val="00BB6257"/>
    <w:rsid w:val="00BB6467"/>
    <w:rsid w:val="00BB685D"/>
    <w:rsid w:val="00BB6C72"/>
    <w:rsid w:val="00BB6CEB"/>
    <w:rsid w:val="00BB6E32"/>
    <w:rsid w:val="00BB6ECF"/>
    <w:rsid w:val="00BB6F3D"/>
    <w:rsid w:val="00BB7166"/>
    <w:rsid w:val="00BB7335"/>
    <w:rsid w:val="00BB75B7"/>
    <w:rsid w:val="00BB7642"/>
    <w:rsid w:val="00BB7B70"/>
    <w:rsid w:val="00BC06A2"/>
    <w:rsid w:val="00BC072D"/>
    <w:rsid w:val="00BC0795"/>
    <w:rsid w:val="00BC0860"/>
    <w:rsid w:val="00BC091D"/>
    <w:rsid w:val="00BC0934"/>
    <w:rsid w:val="00BC0AFB"/>
    <w:rsid w:val="00BC11FA"/>
    <w:rsid w:val="00BC12C6"/>
    <w:rsid w:val="00BC1B91"/>
    <w:rsid w:val="00BC2086"/>
    <w:rsid w:val="00BC2804"/>
    <w:rsid w:val="00BC2862"/>
    <w:rsid w:val="00BC2D65"/>
    <w:rsid w:val="00BC2E6E"/>
    <w:rsid w:val="00BC33CA"/>
    <w:rsid w:val="00BC344B"/>
    <w:rsid w:val="00BC345A"/>
    <w:rsid w:val="00BC3559"/>
    <w:rsid w:val="00BC35E6"/>
    <w:rsid w:val="00BC3983"/>
    <w:rsid w:val="00BC39F0"/>
    <w:rsid w:val="00BC3B04"/>
    <w:rsid w:val="00BC3BDE"/>
    <w:rsid w:val="00BC3C5F"/>
    <w:rsid w:val="00BC3E90"/>
    <w:rsid w:val="00BC3F46"/>
    <w:rsid w:val="00BC3FB4"/>
    <w:rsid w:val="00BC40A4"/>
    <w:rsid w:val="00BC4277"/>
    <w:rsid w:val="00BC42C1"/>
    <w:rsid w:val="00BC45D4"/>
    <w:rsid w:val="00BC46F9"/>
    <w:rsid w:val="00BC478E"/>
    <w:rsid w:val="00BC4871"/>
    <w:rsid w:val="00BC4CFC"/>
    <w:rsid w:val="00BC4EE7"/>
    <w:rsid w:val="00BC51AA"/>
    <w:rsid w:val="00BC5696"/>
    <w:rsid w:val="00BC5897"/>
    <w:rsid w:val="00BC59B4"/>
    <w:rsid w:val="00BC5A41"/>
    <w:rsid w:val="00BC5AB3"/>
    <w:rsid w:val="00BC5C90"/>
    <w:rsid w:val="00BC5CD4"/>
    <w:rsid w:val="00BC5D36"/>
    <w:rsid w:val="00BC6225"/>
    <w:rsid w:val="00BC62D6"/>
    <w:rsid w:val="00BC6623"/>
    <w:rsid w:val="00BC6627"/>
    <w:rsid w:val="00BC66D4"/>
    <w:rsid w:val="00BC6C20"/>
    <w:rsid w:val="00BC7258"/>
    <w:rsid w:val="00BC7573"/>
    <w:rsid w:val="00BC76F2"/>
    <w:rsid w:val="00BC788A"/>
    <w:rsid w:val="00BC7D84"/>
    <w:rsid w:val="00BC7F23"/>
    <w:rsid w:val="00BC7F33"/>
    <w:rsid w:val="00BD014C"/>
    <w:rsid w:val="00BD0159"/>
    <w:rsid w:val="00BD0264"/>
    <w:rsid w:val="00BD08BD"/>
    <w:rsid w:val="00BD0994"/>
    <w:rsid w:val="00BD0C96"/>
    <w:rsid w:val="00BD0D2C"/>
    <w:rsid w:val="00BD0D46"/>
    <w:rsid w:val="00BD1470"/>
    <w:rsid w:val="00BD1687"/>
    <w:rsid w:val="00BD1950"/>
    <w:rsid w:val="00BD1AE6"/>
    <w:rsid w:val="00BD1C59"/>
    <w:rsid w:val="00BD1FF0"/>
    <w:rsid w:val="00BD2201"/>
    <w:rsid w:val="00BD23B4"/>
    <w:rsid w:val="00BD243B"/>
    <w:rsid w:val="00BD24C4"/>
    <w:rsid w:val="00BD25B9"/>
    <w:rsid w:val="00BD25D8"/>
    <w:rsid w:val="00BD29AA"/>
    <w:rsid w:val="00BD2A3D"/>
    <w:rsid w:val="00BD2B04"/>
    <w:rsid w:val="00BD3185"/>
    <w:rsid w:val="00BD319C"/>
    <w:rsid w:val="00BD3245"/>
    <w:rsid w:val="00BD32A4"/>
    <w:rsid w:val="00BD359A"/>
    <w:rsid w:val="00BD3766"/>
    <w:rsid w:val="00BD3831"/>
    <w:rsid w:val="00BD3A67"/>
    <w:rsid w:val="00BD3B06"/>
    <w:rsid w:val="00BD3D7D"/>
    <w:rsid w:val="00BD3E66"/>
    <w:rsid w:val="00BD3EE1"/>
    <w:rsid w:val="00BD40B3"/>
    <w:rsid w:val="00BD41C9"/>
    <w:rsid w:val="00BD47BD"/>
    <w:rsid w:val="00BD47D6"/>
    <w:rsid w:val="00BD47E5"/>
    <w:rsid w:val="00BD49D1"/>
    <w:rsid w:val="00BD4A7E"/>
    <w:rsid w:val="00BD4ED8"/>
    <w:rsid w:val="00BD4F85"/>
    <w:rsid w:val="00BD516D"/>
    <w:rsid w:val="00BD52D8"/>
    <w:rsid w:val="00BD554E"/>
    <w:rsid w:val="00BD5661"/>
    <w:rsid w:val="00BD57F4"/>
    <w:rsid w:val="00BD5A11"/>
    <w:rsid w:val="00BD5C83"/>
    <w:rsid w:val="00BD5DDF"/>
    <w:rsid w:val="00BD5E9A"/>
    <w:rsid w:val="00BD6349"/>
    <w:rsid w:val="00BD67B2"/>
    <w:rsid w:val="00BD6916"/>
    <w:rsid w:val="00BD69AA"/>
    <w:rsid w:val="00BD6A36"/>
    <w:rsid w:val="00BD6AB5"/>
    <w:rsid w:val="00BD6B10"/>
    <w:rsid w:val="00BD6C1C"/>
    <w:rsid w:val="00BD6D3A"/>
    <w:rsid w:val="00BD6FF1"/>
    <w:rsid w:val="00BD70C4"/>
    <w:rsid w:val="00BD73C1"/>
    <w:rsid w:val="00BD744B"/>
    <w:rsid w:val="00BD788A"/>
    <w:rsid w:val="00BD7BEF"/>
    <w:rsid w:val="00BD7C6B"/>
    <w:rsid w:val="00BD7EC2"/>
    <w:rsid w:val="00BD7EE0"/>
    <w:rsid w:val="00BE0364"/>
    <w:rsid w:val="00BE0390"/>
    <w:rsid w:val="00BE044A"/>
    <w:rsid w:val="00BE0975"/>
    <w:rsid w:val="00BE0B26"/>
    <w:rsid w:val="00BE0BF1"/>
    <w:rsid w:val="00BE0C96"/>
    <w:rsid w:val="00BE0E0E"/>
    <w:rsid w:val="00BE0FDD"/>
    <w:rsid w:val="00BE0FF4"/>
    <w:rsid w:val="00BE110A"/>
    <w:rsid w:val="00BE13BF"/>
    <w:rsid w:val="00BE14B7"/>
    <w:rsid w:val="00BE15C8"/>
    <w:rsid w:val="00BE15D9"/>
    <w:rsid w:val="00BE1978"/>
    <w:rsid w:val="00BE1E23"/>
    <w:rsid w:val="00BE1F83"/>
    <w:rsid w:val="00BE219B"/>
    <w:rsid w:val="00BE220C"/>
    <w:rsid w:val="00BE223C"/>
    <w:rsid w:val="00BE259C"/>
    <w:rsid w:val="00BE2A09"/>
    <w:rsid w:val="00BE2BE2"/>
    <w:rsid w:val="00BE2EC6"/>
    <w:rsid w:val="00BE3AA1"/>
    <w:rsid w:val="00BE3BBE"/>
    <w:rsid w:val="00BE4009"/>
    <w:rsid w:val="00BE4225"/>
    <w:rsid w:val="00BE4229"/>
    <w:rsid w:val="00BE428B"/>
    <w:rsid w:val="00BE4390"/>
    <w:rsid w:val="00BE477E"/>
    <w:rsid w:val="00BE4A19"/>
    <w:rsid w:val="00BE4BF9"/>
    <w:rsid w:val="00BE4BFF"/>
    <w:rsid w:val="00BE4F75"/>
    <w:rsid w:val="00BE510C"/>
    <w:rsid w:val="00BE5594"/>
    <w:rsid w:val="00BE5895"/>
    <w:rsid w:val="00BE58C5"/>
    <w:rsid w:val="00BE5979"/>
    <w:rsid w:val="00BE59F2"/>
    <w:rsid w:val="00BE5E41"/>
    <w:rsid w:val="00BE5E70"/>
    <w:rsid w:val="00BE602D"/>
    <w:rsid w:val="00BE6232"/>
    <w:rsid w:val="00BE6378"/>
    <w:rsid w:val="00BE6422"/>
    <w:rsid w:val="00BE6445"/>
    <w:rsid w:val="00BE66A8"/>
    <w:rsid w:val="00BE6734"/>
    <w:rsid w:val="00BE6992"/>
    <w:rsid w:val="00BE6B44"/>
    <w:rsid w:val="00BE6C17"/>
    <w:rsid w:val="00BE6C2A"/>
    <w:rsid w:val="00BE6E87"/>
    <w:rsid w:val="00BE7023"/>
    <w:rsid w:val="00BE74A4"/>
    <w:rsid w:val="00BE7565"/>
    <w:rsid w:val="00BE7BE5"/>
    <w:rsid w:val="00BE7E6C"/>
    <w:rsid w:val="00BF0117"/>
    <w:rsid w:val="00BF03EB"/>
    <w:rsid w:val="00BF0573"/>
    <w:rsid w:val="00BF0577"/>
    <w:rsid w:val="00BF05CE"/>
    <w:rsid w:val="00BF06B9"/>
    <w:rsid w:val="00BF0757"/>
    <w:rsid w:val="00BF077E"/>
    <w:rsid w:val="00BF081D"/>
    <w:rsid w:val="00BF1995"/>
    <w:rsid w:val="00BF1A6C"/>
    <w:rsid w:val="00BF1FF6"/>
    <w:rsid w:val="00BF20E1"/>
    <w:rsid w:val="00BF22E3"/>
    <w:rsid w:val="00BF2448"/>
    <w:rsid w:val="00BF2834"/>
    <w:rsid w:val="00BF2F03"/>
    <w:rsid w:val="00BF35E2"/>
    <w:rsid w:val="00BF3708"/>
    <w:rsid w:val="00BF3F5E"/>
    <w:rsid w:val="00BF41A8"/>
    <w:rsid w:val="00BF44A6"/>
    <w:rsid w:val="00BF451E"/>
    <w:rsid w:val="00BF4A41"/>
    <w:rsid w:val="00BF4D34"/>
    <w:rsid w:val="00BF4EC8"/>
    <w:rsid w:val="00BF4EE7"/>
    <w:rsid w:val="00BF4FC1"/>
    <w:rsid w:val="00BF51D0"/>
    <w:rsid w:val="00BF556E"/>
    <w:rsid w:val="00BF5648"/>
    <w:rsid w:val="00BF565D"/>
    <w:rsid w:val="00BF56C9"/>
    <w:rsid w:val="00BF57EA"/>
    <w:rsid w:val="00BF583D"/>
    <w:rsid w:val="00BF5EA8"/>
    <w:rsid w:val="00BF652C"/>
    <w:rsid w:val="00BF65E1"/>
    <w:rsid w:val="00BF6660"/>
    <w:rsid w:val="00BF6803"/>
    <w:rsid w:val="00BF6B35"/>
    <w:rsid w:val="00BF6B60"/>
    <w:rsid w:val="00BF6F56"/>
    <w:rsid w:val="00BF7002"/>
    <w:rsid w:val="00BF7254"/>
    <w:rsid w:val="00BF7905"/>
    <w:rsid w:val="00BF7AE9"/>
    <w:rsid w:val="00BF7B77"/>
    <w:rsid w:val="00C00423"/>
    <w:rsid w:val="00C0065F"/>
    <w:rsid w:val="00C007AC"/>
    <w:rsid w:val="00C00C1E"/>
    <w:rsid w:val="00C00C90"/>
    <w:rsid w:val="00C00CB3"/>
    <w:rsid w:val="00C00D57"/>
    <w:rsid w:val="00C00ED6"/>
    <w:rsid w:val="00C00FDF"/>
    <w:rsid w:val="00C01170"/>
    <w:rsid w:val="00C011F6"/>
    <w:rsid w:val="00C01AF7"/>
    <w:rsid w:val="00C01BA4"/>
    <w:rsid w:val="00C01CE5"/>
    <w:rsid w:val="00C01FD2"/>
    <w:rsid w:val="00C02106"/>
    <w:rsid w:val="00C023FC"/>
    <w:rsid w:val="00C02413"/>
    <w:rsid w:val="00C02ADD"/>
    <w:rsid w:val="00C02C34"/>
    <w:rsid w:val="00C02F61"/>
    <w:rsid w:val="00C03110"/>
    <w:rsid w:val="00C03542"/>
    <w:rsid w:val="00C035F0"/>
    <w:rsid w:val="00C03636"/>
    <w:rsid w:val="00C036AF"/>
    <w:rsid w:val="00C03D85"/>
    <w:rsid w:val="00C0403A"/>
    <w:rsid w:val="00C043A0"/>
    <w:rsid w:val="00C044D7"/>
    <w:rsid w:val="00C048B5"/>
    <w:rsid w:val="00C049B2"/>
    <w:rsid w:val="00C04A2A"/>
    <w:rsid w:val="00C04BB9"/>
    <w:rsid w:val="00C04CC6"/>
    <w:rsid w:val="00C05082"/>
    <w:rsid w:val="00C05360"/>
    <w:rsid w:val="00C054AF"/>
    <w:rsid w:val="00C05562"/>
    <w:rsid w:val="00C05652"/>
    <w:rsid w:val="00C059FF"/>
    <w:rsid w:val="00C05DA5"/>
    <w:rsid w:val="00C05EAF"/>
    <w:rsid w:val="00C05F73"/>
    <w:rsid w:val="00C060FF"/>
    <w:rsid w:val="00C06102"/>
    <w:rsid w:val="00C0613D"/>
    <w:rsid w:val="00C0636E"/>
    <w:rsid w:val="00C06404"/>
    <w:rsid w:val="00C066A7"/>
    <w:rsid w:val="00C06756"/>
    <w:rsid w:val="00C068CA"/>
    <w:rsid w:val="00C069BC"/>
    <w:rsid w:val="00C071FA"/>
    <w:rsid w:val="00C0728D"/>
    <w:rsid w:val="00C07616"/>
    <w:rsid w:val="00C0764F"/>
    <w:rsid w:val="00C077BC"/>
    <w:rsid w:val="00C077F7"/>
    <w:rsid w:val="00C07B47"/>
    <w:rsid w:val="00C1016B"/>
    <w:rsid w:val="00C103AD"/>
    <w:rsid w:val="00C1042D"/>
    <w:rsid w:val="00C1077C"/>
    <w:rsid w:val="00C10927"/>
    <w:rsid w:val="00C10998"/>
    <w:rsid w:val="00C10AAA"/>
    <w:rsid w:val="00C10B95"/>
    <w:rsid w:val="00C10B9C"/>
    <w:rsid w:val="00C10BA6"/>
    <w:rsid w:val="00C10BBF"/>
    <w:rsid w:val="00C10C82"/>
    <w:rsid w:val="00C1108B"/>
    <w:rsid w:val="00C1112E"/>
    <w:rsid w:val="00C11278"/>
    <w:rsid w:val="00C113B3"/>
    <w:rsid w:val="00C114C4"/>
    <w:rsid w:val="00C11565"/>
    <w:rsid w:val="00C117AB"/>
    <w:rsid w:val="00C1193A"/>
    <w:rsid w:val="00C1195E"/>
    <w:rsid w:val="00C11CD9"/>
    <w:rsid w:val="00C121D2"/>
    <w:rsid w:val="00C123D4"/>
    <w:rsid w:val="00C1259F"/>
    <w:rsid w:val="00C12629"/>
    <w:rsid w:val="00C1262D"/>
    <w:rsid w:val="00C126F2"/>
    <w:rsid w:val="00C12740"/>
    <w:rsid w:val="00C12AE6"/>
    <w:rsid w:val="00C12B1E"/>
    <w:rsid w:val="00C12B90"/>
    <w:rsid w:val="00C12E4C"/>
    <w:rsid w:val="00C12F77"/>
    <w:rsid w:val="00C131AA"/>
    <w:rsid w:val="00C1349B"/>
    <w:rsid w:val="00C1351B"/>
    <w:rsid w:val="00C1365C"/>
    <w:rsid w:val="00C13806"/>
    <w:rsid w:val="00C138D8"/>
    <w:rsid w:val="00C13938"/>
    <w:rsid w:val="00C13AC3"/>
    <w:rsid w:val="00C13CF3"/>
    <w:rsid w:val="00C13D7D"/>
    <w:rsid w:val="00C140EF"/>
    <w:rsid w:val="00C147A9"/>
    <w:rsid w:val="00C14B81"/>
    <w:rsid w:val="00C14EF9"/>
    <w:rsid w:val="00C1517B"/>
    <w:rsid w:val="00C152CE"/>
    <w:rsid w:val="00C1545C"/>
    <w:rsid w:val="00C1599F"/>
    <w:rsid w:val="00C15B04"/>
    <w:rsid w:val="00C15B0D"/>
    <w:rsid w:val="00C15BDC"/>
    <w:rsid w:val="00C15C33"/>
    <w:rsid w:val="00C15CCE"/>
    <w:rsid w:val="00C15EC1"/>
    <w:rsid w:val="00C15F0A"/>
    <w:rsid w:val="00C16107"/>
    <w:rsid w:val="00C16190"/>
    <w:rsid w:val="00C164F4"/>
    <w:rsid w:val="00C16644"/>
    <w:rsid w:val="00C16954"/>
    <w:rsid w:val="00C16A3B"/>
    <w:rsid w:val="00C16C6F"/>
    <w:rsid w:val="00C16F76"/>
    <w:rsid w:val="00C173B4"/>
    <w:rsid w:val="00C17485"/>
    <w:rsid w:val="00C17488"/>
    <w:rsid w:val="00C177BC"/>
    <w:rsid w:val="00C179D2"/>
    <w:rsid w:val="00C17B8F"/>
    <w:rsid w:val="00C17C78"/>
    <w:rsid w:val="00C17CC8"/>
    <w:rsid w:val="00C17CEC"/>
    <w:rsid w:val="00C206C4"/>
    <w:rsid w:val="00C2093D"/>
    <w:rsid w:val="00C20951"/>
    <w:rsid w:val="00C20A40"/>
    <w:rsid w:val="00C20BAA"/>
    <w:rsid w:val="00C20BAB"/>
    <w:rsid w:val="00C20BE1"/>
    <w:rsid w:val="00C20C30"/>
    <w:rsid w:val="00C20CED"/>
    <w:rsid w:val="00C20E95"/>
    <w:rsid w:val="00C20E9A"/>
    <w:rsid w:val="00C211D0"/>
    <w:rsid w:val="00C212A4"/>
    <w:rsid w:val="00C2144F"/>
    <w:rsid w:val="00C215B0"/>
    <w:rsid w:val="00C215BB"/>
    <w:rsid w:val="00C21A3F"/>
    <w:rsid w:val="00C21B0E"/>
    <w:rsid w:val="00C21D3F"/>
    <w:rsid w:val="00C21D51"/>
    <w:rsid w:val="00C21E82"/>
    <w:rsid w:val="00C22206"/>
    <w:rsid w:val="00C22352"/>
    <w:rsid w:val="00C2240C"/>
    <w:rsid w:val="00C22531"/>
    <w:rsid w:val="00C22938"/>
    <w:rsid w:val="00C22CEF"/>
    <w:rsid w:val="00C22D3C"/>
    <w:rsid w:val="00C22DF4"/>
    <w:rsid w:val="00C22FB7"/>
    <w:rsid w:val="00C23292"/>
    <w:rsid w:val="00C23790"/>
    <w:rsid w:val="00C23C2C"/>
    <w:rsid w:val="00C23C85"/>
    <w:rsid w:val="00C23DD6"/>
    <w:rsid w:val="00C23E10"/>
    <w:rsid w:val="00C23FEE"/>
    <w:rsid w:val="00C23FEF"/>
    <w:rsid w:val="00C2414E"/>
    <w:rsid w:val="00C2435E"/>
    <w:rsid w:val="00C24498"/>
    <w:rsid w:val="00C2459D"/>
    <w:rsid w:val="00C245D6"/>
    <w:rsid w:val="00C24793"/>
    <w:rsid w:val="00C24912"/>
    <w:rsid w:val="00C24963"/>
    <w:rsid w:val="00C249ED"/>
    <w:rsid w:val="00C24A4C"/>
    <w:rsid w:val="00C24A5F"/>
    <w:rsid w:val="00C24BF5"/>
    <w:rsid w:val="00C24C2A"/>
    <w:rsid w:val="00C24E2C"/>
    <w:rsid w:val="00C25121"/>
    <w:rsid w:val="00C25246"/>
    <w:rsid w:val="00C2565C"/>
    <w:rsid w:val="00C2597F"/>
    <w:rsid w:val="00C25A94"/>
    <w:rsid w:val="00C25F08"/>
    <w:rsid w:val="00C26135"/>
    <w:rsid w:val="00C26363"/>
    <w:rsid w:val="00C26450"/>
    <w:rsid w:val="00C264B8"/>
    <w:rsid w:val="00C2667F"/>
    <w:rsid w:val="00C26820"/>
    <w:rsid w:val="00C268A3"/>
    <w:rsid w:val="00C269CE"/>
    <w:rsid w:val="00C26B15"/>
    <w:rsid w:val="00C271B9"/>
    <w:rsid w:val="00C27217"/>
    <w:rsid w:val="00C27363"/>
    <w:rsid w:val="00C274A2"/>
    <w:rsid w:val="00C27586"/>
    <w:rsid w:val="00C27676"/>
    <w:rsid w:val="00C27B59"/>
    <w:rsid w:val="00C27B5A"/>
    <w:rsid w:val="00C27D0B"/>
    <w:rsid w:val="00C27D6A"/>
    <w:rsid w:val="00C27F32"/>
    <w:rsid w:val="00C27F5E"/>
    <w:rsid w:val="00C30303"/>
    <w:rsid w:val="00C303AA"/>
    <w:rsid w:val="00C3055B"/>
    <w:rsid w:val="00C309F2"/>
    <w:rsid w:val="00C30A17"/>
    <w:rsid w:val="00C30A77"/>
    <w:rsid w:val="00C30EB0"/>
    <w:rsid w:val="00C30EE8"/>
    <w:rsid w:val="00C310C3"/>
    <w:rsid w:val="00C31134"/>
    <w:rsid w:val="00C31519"/>
    <w:rsid w:val="00C315BF"/>
    <w:rsid w:val="00C31796"/>
    <w:rsid w:val="00C31F2A"/>
    <w:rsid w:val="00C32207"/>
    <w:rsid w:val="00C3225C"/>
    <w:rsid w:val="00C324A9"/>
    <w:rsid w:val="00C327FE"/>
    <w:rsid w:val="00C3290A"/>
    <w:rsid w:val="00C32A32"/>
    <w:rsid w:val="00C32B75"/>
    <w:rsid w:val="00C32BF7"/>
    <w:rsid w:val="00C32C2B"/>
    <w:rsid w:val="00C32C40"/>
    <w:rsid w:val="00C32EC4"/>
    <w:rsid w:val="00C32ECA"/>
    <w:rsid w:val="00C33282"/>
    <w:rsid w:val="00C33427"/>
    <w:rsid w:val="00C33534"/>
    <w:rsid w:val="00C33660"/>
    <w:rsid w:val="00C33A97"/>
    <w:rsid w:val="00C33C7D"/>
    <w:rsid w:val="00C33E6C"/>
    <w:rsid w:val="00C34127"/>
    <w:rsid w:val="00C34211"/>
    <w:rsid w:val="00C3427E"/>
    <w:rsid w:val="00C34408"/>
    <w:rsid w:val="00C34742"/>
    <w:rsid w:val="00C349DF"/>
    <w:rsid w:val="00C34A4D"/>
    <w:rsid w:val="00C34C1D"/>
    <w:rsid w:val="00C34C71"/>
    <w:rsid w:val="00C34D98"/>
    <w:rsid w:val="00C34E2D"/>
    <w:rsid w:val="00C34EB3"/>
    <w:rsid w:val="00C34F49"/>
    <w:rsid w:val="00C35368"/>
    <w:rsid w:val="00C35474"/>
    <w:rsid w:val="00C35647"/>
    <w:rsid w:val="00C35CDE"/>
    <w:rsid w:val="00C35CF7"/>
    <w:rsid w:val="00C35D03"/>
    <w:rsid w:val="00C35DD6"/>
    <w:rsid w:val="00C35F5E"/>
    <w:rsid w:val="00C36022"/>
    <w:rsid w:val="00C36708"/>
    <w:rsid w:val="00C372CD"/>
    <w:rsid w:val="00C373D7"/>
    <w:rsid w:val="00C373DF"/>
    <w:rsid w:val="00C37691"/>
    <w:rsid w:val="00C376E4"/>
    <w:rsid w:val="00C376F3"/>
    <w:rsid w:val="00C378DC"/>
    <w:rsid w:val="00C3792A"/>
    <w:rsid w:val="00C37C05"/>
    <w:rsid w:val="00C37DFB"/>
    <w:rsid w:val="00C37EE9"/>
    <w:rsid w:val="00C400DE"/>
    <w:rsid w:val="00C4016E"/>
    <w:rsid w:val="00C401CD"/>
    <w:rsid w:val="00C404FF"/>
    <w:rsid w:val="00C406A8"/>
    <w:rsid w:val="00C40733"/>
    <w:rsid w:val="00C40741"/>
    <w:rsid w:val="00C40873"/>
    <w:rsid w:val="00C408AF"/>
    <w:rsid w:val="00C40B1F"/>
    <w:rsid w:val="00C40C69"/>
    <w:rsid w:val="00C40C74"/>
    <w:rsid w:val="00C4103B"/>
    <w:rsid w:val="00C411D3"/>
    <w:rsid w:val="00C41680"/>
    <w:rsid w:val="00C417A1"/>
    <w:rsid w:val="00C417C3"/>
    <w:rsid w:val="00C41C17"/>
    <w:rsid w:val="00C41C37"/>
    <w:rsid w:val="00C41C87"/>
    <w:rsid w:val="00C41CC0"/>
    <w:rsid w:val="00C41DF4"/>
    <w:rsid w:val="00C420DF"/>
    <w:rsid w:val="00C4231E"/>
    <w:rsid w:val="00C42769"/>
    <w:rsid w:val="00C42862"/>
    <w:rsid w:val="00C429C0"/>
    <w:rsid w:val="00C42CCC"/>
    <w:rsid w:val="00C42FF8"/>
    <w:rsid w:val="00C430DC"/>
    <w:rsid w:val="00C4341C"/>
    <w:rsid w:val="00C43708"/>
    <w:rsid w:val="00C43763"/>
    <w:rsid w:val="00C43DD9"/>
    <w:rsid w:val="00C43F6F"/>
    <w:rsid w:val="00C44007"/>
    <w:rsid w:val="00C4400B"/>
    <w:rsid w:val="00C44096"/>
    <w:rsid w:val="00C440B2"/>
    <w:rsid w:val="00C446D5"/>
    <w:rsid w:val="00C44705"/>
    <w:rsid w:val="00C44870"/>
    <w:rsid w:val="00C44AF8"/>
    <w:rsid w:val="00C44C9B"/>
    <w:rsid w:val="00C45068"/>
    <w:rsid w:val="00C45079"/>
    <w:rsid w:val="00C450B5"/>
    <w:rsid w:val="00C451F2"/>
    <w:rsid w:val="00C4521C"/>
    <w:rsid w:val="00C45321"/>
    <w:rsid w:val="00C45625"/>
    <w:rsid w:val="00C4580D"/>
    <w:rsid w:val="00C4581F"/>
    <w:rsid w:val="00C45892"/>
    <w:rsid w:val="00C45A6F"/>
    <w:rsid w:val="00C45C9B"/>
    <w:rsid w:val="00C45CF9"/>
    <w:rsid w:val="00C46120"/>
    <w:rsid w:val="00C46231"/>
    <w:rsid w:val="00C469C2"/>
    <w:rsid w:val="00C46A6F"/>
    <w:rsid w:val="00C470FC"/>
    <w:rsid w:val="00C476DA"/>
    <w:rsid w:val="00C47D04"/>
    <w:rsid w:val="00C47ED8"/>
    <w:rsid w:val="00C50EB6"/>
    <w:rsid w:val="00C5102A"/>
    <w:rsid w:val="00C51160"/>
    <w:rsid w:val="00C516B9"/>
    <w:rsid w:val="00C52411"/>
    <w:rsid w:val="00C52499"/>
    <w:rsid w:val="00C52574"/>
    <w:rsid w:val="00C526B6"/>
    <w:rsid w:val="00C5287E"/>
    <w:rsid w:val="00C52AE2"/>
    <w:rsid w:val="00C52BD1"/>
    <w:rsid w:val="00C52C54"/>
    <w:rsid w:val="00C52EF8"/>
    <w:rsid w:val="00C530C7"/>
    <w:rsid w:val="00C532D6"/>
    <w:rsid w:val="00C53658"/>
    <w:rsid w:val="00C53B2F"/>
    <w:rsid w:val="00C53EF2"/>
    <w:rsid w:val="00C5402E"/>
    <w:rsid w:val="00C540BD"/>
    <w:rsid w:val="00C5437B"/>
    <w:rsid w:val="00C545EF"/>
    <w:rsid w:val="00C547F8"/>
    <w:rsid w:val="00C54C8E"/>
    <w:rsid w:val="00C5510A"/>
    <w:rsid w:val="00C55134"/>
    <w:rsid w:val="00C55211"/>
    <w:rsid w:val="00C5530F"/>
    <w:rsid w:val="00C55722"/>
    <w:rsid w:val="00C55AFB"/>
    <w:rsid w:val="00C55E99"/>
    <w:rsid w:val="00C567D2"/>
    <w:rsid w:val="00C56927"/>
    <w:rsid w:val="00C5741B"/>
    <w:rsid w:val="00C57804"/>
    <w:rsid w:val="00C579E4"/>
    <w:rsid w:val="00C57A17"/>
    <w:rsid w:val="00C57D37"/>
    <w:rsid w:val="00C6017E"/>
    <w:rsid w:val="00C6049C"/>
    <w:rsid w:val="00C606BD"/>
    <w:rsid w:val="00C60B55"/>
    <w:rsid w:val="00C60C98"/>
    <w:rsid w:val="00C60F2C"/>
    <w:rsid w:val="00C610EF"/>
    <w:rsid w:val="00C61117"/>
    <w:rsid w:val="00C6138D"/>
    <w:rsid w:val="00C613CA"/>
    <w:rsid w:val="00C61473"/>
    <w:rsid w:val="00C615F6"/>
    <w:rsid w:val="00C61617"/>
    <w:rsid w:val="00C61B34"/>
    <w:rsid w:val="00C62188"/>
    <w:rsid w:val="00C6219D"/>
    <w:rsid w:val="00C62285"/>
    <w:rsid w:val="00C62477"/>
    <w:rsid w:val="00C62538"/>
    <w:rsid w:val="00C62914"/>
    <w:rsid w:val="00C62B5E"/>
    <w:rsid w:val="00C62CBD"/>
    <w:rsid w:val="00C62D0A"/>
    <w:rsid w:val="00C63086"/>
    <w:rsid w:val="00C6311F"/>
    <w:rsid w:val="00C634DC"/>
    <w:rsid w:val="00C6360C"/>
    <w:rsid w:val="00C63881"/>
    <w:rsid w:val="00C63E97"/>
    <w:rsid w:val="00C63EFE"/>
    <w:rsid w:val="00C63F02"/>
    <w:rsid w:val="00C63FC3"/>
    <w:rsid w:val="00C63FCC"/>
    <w:rsid w:val="00C64430"/>
    <w:rsid w:val="00C6446F"/>
    <w:rsid w:val="00C645EF"/>
    <w:rsid w:val="00C6475C"/>
    <w:rsid w:val="00C64903"/>
    <w:rsid w:val="00C64B46"/>
    <w:rsid w:val="00C64F01"/>
    <w:rsid w:val="00C6532D"/>
    <w:rsid w:val="00C653D1"/>
    <w:rsid w:val="00C65B39"/>
    <w:rsid w:val="00C65F97"/>
    <w:rsid w:val="00C65FED"/>
    <w:rsid w:val="00C660DD"/>
    <w:rsid w:val="00C66193"/>
    <w:rsid w:val="00C66195"/>
    <w:rsid w:val="00C661D1"/>
    <w:rsid w:val="00C66328"/>
    <w:rsid w:val="00C66425"/>
    <w:rsid w:val="00C66516"/>
    <w:rsid w:val="00C66549"/>
    <w:rsid w:val="00C665CB"/>
    <w:rsid w:val="00C6664F"/>
    <w:rsid w:val="00C666F6"/>
    <w:rsid w:val="00C66C27"/>
    <w:rsid w:val="00C66FCD"/>
    <w:rsid w:val="00C671B1"/>
    <w:rsid w:val="00C67461"/>
    <w:rsid w:val="00C67502"/>
    <w:rsid w:val="00C67626"/>
    <w:rsid w:val="00C67885"/>
    <w:rsid w:val="00C67DFA"/>
    <w:rsid w:val="00C7011C"/>
    <w:rsid w:val="00C703C4"/>
    <w:rsid w:val="00C7065D"/>
    <w:rsid w:val="00C70696"/>
    <w:rsid w:val="00C70798"/>
    <w:rsid w:val="00C70A1E"/>
    <w:rsid w:val="00C70CCE"/>
    <w:rsid w:val="00C70EFE"/>
    <w:rsid w:val="00C712A2"/>
    <w:rsid w:val="00C71333"/>
    <w:rsid w:val="00C71461"/>
    <w:rsid w:val="00C71885"/>
    <w:rsid w:val="00C71B8F"/>
    <w:rsid w:val="00C71C87"/>
    <w:rsid w:val="00C71DD8"/>
    <w:rsid w:val="00C71F7D"/>
    <w:rsid w:val="00C720EF"/>
    <w:rsid w:val="00C72181"/>
    <w:rsid w:val="00C7273B"/>
    <w:rsid w:val="00C72F1D"/>
    <w:rsid w:val="00C72F7A"/>
    <w:rsid w:val="00C72FF5"/>
    <w:rsid w:val="00C7327D"/>
    <w:rsid w:val="00C732E3"/>
    <w:rsid w:val="00C73403"/>
    <w:rsid w:val="00C734EF"/>
    <w:rsid w:val="00C736BA"/>
    <w:rsid w:val="00C73F1F"/>
    <w:rsid w:val="00C7408A"/>
    <w:rsid w:val="00C74288"/>
    <w:rsid w:val="00C74B1E"/>
    <w:rsid w:val="00C74EE1"/>
    <w:rsid w:val="00C75133"/>
    <w:rsid w:val="00C75346"/>
    <w:rsid w:val="00C7548E"/>
    <w:rsid w:val="00C75579"/>
    <w:rsid w:val="00C756DC"/>
    <w:rsid w:val="00C756E2"/>
    <w:rsid w:val="00C7589F"/>
    <w:rsid w:val="00C759F5"/>
    <w:rsid w:val="00C75CA4"/>
    <w:rsid w:val="00C75D47"/>
    <w:rsid w:val="00C75DCA"/>
    <w:rsid w:val="00C75E1F"/>
    <w:rsid w:val="00C75F36"/>
    <w:rsid w:val="00C76031"/>
    <w:rsid w:val="00C76150"/>
    <w:rsid w:val="00C7656F"/>
    <w:rsid w:val="00C765BF"/>
    <w:rsid w:val="00C76C00"/>
    <w:rsid w:val="00C76D19"/>
    <w:rsid w:val="00C76D20"/>
    <w:rsid w:val="00C76DC7"/>
    <w:rsid w:val="00C7703B"/>
    <w:rsid w:val="00C7711F"/>
    <w:rsid w:val="00C774B8"/>
    <w:rsid w:val="00C77640"/>
    <w:rsid w:val="00C777CC"/>
    <w:rsid w:val="00C77A50"/>
    <w:rsid w:val="00C77B4E"/>
    <w:rsid w:val="00C77E17"/>
    <w:rsid w:val="00C804D7"/>
    <w:rsid w:val="00C80581"/>
    <w:rsid w:val="00C8091B"/>
    <w:rsid w:val="00C80AC9"/>
    <w:rsid w:val="00C80B49"/>
    <w:rsid w:val="00C80C98"/>
    <w:rsid w:val="00C810A5"/>
    <w:rsid w:val="00C8124B"/>
    <w:rsid w:val="00C8134E"/>
    <w:rsid w:val="00C81894"/>
    <w:rsid w:val="00C81B17"/>
    <w:rsid w:val="00C8201F"/>
    <w:rsid w:val="00C8236F"/>
    <w:rsid w:val="00C82B4C"/>
    <w:rsid w:val="00C82CE4"/>
    <w:rsid w:val="00C82DD1"/>
    <w:rsid w:val="00C82EA5"/>
    <w:rsid w:val="00C83707"/>
    <w:rsid w:val="00C83858"/>
    <w:rsid w:val="00C8394B"/>
    <w:rsid w:val="00C83A18"/>
    <w:rsid w:val="00C83ACD"/>
    <w:rsid w:val="00C83AD1"/>
    <w:rsid w:val="00C83ADB"/>
    <w:rsid w:val="00C841A8"/>
    <w:rsid w:val="00C84266"/>
    <w:rsid w:val="00C844F2"/>
    <w:rsid w:val="00C8468F"/>
    <w:rsid w:val="00C849DC"/>
    <w:rsid w:val="00C84D1D"/>
    <w:rsid w:val="00C84D64"/>
    <w:rsid w:val="00C85142"/>
    <w:rsid w:val="00C851C8"/>
    <w:rsid w:val="00C85329"/>
    <w:rsid w:val="00C8538D"/>
    <w:rsid w:val="00C853B8"/>
    <w:rsid w:val="00C85577"/>
    <w:rsid w:val="00C85585"/>
    <w:rsid w:val="00C8558C"/>
    <w:rsid w:val="00C857D0"/>
    <w:rsid w:val="00C86F6A"/>
    <w:rsid w:val="00C8715B"/>
    <w:rsid w:val="00C87608"/>
    <w:rsid w:val="00C876C3"/>
    <w:rsid w:val="00C877A9"/>
    <w:rsid w:val="00C87AA4"/>
    <w:rsid w:val="00C87B70"/>
    <w:rsid w:val="00C87E92"/>
    <w:rsid w:val="00C87F67"/>
    <w:rsid w:val="00C90255"/>
    <w:rsid w:val="00C90341"/>
    <w:rsid w:val="00C906DA"/>
    <w:rsid w:val="00C90C1D"/>
    <w:rsid w:val="00C91047"/>
    <w:rsid w:val="00C910B5"/>
    <w:rsid w:val="00C9146C"/>
    <w:rsid w:val="00C9152C"/>
    <w:rsid w:val="00C918B4"/>
    <w:rsid w:val="00C91DCB"/>
    <w:rsid w:val="00C91E28"/>
    <w:rsid w:val="00C91FE9"/>
    <w:rsid w:val="00C9238D"/>
    <w:rsid w:val="00C92A34"/>
    <w:rsid w:val="00C92CFF"/>
    <w:rsid w:val="00C92D75"/>
    <w:rsid w:val="00C92F08"/>
    <w:rsid w:val="00C93279"/>
    <w:rsid w:val="00C9345C"/>
    <w:rsid w:val="00C935F1"/>
    <w:rsid w:val="00C93863"/>
    <w:rsid w:val="00C938E2"/>
    <w:rsid w:val="00C939B8"/>
    <w:rsid w:val="00C93B13"/>
    <w:rsid w:val="00C94145"/>
    <w:rsid w:val="00C942CD"/>
    <w:rsid w:val="00C94617"/>
    <w:rsid w:val="00C94820"/>
    <w:rsid w:val="00C94ADA"/>
    <w:rsid w:val="00C94FBB"/>
    <w:rsid w:val="00C95478"/>
    <w:rsid w:val="00C954D4"/>
    <w:rsid w:val="00C95692"/>
    <w:rsid w:val="00C9573D"/>
    <w:rsid w:val="00C961BA"/>
    <w:rsid w:val="00C962BD"/>
    <w:rsid w:val="00C96BD6"/>
    <w:rsid w:val="00C96DD3"/>
    <w:rsid w:val="00C96DE2"/>
    <w:rsid w:val="00C96DFF"/>
    <w:rsid w:val="00C96F6E"/>
    <w:rsid w:val="00C96FF3"/>
    <w:rsid w:val="00C971F0"/>
    <w:rsid w:val="00C97359"/>
    <w:rsid w:val="00C97435"/>
    <w:rsid w:val="00C97454"/>
    <w:rsid w:val="00C97473"/>
    <w:rsid w:val="00C97494"/>
    <w:rsid w:val="00C97562"/>
    <w:rsid w:val="00C975C9"/>
    <w:rsid w:val="00C9787C"/>
    <w:rsid w:val="00C9788C"/>
    <w:rsid w:val="00C97973"/>
    <w:rsid w:val="00C97D0C"/>
    <w:rsid w:val="00C97FCE"/>
    <w:rsid w:val="00CA001A"/>
    <w:rsid w:val="00CA00C6"/>
    <w:rsid w:val="00CA0153"/>
    <w:rsid w:val="00CA03A1"/>
    <w:rsid w:val="00CA07D1"/>
    <w:rsid w:val="00CA0821"/>
    <w:rsid w:val="00CA085C"/>
    <w:rsid w:val="00CA0AAA"/>
    <w:rsid w:val="00CA119C"/>
    <w:rsid w:val="00CA125E"/>
    <w:rsid w:val="00CA1447"/>
    <w:rsid w:val="00CA1551"/>
    <w:rsid w:val="00CA1767"/>
    <w:rsid w:val="00CA18C2"/>
    <w:rsid w:val="00CA1D7B"/>
    <w:rsid w:val="00CA22DF"/>
    <w:rsid w:val="00CA248A"/>
    <w:rsid w:val="00CA24B0"/>
    <w:rsid w:val="00CA27C9"/>
    <w:rsid w:val="00CA27CC"/>
    <w:rsid w:val="00CA27F5"/>
    <w:rsid w:val="00CA2A80"/>
    <w:rsid w:val="00CA2BA6"/>
    <w:rsid w:val="00CA2BEE"/>
    <w:rsid w:val="00CA2FD8"/>
    <w:rsid w:val="00CA2FE9"/>
    <w:rsid w:val="00CA3439"/>
    <w:rsid w:val="00CA3589"/>
    <w:rsid w:val="00CA36CC"/>
    <w:rsid w:val="00CA3835"/>
    <w:rsid w:val="00CA3A43"/>
    <w:rsid w:val="00CA3D22"/>
    <w:rsid w:val="00CA401A"/>
    <w:rsid w:val="00CA4481"/>
    <w:rsid w:val="00CA44F2"/>
    <w:rsid w:val="00CA47D4"/>
    <w:rsid w:val="00CA4BCD"/>
    <w:rsid w:val="00CA5035"/>
    <w:rsid w:val="00CA50B0"/>
    <w:rsid w:val="00CA513F"/>
    <w:rsid w:val="00CA544E"/>
    <w:rsid w:val="00CA58CF"/>
    <w:rsid w:val="00CA62C5"/>
    <w:rsid w:val="00CA66D9"/>
    <w:rsid w:val="00CA6886"/>
    <w:rsid w:val="00CA6A0D"/>
    <w:rsid w:val="00CA6A27"/>
    <w:rsid w:val="00CA6FE0"/>
    <w:rsid w:val="00CA7145"/>
    <w:rsid w:val="00CA7337"/>
    <w:rsid w:val="00CA77D9"/>
    <w:rsid w:val="00CA7B10"/>
    <w:rsid w:val="00CA7B40"/>
    <w:rsid w:val="00CA7DCB"/>
    <w:rsid w:val="00CB00E8"/>
    <w:rsid w:val="00CB03AD"/>
    <w:rsid w:val="00CB04FA"/>
    <w:rsid w:val="00CB05A7"/>
    <w:rsid w:val="00CB0AA1"/>
    <w:rsid w:val="00CB0CC1"/>
    <w:rsid w:val="00CB1247"/>
    <w:rsid w:val="00CB155B"/>
    <w:rsid w:val="00CB16B5"/>
    <w:rsid w:val="00CB1769"/>
    <w:rsid w:val="00CB1884"/>
    <w:rsid w:val="00CB1A93"/>
    <w:rsid w:val="00CB1B37"/>
    <w:rsid w:val="00CB1CC3"/>
    <w:rsid w:val="00CB1DF7"/>
    <w:rsid w:val="00CB1F0F"/>
    <w:rsid w:val="00CB1FB3"/>
    <w:rsid w:val="00CB220A"/>
    <w:rsid w:val="00CB22EB"/>
    <w:rsid w:val="00CB2352"/>
    <w:rsid w:val="00CB2621"/>
    <w:rsid w:val="00CB29AF"/>
    <w:rsid w:val="00CB2D2C"/>
    <w:rsid w:val="00CB2E73"/>
    <w:rsid w:val="00CB2F0A"/>
    <w:rsid w:val="00CB2F95"/>
    <w:rsid w:val="00CB3046"/>
    <w:rsid w:val="00CB30C7"/>
    <w:rsid w:val="00CB32F6"/>
    <w:rsid w:val="00CB3396"/>
    <w:rsid w:val="00CB339D"/>
    <w:rsid w:val="00CB388B"/>
    <w:rsid w:val="00CB3B3C"/>
    <w:rsid w:val="00CB3C99"/>
    <w:rsid w:val="00CB3F22"/>
    <w:rsid w:val="00CB40CB"/>
    <w:rsid w:val="00CB4147"/>
    <w:rsid w:val="00CB43CB"/>
    <w:rsid w:val="00CB43F7"/>
    <w:rsid w:val="00CB4514"/>
    <w:rsid w:val="00CB485D"/>
    <w:rsid w:val="00CB48B3"/>
    <w:rsid w:val="00CB4B32"/>
    <w:rsid w:val="00CB4C16"/>
    <w:rsid w:val="00CB4C9E"/>
    <w:rsid w:val="00CB5014"/>
    <w:rsid w:val="00CB5030"/>
    <w:rsid w:val="00CB51BA"/>
    <w:rsid w:val="00CB51CD"/>
    <w:rsid w:val="00CB54B9"/>
    <w:rsid w:val="00CB55AB"/>
    <w:rsid w:val="00CB588B"/>
    <w:rsid w:val="00CB5AFE"/>
    <w:rsid w:val="00CB5BC7"/>
    <w:rsid w:val="00CB5BF3"/>
    <w:rsid w:val="00CB5D81"/>
    <w:rsid w:val="00CB5E73"/>
    <w:rsid w:val="00CB62DE"/>
    <w:rsid w:val="00CB663B"/>
    <w:rsid w:val="00CB68E4"/>
    <w:rsid w:val="00CB6E16"/>
    <w:rsid w:val="00CB6E29"/>
    <w:rsid w:val="00CB70A7"/>
    <w:rsid w:val="00CB7523"/>
    <w:rsid w:val="00CB7777"/>
    <w:rsid w:val="00CB778F"/>
    <w:rsid w:val="00CB77DD"/>
    <w:rsid w:val="00CB7B2E"/>
    <w:rsid w:val="00CB7C1F"/>
    <w:rsid w:val="00CB7EBE"/>
    <w:rsid w:val="00CB7F81"/>
    <w:rsid w:val="00CB7FBA"/>
    <w:rsid w:val="00CC02A6"/>
    <w:rsid w:val="00CC038F"/>
    <w:rsid w:val="00CC08D4"/>
    <w:rsid w:val="00CC0956"/>
    <w:rsid w:val="00CC0985"/>
    <w:rsid w:val="00CC0E38"/>
    <w:rsid w:val="00CC1337"/>
    <w:rsid w:val="00CC17AD"/>
    <w:rsid w:val="00CC1937"/>
    <w:rsid w:val="00CC1A5A"/>
    <w:rsid w:val="00CC1D4B"/>
    <w:rsid w:val="00CC20C2"/>
    <w:rsid w:val="00CC23AC"/>
    <w:rsid w:val="00CC26F1"/>
    <w:rsid w:val="00CC27CB"/>
    <w:rsid w:val="00CC2834"/>
    <w:rsid w:val="00CC2899"/>
    <w:rsid w:val="00CC2F91"/>
    <w:rsid w:val="00CC3019"/>
    <w:rsid w:val="00CC3181"/>
    <w:rsid w:val="00CC31C8"/>
    <w:rsid w:val="00CC3212"/>
    <w:rsid w:val="00CC33AF"/>
    <w:rsid w:val="00CC3438"/>
    <w:rsid w:val="00CC3512"/>
    <w:rsid w:val="00CC3B64"/>
    <w:rsid w:val="00CC3F39"/>
    <w:rsid w:val="00CC3FA5"/>
    <w:rsid w:val="00CC43AB"/>
    <w:rsid w:val="00CC4447"/>
    <w:rsid w:val="00CC444E"/>
    <w:rsid w:val="00CC455B"/>
    <w:rsid w:val="00CC4982"/>
    <w:rsid w:val="00CC4B32"/>
    <w:rsid w:val="00CC5116"/>
    <w:rsid w:val="00CC518A"/>
    <w:rsid w:val="00CC51B4"/>
    <w:rsid w:val="00CC53A9"/>
    <w:rsid w:val="00CC5488"/>
    <w:rsid w:val="00CC57B9"/>
    <w:rsid w:val="00CC5894"/>
    <w:rsid w:val="00CC5B8C"/>
    <w:rsid w:val="00CC5C43"/>
    <w:rsid w:val="00CC5CCB"/>
    <w:rsid w:val="00CC5DF0"/>
    <w:rsid w:val="00CC6245"/>
    <w:rsid w:val="00CC6267"/>
    <w:rsid w:val="00CC64EE"/>
    <w:rsid w:val="00CC654D"/>
    <w:rsid w:val="00CC6765"/>
    <w:rsid w:val="00CC6BEB"/>
    <w:rsid w:val="00CC6C59"/>
    <w:rsid w:val="00CC7085"/>
    <w:rsid w:val="00CC71E5"/>
    <w:rsid w:val="00CC736A"/>
    <w:rsid w:val="00CC7782"/>
    <w:rsid w:val="00CC77F0"/>
    <w:rsid w:val="00CC7F4C"/>
    <w:rsid w:val="00CD0176"/>
    <w:rsid w:val="00CD01E6"/>
    <w:rsid w:val="00CD0522"/>
    <w:rsid w:val="00CD068F"/>
    <w:rsid w:val="00CD06AF"/>
    <w:rsid w:val="00CD06DE"/>
    <w:rsid w:val="00CD0989"/>
    <w:rsid w:val="00CD09CE"/>
    <w:rsid w:val="00CD0D52"/>
    <w:rsid w:val="00CD0F38"/>
    <w:rsid w:val="00CD0F46"/>
    <w:rsid w:val="00CD11F1"/>
    <w:rsid w:val="00CD1579"/>
    <w:rsid w:val="00CD165A"/>
    <w:rsid w:val="00CD1780"/>
    <w:rsid w:val="00CD1D4A"/>
    <w:rsid w:val="00CD1E65"/>
    <w:rsid w:val="00CD1F2E"/>
    <w:rsid w:val="00CD202F"/>
    <w:rsid w:val="00CD2096"/>
    <w:rsid w:val="00CD210A"/>
    <w:rsid w:val="00CD2167"/>
    <w:rsid w:val="00CD2417"/>
    <w:rsid w:val="00CD2922"/>
    <w:rsid w:val="00CD2A47"/>
    <w:rsid w:val="00CD2D06"/>
    <w:rsid w:val="00CD2D4B"/>
    <w:rsid w:val="00CD2EEC"/>
    <w:rsid w:val="00CD2FE6"/>
    <w:rsid w:val="00CD3130"/>
    <w:rsid w:val="00CD3687"/>
    <w:rsid w:val="00CD3758"/>
    <w:rsid w:val="00CD3799"/>
    <w:rsid w:val="00CD37F0"/>
    <w:rsid w:val="00CD3AC1"/>
    <w:rsid w:val="00CD3D5B"/>
    <w:rsid w:val="00CD401A"/>
    <w:rsid w:val="00CD4204"/>
    <w:rsid w:val="00CD4384"/>
    <w:rsid w:val="00CD43FC"/>
    <w:rsid w:val="00CD4469"/>
    <w:rsid w:val="00CD45E2"/>
    <w:rsid w:val="00CD46D6"/>
    <w:rsid w:val="00CD48D1"/>
    <w:rsid w:val="00CD4A85"/>
    <w:rsid w:val="00CD4C31"/>
    <w:rsid w:val="00CD5004"/>
    <w:rsid w:val="00CD507B"/>
    <w:rsid w:val="00CD51D1"/>
    <w:rsid w:val="00CD5302"/>
    <w:rsid w:val="00CD549F"/>
    <w:rsid w:val="00CD57ED"/>
    <w:rsid w:val="00CD59D1"/>
    <w:rsid w:val="00CD5B95"/>
    <w:rsid w:val="00CD5C73"/>
    <w:rsid w:val="00CD5D4B"/>
    <w:rsid w:val="00CD5F1F"/>
    <w:rsid w:val="00CD61DD"/>
    <w:rsid w:val="00CD61F4"/>
    <w:rsid w:val="00CD61FA"/>
    <w:rsid w:val="00CD629A"/>
    <w:rsid w:val="00CD629F"/>
    <w:rsid w:val="00CD63BA"/>
    <w:rsid w:val="00CD6915"/>
    <w:rsid w:val="00CD69AE"/>
    <w:rsid w:val="00CD6BC2"/>
    <w:rsid w:val="00CD6D1A"/>
    <w:rsid w:val="00CD7101"/>
    <w:rsid w:val="00CD7380"/>
    <w:rsid w:val="00CD7477"/>
    <w:rsid w:val="00CD74C2"/>
    <w:rsid w:val="00CD7679"/>
    <w:rsid w:val="00CD7750"/>
    <w:rsid w:val="00CD7A1C"/>
    <w:rsid w:val="00CD7D52"/>
    <w:rsid w:val="00CE00FB"/>
    <w:rsid w:val="00CE0B52"/>
    <w:rsid w:val="00CE0CAC"/>
    <w:rsid w:val="00CE0E91"/>
    <w:rsid w:val="00CE111F"/>
    <w:rsid w:val="00CE11D3"/>
    <w:rsid w:val="00CE13C3"/>
    <w:rsid w:val="00CE1447"/>
    <w:rsid w:val="00CE151F"/>
    <w:rsid w:val="00CE1684"/>
    <w:rsid w:val="00CE180E"/>
    <w:rsid w:val="00CE1927"/>
    <w:rsid w:val="00CE1B90"/>
    <w:rsid w:val="00CE1D73"/>
    <w:rsid w:val="00CE1F59"/>
    <w:rsid w:val="00CE210E"/>
    <w:rsid w:val="00CE2247"/>
    <w:rsid w:val="00CE2447"/>
    <w:rsid w:val="00CE2B1B"/>
    <w:rsid w:val="00CE2BD4"/>
    <w:rsid w:val="00CE2D94"/>
    <w:rsid w:val="00CE304F"/>
    <w:rsid w:val="00CE3069"/>
    <w:rsid w:val="00CE33DA"/>
    <w:rsid w:val="00CE3600"/>
    <w:rsid w:val="00CE3CB2"/>
    <w:rsid w:val="00CE3DAF"/>
    <w:rsid w:val="00CE405D"/>
    <w:rsid w:val="00CE411D"/>
    <w:rsid w:val="00CE4205"/>
    <w:rsid w:val="00CE4585"/>
    <w:rsid w:val="00CE4A72"/>
    <w:rsid w:val="00CE4C15"/>
    <w:rsid w:val="00CE54B1"/>
    <w:rsid w:val="00CE5696"/>
    <w:rsid w:val="00CE5884"/>
    <w:rsid w:val="00CE5A71"/>
    <w:rsid w:val="00CE5C23"/>
    <w:rsid w:val="00CE5C56"/>
    <w:rsid w:val="00CE5C67"/>
    <w:rsid w:val="00CE5D20"/>
    <w:rsid w:val="00CE5EF0"/>
    <w:rsid w:val="00CE5F9A"/>
    <w:rsid w:val="00CE6173"/>
    <w:rsid w:val="00CE61D4"/>
    <w:rsid w:val="00CE6459"/>
    <w:rsid w:val="00CE64E1"/>
    <w:rsid w:val="00CE650F"/>
    <w:rsid w:val="00CE65A4"/>
    <w:rsid w:val="00CE67FE"/>
    <w:rsid w:val="00CE6828"/>
    <w:rsid w:val="00CE6937"/>
    <w:rsid w:val="00CE6943"/>
    <w:rsid w:val="00CE6AEA"/>
    <w:rsid w:val="00CE6B9D"/>
    <w:rsid w:val="00CE6BC3"/>
    <w:rsid w:val="00CE6DA3"/>
    <w:rsid w:val="00CE787E"/>
    <w:rsid w:val="00CE7BFE"/>
    <w:rsid w:val="00CE7DF9"/>
    <w:rsid w:val="00CE7E5C"/>
    <w:rsid w:val="00CF0047"/>
    <w:rsid w:val="00CF00E1"/>
    <w:rsid w:val="00CF01AC"/>
    <w:rsid w:val="00CF020E"/>
    <w:rsid w:val="00CF04C2"/>
    <w:rsid w:val="00CF0680"/>
    <w:rsid w:val="00CF07E1"/>
    <w:rsid w:val="00CF089A"/>
    <w:rsid w:val="00CF0A90"/>
    <w:rsid w:val="00CF0A91"/>
    <w:rsid w:val="00CF0AC6"/>
    <w:rsid w:val="00CF0B5D"/>
    <w:rsid w:val="00CF0D89"/>
    <w:rsid w:val="00CF1109"/>
    <w:rsid w:val="00CF1435"/>
    <w:rsid w:val="00CF150E"/>
    <w:rsid w:val="00CF15F8"/>
    <w:rsid w:val="00CF1C21"/>
    <w:rsid w:val="00CF1C2F"/>
    <w:rsid w:val="00CF23A9"/>
    <w:rsid w:val="00CF2613"/>
    <w:rsid w:val="00CF2987"/>
    <w:rsid w:val="00CF2B67"/>
    <w:rsid w:val="00CF2CD7"/>
    <w:rsid w:val="00CF2D74"/>
    <w:rsid w:val="00CF2DF3"/>
    <w:rsid w:val="00CF2ED7"/>
    <w:rsid w:val="00CF309D"/>
    <w:rsid w:val="00CF3582"/>
    <w:rsid w:val="00CF36A1"/>
    <w:rsid w:val="00CF36F9"/>
    <w:rsid w:val="00CF3858"/>
    <w:rsid w:val="00CF386E"/>
    <w:rsid w:val="00CF3942"/>
    <w:rsid w:val="00CF3B48"/>
    <w:rsid w:val="00CF3E3F"/>
    <w:rsid w:val="00CF3FB4"/>
    <w:rsid w:val="00CF45C5"/>
    <w:rsid w:val="00CF47D9"/>
    <w:rsid w:val="00CF4A32"/>
    <w:rsid w:val="00CF4B57"/>
    <w:rsid w:val="00CF4CE1"/>
    <w:rsid w:val="00CF4E93"/>
    <w:rsid w:val="00CF4F6C"/>
    <w:rsid w:val="00CF5004"/>
    <w:rsid w:val="00CF51C3"/>
    <w:rsid w:val="00CF53E0"/>
    <w:rsid w:val="00CF5EBB"/>
    <w:rsid w:val="00CF66C0"/>
    <w:rsid w:val="00CF693E"/>
    <w:rsid w:val="00CF6977"/>
    <w:rsid w:val="00CF69EF"/>
    <w:rsid w:val="00CF6B9B"/>
    <w:rsid w:val="00CF6D03"/>
    <w:rsid w:val="00CF73FE"/>
    <w:rsid w:val="00CF751B"/>
    <w:rsid w:val="00CF77FD"/>
    <w:rsid w:val="00CF7B2A"/>
    <w:rsid w:val="00CF7DC8"/>
    <w:rsid w:val="00D00045"/>
    <w:rsid w:val="00D00244"/>
    <w:rsid w:val="00D002F4"/>
    <w:rsid w:val="00D00788"/>
    <w:rsid w:val="00D00859"/>
    <w:rsid w:val="00D008DE"/>
    <w:rsid w:val="00D00A63"/>
    <w:rsid w:val="00D01010"/>
    <w:rsid w:val="00D012FF"/>
    <w:rsid w:val="00D0170D"/>
    <w:rsid w:val="00D01860"/>
    <w:rsid w:val="00D01A10"/>
    <w:rsid w:val="00D01A7B"/>
    <w:rsid w:val="00D01C1C"/>
    <w:rsid w:val="00D01E83"/>
    <w:rsid w:val="00D0209C"/>
    <w:rsid w:val="00D020D4"/>
    <w:rsid w:val="00D0238D"/>
    <w:rsid w:val="00D02561"/>
    <w:rsid w:val="00D026D1"/>
    <w:rsid w:val="00D0283F"/>
    <w:rsid w:val="00D02AF2"/>
    <w:rsid w:val="00D02BF7"/>
    <w:rsid w:val="00D02E26"/>
    <w:rsid w:val="00D03036"/>
    <w:rsid w:val="00D03175"/>
    <w:rsid w:val="00D03300"/>
    <w:rsid w:val="00D03327"/>
    <w:rsid w:val="00D03511"/>
    <w:rsid w:val="00D036F4"/>
    <w:rsid w:val="00D03D9F"/>
    <w:rsid w:val="00D03DA6"/>
    <w:rsid w:val="00D03E84"/>
    <w:rsid w:val="00D04010"/>
    <w:rsid w:val="00D04236"/>
    <w:rsid w:val="00D04437"/>
    <w:rsid w:val="00D046E0"/>
    <w:rsid w:val="00D04822"/>
    <w:rsid w:val="00D04D5E"/>
    <w:rsid w:val="00D04F39"/>
    <w:rsid w:val="00D05088"/>
    <w:rsid w:val="00D051E1"/>
    <w:rsid w:val="00D05291"/>
    <w:rsid w:val="00D05534"/>
    <w:rsid w:val="00D058DA"/>
    <w:rsid w:val="00D05940"/>
    <w:rsid w:val="00D059B8"/>
    <w:rsid w:val="00D05A76"/>
    <w:rsid w:val="00D05B3C"/>
    <w:rsid w:val="00D05B96"/>
    <w:rsid w:val="00D05BAA"/>
    <w:rsid w:val="00D05FC1"/>
    <w:rsid w:val="00D060E5"/>
    <w:rsid w:val="00D061CA"/>
    <w:rsid w:val="00D0623D"/>
    <w:rsid w:val="00D06AF9"/>
    <w:rsid w:val="00D06C3E"/>
    <w:rsid w:val="00D06E1C"/>
    <w:rsid w:val="00D070ED"/>
    <w:rsid w:val="00D072C1"/>
    <w:rsid w:val="00D072C5"/>
    <w:rsid w:val="00D07582"/>
    <w:rsid w:val="00D07A77"/>
    <w:rsid w:val="00D07AD7"/>
    <w:rsid w:val="00D07B4D"/>
    <w:rsid w:val="00D104AA"/>
    <w:rsid w:val="00D10615"/>
    <w:rsid w:val="00D10A86"/>
    <w:rsid w:val="00D10D18"/>
    <w:rsid w:val="00D10DE6"/>
    <w:rsid w:val="00D1130C"/>
    <w:rsid w:val="00D114A6"/>
    <w:rsid w:val="00D11680"/>
    <w:rsid w:val="00D11696"/>
    <w:rsid w:val="00D120B7"/>
    <w:rsid w:val="00D1212A"/>
    <w:rsid w:val="00D121F0"/>
    <w:rsid w:val="00D1224E"/>
    <w:rsid w:val="00D1232F"/>
    <w:rsid w:val="00D12532"/>
    <w:rsid w:val="00D12776"/>
    <w:rsid w:val="00D12817"/>
    <w:rsid w:val="00D1282A"/>
    <w:rsid w:val="00D129D3"/>
    <w:rsid w:val="00D12B03"/>
    <w:rsid w:val="00D12DEF"/>
    <w:rsid w:val="00D12E88"/>
    <w:rsid w:val="00D12F18"/>
    <w:rsid w:val="00D13069"/>
    <w:rsid w:val="00D13085"/>
    <w:rsid w:val="00D132BB"/>
    <w:rsid w:val="00D132D4"/>
    <w:rsid w:val="00D134FA"/>
    <w:rsid w:val="00D137BC"/>
    <w:rsid w:val="00D13AFB"/>
    <w:rsid w:val="00D13C4C"/>
    <w:rsid w:val="00D13C98"/>
    <w:rsid w:val="00D1412D"/>
    <w:rsid w:val="00D142F9"/>
    <w:rsid w:val="00D14307"/>
    <w:rsid w:val="00D143DB"/>
    <w:rsid w:val="00D14635"/>
    <w:rsid w:val="00D14986"/>
    <w:rsid w:val="00D14DCD"/>
    <w:rsid w:val="00D14E18"/>
    <w:rsid w:val="00D152EB"/>
    <w:rsid w:val="00D1578E"/>
    <w:rsid w:val="00D15A9C"/>
    <w:rsid w:val="00D15AC4"/>
    <w:rsid w:val="00D15BC8"/>
    <w:rsid w:val="00D15D82"/>
    <w:rsid w:val="00D15EE3"/>
    <w:rsid w:val="00D160B4"/>
    <w:rsid w:val="00D163A8"/>
    <w:rsid w:val="00D16406"/>
    <w:rsid w:val="00D1653C"/>
    <w:rsid w:val="00D16895"/>
    <w:rsid w:val="00D16907"/>
    <w:rsid w:val="00D16C49"/>
    <w:rsid w:val="00D16CCE"/>
    <w:rsid w:val="00D16E03"/>
    <w:rsid w:val="00D16FDB"/>
    <w:rsid w:val="00D173CF"/>
    <w:rsid w:val="00D173ED"/>
    <w:rsid w:val="00D176B5"/>
    <w:rsid w:val="00D1776D"/>
    <w:rsid w:val="00D17E23"/>
    <w:rsid w:val="00D20236"/>
    <w:rsid w:val="00D202E9"/>
    <w:rsid w:val="00D204B9"/>
    <w:rsid w:val="00D204F2"/>
    <w:rsid w:val="00D2061D"/>
    <w:rsid w:val="00D2064A"/>
    <w:rsid w:val="00D20985"/>
    <w:rsid w:val="00D20A03"/>
    <w:rsid w:val="00D20CD1"/>
    <w:rsid w:val="00D20E0B"/>
    <w:rsid w:val="00D213C9"/>
    <w:rsid w:val="00D215D7"/>
    <w:rsid w:val="00D2171A"/>
    <w:rsid w:val="00D22064"/>
    <w:rsid w:val="00D22514"/>
    <w:rsid w:val="00D22583"/>
    <w:rsid w:val="00D22883"/>
    <w:rsid w:val="00D22B5A"/>
    <w:rsid w:val="00D22E9A"/>
    <w:rsid w:val="00D2304A"/>
    <w:rsid w:val="00D23059"/>
    <w:rsid w:val="00D230DF"/>
    <w:rsid w:val="00D232EA"/>
    <w:rsid w:val="00D23577"/>
    <w:rsid w:val="00D2361A"/>
    <w:rsid w:val="00D23837"/>
    <w:rsid w:val="00D23A06"/>
    <w:rsid w:val="00D23D06"/>
    <w:rsid w:val="00D24233"/>
    <w:rsid w:val="00D24242"/>
    <w:rsid w:val="00D2429A"/>
    <w:rsid w:val="00D24435"/>
    <w:rsid w:val="00D247F3"/>
    <w:rsid w:val="00D2494B"/>
    <w:rsid w:val="00D24A2E"/>
    <w:rsid w:val="00D251BE"/>
    <w:rsid w:val="00D252C6"/>
    <w:rsid w:val="00D252EE"/>
    <w:rsid w:val="00D2554E"/>
    <w:rsid w:val="00D25580"/>
    <w:rsid w:val="00D256E1"/>
    <w:rsid w:val="00D25952"/>
    <w:rsid w:val="00D25968"/>
    <w:rsid w:val="00D2597A"/>
    <w:rsid w:val="00D25AD4"/>
    <w:rsid w:val="00D25ADD"/>
    <w:rsid w:val="00D25E03"/>
    <w:rsid w:val="00D25EA0"/>
    <w:rsid w:val="00D25EC2"/>
    <w:rsid w:val="00D263F5"/>
    <w:rsid w:val="00D2662B"/>
    <w:rsid w:val="00D2667A"/>
    <w:rsid w:val="00D26870"/>
    <w:rsid w:val="00D26906"/>
    <w:rsid w:val="00D26948"/>
    <w:rsid w:val="00D26AE7"/>
    <w:rsid w:val="00D26BD1"/>
    <w:rsid w:val="00D26C8D"/>
    <w:rsid w:val="00D26F5C"/>
    <w:rsid w:val="00D272D5"/>
    <w:rsid w:val="00D27369"/>
    <w:rsid w:val="00D277C7"/>
    <w:rsid w:val="00D27A00"/>
    <w:rsid w:val="00D27A9F"/>
    <w:rsid w:val="00D27C8B"/>
    <w:rsid w:val="00D27D96"/>
    <w:rsid w:val="00D27F0C"/>
    <w:rsid w:val="00D27F2A"/>
    <w:rsid w:val="00D27F7F"/>
    <w:rsid w:val="00D27FBA"/>
    <w:rsid w:val="00D3028A"/>
    <w:rsid w:val="00D3035D"/>
    <w:rsid w:val="00D3036D"/>
    <w:rsid w:val="00D304D5"/>
    <w:rsid w:val="00D304E4"/>
    <w:rsid w:val="00D30710"/>
    <w:rsid w:val="00D3097A"/>
    <w:rsid w:val="00D309B3"/>
    <w:rsid w:val="00D309C4"/>
    <w:rsid w:val="00D30B32"/>
    <w:rsid w:val="00D30B95"/>
    <w:rsid w:val="00D30BAA"/>
    <w:rsid w:val="00D30E51"/>
    <w:rsid w:val="00D312B4"/>
    <w:rsid w:val="00D313DB"/>
    <w:rsid w:val="00D317FE"/>
    <w:rsid w:val="00D31904"/>
    <w:rsid w:val="00D31B3F"/>
    <w:rsid w:val="00D31C28"/>
    <w:rsid w:val="00D31D5C"/>
    <w:rsid w:val="00D31DA8"/>
    <w:rsid w:val="00D31E0E"/>
    <w:rsid w:val="00D32227"/>
    <w:rsid w:val="00D32680"/>
    <w:rsid w:val="00D32828"/>
    <w:rsid w:val="00D32CEC"/>
    <w:rsid w:val="00D32DF7"/>
    <w:rsid w:val="00D32FEA"/>
    <w:rsid w:val="00D33210"/>
    <w:rsid w:val="00D332BB"/>
    <w:rsid w:val="00D33748"/>
    <w:rsid w:val="00D33876"/>
    <w:rsid w:val="00D33FED"/>
    <w:rsid w:val="00D340BB"/>
    <w:rsid w:val="00D341B3"/>
    <w:rsid w:val="00D343DC"/>
    <w:rsid w:val="00D3449A"/>
    <w:rsid w:val="00D346C2"/>
    <w:rsid w:val="00D349CC"/>
    <w:rsid w:val="00D34D3A"/>
    <w:rsid w:val="00D34D97"/>
    <w:rsid w:val="00D3542B"/>
    <w:rsid w:val="00D35928"/>
    <w:rsid w:val="00D359AE"/>
    <w:rsid w:val="00D35C85"/>
    <w:rsid w:val="00D35CA3"/>
    <w:rsid w:val="00D35FAA"/>
    <w:rsid w:val="00D363F7"/>
    <w:rsid w:val="00D36471"/>
    <w:rsid w:val="00D36811"/>
    <w:rsid w:val="00D36874"/>
    <w:rsid w:val="00D36C88"/>
    <w:rsid w:val="00D36CDE"/>
    <w:rsid w:val="00D36F85"/>
    <w:rsid w:val="00D37152"/>
    <w:rsid w:val="00D377B2"/>
    <w:rsid w:val="00D378BD"/>
    <w:rsid w:val="00D37A38"/>
    <w:rsid w:val="00D37B48"/>
    <w:rsid w:val="00D37B74"/>
    <w:rsid w:val="00D37C30"/>
    <w:rsid w:val="00D37D9D"/>
    <w:rsid w:val="00D37DCE"/>
    <w:rsid w:val="00D37FCD"/>
    <w:rsid w:val="00D40162"/>
    <w:rsid w:val="00D4033A"/>
    <w:rsid w:val="00D40518"/>
    <w:rsid w:val="00D40EED"/>
    <w:rsid w:val="00D40F92"/>
    <w:rsid w:val="00D40FF5"/>
    <w:rsid w:val="00D41263"/>
    <w:rsid w:val="00D414F4"/>
    <w:rsid w:val="00D41520"/>
    <w:rsid w:val="00D417C7"/>
    <w:rsid w:val="00D418B3"/>
    <w:rsid w:val="00D41FA4"/>
    <w:rsid w:val="00D423D5"/>
    <w:rsid w:val="00D4252C"/>
    <w:rsid w:val="00D42614"/>
    <w:rsid w:val="00D42B05"/>
    <w:rsid w:val="00D42CFE"/>
    <w:rsid w:val="00D431D2"/>
    <w:rsid w:val="00D43330"/>
    <w:rsid w:val="00D4375C"/>
    <w:rsid w:val="00D438CF"/>
    <w:rsid w:val="00D438FA"/>
    <w:rsid w:val="00D43A27"/>
    <w:rsid w:val="00D43DD8"/>
    <w:rsid w:val="00D43FD4"/>
    <w:rsid w:val="00D44146"/>
    <w:rsid w:val="00D44865"/>
    <w:rsid w:val="00D44B93"/>
    <w:rsid w:val="00D44FB6"/>
    <w:rsid w:val="00D45161"/>
    <w:rsid w:val="00D451F5"/>
    <w:rsid w:val="00D45540"/>
    <w:rsid w:val="00D455F4"/>
    <w:rsid w:val="00D4586B"/>
    <w:rsid w:val="00D458C2"/>
    <w:rsid w:val="00D458CD"/>
    <w:rsid w:val="00D45B11"/>
    <w:rsid w:val="00D45E86"/>
    <w:rsid w:val="00D45F1C"/>
    <w:rsid w:val="00D45F41"/>
    <w:rsid w:val="00D4619E"/>
    <w:rsid w:val="00D461F5"/>
    <w:rsid w:val="00D4662B"/>
    <w:rsid w:val="00D468E8"/>
    <w:rsid w:val="00D4690E"/>
    <w:rsid w:val="00D46D1C"/>
    <w:rsid w:val="00D46FBE"/>
    <w:rsid w:val="00D472E2"/>
    <w:rsid w:val="00D476DB"/>
    <w:rsid w:val="00D47847"/>
    <w:rsid w:val="00D500E9"/>
    <w:rsid w:val="00D5034A"/>
    <w:rsid w:val="00D5049C"/>
    <w:rsid w:val="00D50502"/>
    <w:rsid w:val="00D506A0"/>
    <w:rsid w:val="00D50C82"/>
    <w:rsid w:val="00D50D87"/>
    <w:rsid w:val="00D50F1F"/>
    <w:rsid w:val="00D510D9"/>
    <w:rsid w:val="00D5123C"/>
    <w:rsid w:val="00D51288"/>
    <w:rsid w:val="00D51416"/>
    <w:rsid w:val="00D5148E"/>
    <w:rsid w:val="00D518E8"/>
    <w:rsid w:val="00D51B51"/>
    <w:rsid w:val="00D51CAC"/>
    <w:rsid w:val="00D523FB"/>
    <w:rsid w:val="00D52407"/>
    <w:rsid w:val="00D524F6"/>
    <w:rsid w:val="00D52533"/>
    <w:rsid w:val="00D52537"/>
    <w:rsid w:val="00D527F3"/>
    <w:rsid w:val="00D528AD"/>
    <w:rsid w:val="00D52970"/>
    <w:rsid w:val="00D52A7D"/>
    <w:rsid w:val="00D52D52"/>
    <w:rsid w:val="00D52F7C"/>
    <w:rsid w:val="00D530D1"/>
    <w:rsid w:val="00D5310C"/>
    <w:rsid w:val="00D5310E"/>
    <w:rsid w:val="00D53167"/>
    <w:rsid w:val="00D53247"/>
    <w:rsid w:val="00D5357F"/>
    <w:rsid w:val="00D5360F"/>
    <w:rsid w:val="00D5385F"/>
    <w:rsid w:val="00D53911"/>
    <w:rsid w:val="00D5395F"/>
    <w:rsid w:val="00D540ED"/>
    <w:rsid w:val="00D5411C"/>
    <w:rsid w:val="00D541DE"/>
    <w:rsid w:val="00D54281"/>
    <w:rsid w:val="00D542D8"/>
    <w:rsid w:val="00D544F5"/>
    <w:rsid w:val="00D54896"/>
    <w:rsid w:val="00D54A4F"/>
    <w:rsid w:val="00D553C4"/>
    <w:rsid w:val="00D55785"/>
    <w:rsid w:val="00D55A6C"/>
    <w:rsid w:val="00D55BAB"/>
    <w:rsid w:val="00D55EA1"/>
    <w:rsid w:val="00D55F3E"/>
    <w:rsid w:val="00D560B6"/>
    <w:rsid w:val="00D5617C"/>
    <w:rsid w:val="00D56807"/>
    <w:rsid w:val="00D569F3"/>
    <w:rsid w:val="00D56B6B"/>
    <w:rsid w:val="00D56C34"/>
    <w:rsid w:val="00D56F5C"/>
    <w:rsid w:val="00D56FD3"/>
    <w:rsid w:val="00D57056"/>
    <w:rsid w:val="00D5719C"/>
    <w:rsid w:val="00D57200"/>
    <w:rsid w:val="00D57224"/>
    <w:rsid w:val="00D57297"/>
    <w:rsid w:val="00D57686"/>
    <w:rsid w:val="00D578FC"/>
    <w:rsid w:val="00D57B6C"/>
    <w:rsid w:val="00D57D40"/>
    <w:rsid w:val="00D57F64"/>
    <w:rsid w:val="00D6026D"/>
    <w:rsid w:val="00D6050D"/>
    <w:rsid w:val="00D605F3"/>
    <w:rsid w:val="00D60632"/>
    <w:rsid w:val="00D60B28"/>
    <w:rsid w:val="00D60C18"/>
    <w:rsid w:val="00D60E0D"/>
    <w:rsid w:val="00D60E4B"/>
    <w:rsid w:val="00D60F1B"/>
    <w:rsid w:val="00D60F34"/>
    <w:rsid w:val="00D61248"/>
    <w:rsid w:val="00D61531"/>
    <w:rsid w:val="00D6185D"/>
    <w:rsid w:val="00D618AA"/>
    <w:rsid w:val="00D61A43"/>
    <w:rsid w:val="00D6201E"/>
    <w:rsid w:val="00D6229B"/>
    <w:rsid w:val="00D623ED"/>
    <w:rsid w:val="00D62639"/>
    <w:rsid w:val="00D62826"/>
    <w:rsid w:val="00D628F4"/>
    <w:rsid w:val="00D62A3A"/>
    <w:rsid w:val="00D62BA2"/>
    <w:rsid w:val="00D62BB7"/>
    <w:rsid w:val="00D62D7D"/>
    <w:rsid w:val="00D63099"/>
    <w:rsid w:val="00D6315D"/>
    <w:rsid w:val="00D63802"/>
    <w:rsid w:val="00D638FD"/>
    <w:rsid w:val="00D639E7"/>
    <w:rsid w:val="00D63FD7"/>
    <w:rsid w:val="00D64068"/>
    <w:rsid w:val="00D64205"/>
    <w:rsid w:val="00D642DB"/>
    <w:rsid w:val="00D64549"/>
    <w:rsid w:val="00D64661"/>
    <w:rsid w:val="00D64879"/>
    <w:rsid w:val="00D64976"/>
    <w:rsid w:val="00D64AFF"/>
    <w:rsid w:val="00D64B13"/>
    <w:rsid w:val="00D64BF6"/>
    <w:rsid w:val="00D64C60"/>
    <w:rsid w:val="00D650E3"/>
    <w:rsid w:val="00D65289"/>
    <w:rsid w:val="00D65313"/>
    <w:rsid w:val="00D65340"/>
    <w:rsid w:val="00D65691"/>
    <w:rsid w:val="00D6572F"/>
    <w:rsid w:val="00D65813"/>
    <w:rsid w:val="00D65898"/>
    <w:rsid w:val="00D6598B"/>
    <w:rsid w:val="00D65A75"/>
    <w:rsid w:val="00D65B8E"/>
    <w:rsid w:val="00D65D8A"/>
    <w:rsid w:val="00D664CD"/>
    <w:rsid w:val="00D6651F"/>
    <w:rsid w:val="00D6652F"/>
    <w:rsid w:val="00D667A3"/>
    <w:rsid w:val="00D669AD"/>
    <w:rsid w:val="00D66B96"/>
    <w:rsid w:val="00D66BAD"/>
    <w:rsid w:val="00D6711A"/>
    <w:rsid w:val="00D671D9"/>
    <w:rsid w:val="00D67273"/>
    <w:rsid w:val="00D674D3"/>
    <w:rsid w:val="00D675A1"/>
    <w:rsid w:val="00D675AA"/>
    <w:rsid w:val="00D678FC"/>
    <w:rsid w:val="00D679C0"/>
    <w:rsid w:val="00D67AEA"/>
    <w:rsid w:val="00D67D1D"/>
    <w:rsid w:val="00D70433"/>
    <w:rsid w:val="00D70756"/>
    <w:rsid w:val="00D70773"/>
    <w:rsid w:val="00D70C86"/>
    <w:rsid w:val="00D70E8B"/>
    <w:rsid w:val="00D71177"/>
    <w:rsid w:val="00D7121D"/>
    <w:rsid w:val="00D71440"/>
    <w:rsid w:val="00D71CF2"/>
    <w:rsid w:val="00D71F8C"/>
    <w:rsid w:val="00D723CE"/>
    <w:rsid w:val="00D724A1"/>
    <w:rsid w:val="00D725AF"/>
    <w:rsid w:val="00D727B8"/>
    <w:rsid w:val="00D727C8"/>
    <w:rsid w:val="00D7282C"/>
    <w:rsid w:val="00D72DCF"/>
    <w:rsid w:val="00D730F3"/>
    <w:rsid w:val="00D733A6"/>
    <w:rsid w:val="00D7340D"/>
    <w:rsid w:val="00D736C9"/>
    <w:rsid w:val="00D7371F"/>
    <w:rsid w:val="00D73A58"/>
    <w:rsid w:val="00D73B8C"/>
    <w:rsid w:val="00D73D57"/>
    <w:rsid w:val="00D73DC9"/>
    <w:rsid w:val="00D740BA"/>
    <w:rsid w:val="00D74213"/>
    <w:rsid w:val="00D74406"/>
    <w:rsid w:val="00D749C1"/>
    <w:rsid w:val="00D74AC0"/>
    <w:rsid w:val="00D751CA"/>
    <w:rsid w:val="00D7525A"/>
    <w:rsid w:val="00D75968"/>
    <w:rsid w:val="00D75D3D"/>
    <w:rsid w:val="00D75D42"/>
    <w:rsid w:val="00D75E0F"/>
    <w:rsid w:val="00D75FD7"/>
    <w:rsid w:val="00D7604C"/>
    <w:rsid w:val="00D760DE"/>
    <w:rsid w:val="00D76441"/>
    <w:rsid w:val="00D76563"/>
    <w:rsid w:val="00D76678"/>
    <w:rsid w:val="00D76861"/>
    <w:rsid w:val="00D768F6"/>
    <w:rsid w:val="00D76E20"/>
    <w:rsid w:val="00D76E33"/>
    <w:rsid w:val="00D77236"/>
    <w:rsid w:val="00D77422"/>
    <w:rsid w:val="00D776F8"/>
    <w:rsid w:val="00D778E2"/>
    <w:rsid w:val="00D77B32"/>
    <w:rsid w:val="00D77B75"/>
    <w:rsid w:val="00D77C02"/>
    <w:rsid w:val="00D77D6F"/>
    <w:rsid w:val="00D77F68"/>
    <w:rsid w:val="00D80069"/>
    <w:rsid w:val="00D804E4"/>
    <w:rsid w:val="00D805F3"/>
    <w:rsid w:val="00D8066B"/>
    <w:rsid w:val="00D80818"/>
    <w:rsid w:val="00D80C41"/>
    <w:rsid w:val="00D80EFD"/>
    <w:rsid w:val="00D81645"/>
    <w:rsid w:val="00D81969"/>
    <w:rsid w:val="00D81999"/>
    <w:rsid w:val="00D81CAB"/>
    <w:rsid w:val="00D81F17"/>
    <w:rsid w:val="00D825D8"/>
    <w:rsid w:val="00D828B0"/>
    <w:rsid w:val="00D829CC"/>
    <w:rsid w:val="00D82EF6"/>
    <w:rsid w:val="00D83036"/>
    <w:rsid w:val="00D83123"/>
    <w:rsid w:val="00D83186"/>
    <w:rsid w:val="00D831B3"/>
    <w:rsid w:val="00D831CA"/>
    <w:rsid w:val="00D83211"/>
    <w:rsid w:val="00D83391"/>
    <w:rsid w:val="00D83471"/>
    <w:rsid w:val="00D83C39"/>
    <w:rsid w:val="00D83DD0"/>
    <w:rsid w:val="00D83ECA"/>
    <w:rsid w:val="00D83EE1"/>
    <w:rsid w:val="00D8404C"/>
    <w:rsid w:val="00D8425B"/>
    <w:rsid w:val="00D84654"/>
    <w:rsid w:val="00D849C0"/>
    <w:rsid w:val="00D84ACA"/>
    <w:rsid w:val="00D84B2D"/>
    <w:rsid w:val="00D84DEA"/>
    <w:rsid w:val="00D84FF4"/>
    <w:rsid w:val="00D853EB"/>
    <w:rsid w:val="00D8564E"/>
    <w:rsid w:val="00D857B1"/>
    <w:rsid w:val="00D858D4"/>
    <w:rsid w:val="00D85E30"/>
    <w:rsid w:val="00D8626A"/>
    <w:rsid w:val="00D862F7"/>
    <w:rsid w:val="00D86389"/>
    <w:rsid w:val="00D86527"/>
    <w:rsid w:val="00D866C1"/>
    <w:rsid w:val="00D86708"/>
    <w:rsid w:val="00D86B0E"/>
    <w:rsid w:val="00D86B2D"/>
    <w:rsid w:val="00D86B84"/>
    <w:rsid w:val="00D86C3E"/>
    <w:rsid w:val="00D86FD7"/>
    <w:rsid w:val="00D87008"/>
    <w:rsid w:val="00D8705D"/>
    <w:rsid w:val="00D87117"/>
    <w:rsid w:val="00D87495"/>
    <w:rsid w:val="00D8772C"/>
    <w:rsid w:val="00D87747"/>
    <w:rsid w:val="00D8780F"/>
    <w:rsid w:val="00D87AA9"/>
    <w:rsid w:val="00D87AF6"/>
    <w:rsid w:val="00D87F58"/>
    <w:rsid w:val="00D901D3"/>
    <w:rsid w:val="00D90276"/>
    <w:rsid w:val="00D902BE"/>
    <w:rsid w:val="00D907E6"/>
    <w:rsid w:val="00D90EF9"/>
    <w:rsid w:val="00D91070"/>
    <w:rsid w:val="00D911C6"/>
    <w:rsid w:val="00D91335"/>
    <w:rsid w:val="00D914F6"/>
    <w:rsid w:val="00D918CE"/>
    <w:rsid w:val="00D9228E"/>
    <w:rsid w:val="00D92377"/>
    <w:rsid w:val="00D9238F"/>
    <w:rsid w:val="00D9252A"/>
    <w:rsid w:val="00D92583"/>
    <w:rsid w:val="00D92748"/>
    <w:rsid w:val="00D927C3"/>
    <w:rsid w:val="00D92961"/>
    <w:rsid w:val="00D92B20"/>
    <w:rsid w:val="00D93004"/>
    <w:rsid w:val="00D930D5"/>
    <w:rsid w:val="00D936EE"/>
    <w:rsid w:val="00D93855"/>
    <w:rsid w:val="00D938F7"/>
    <w:rsid w:val="00D93BCD"/>
    <w:rsid w:val="00D93FB0"/>
    <w:rsid w:val="00D948D2"/>
    <w:rsid w:val="00D9490F"/>
    <w:rsid w:val="00D94A9C"/>
    <w:rsid w:val="00D94AD6"/>
    <w:rsid w:val="00D94F44"/>
    <w:rsid w:val="00D94F61"/>
    <w:rsid w:val="00D95104"/>
    <w:rsid w:val="00D959BD"/>
    <w:rsid w:val="00D95C78"/>
    <w:rsid w:val="00D95CC6"/>
    <w:rsid w:val="00D95E99"/>
    <w:rsid w:val="00D96571"/>
    <w:rsid w:val="00D9663A"/>
    <w:rsid w:val="00D96C51"/>
    <w:rsid w:val="00D96C84"/>
    <w:rsid w:val="00D96F1B"/>
    <w:rsid w:val="00D971D2"/>
    <w:rsid w:val="00D97266"/>
    <w:rsid w:val="00D9774A"/>
    <w:rsid w:val="00D977D8"/>
    <w:rsid w:val="00D97C3B"/>
    <w:rsid w:val="00D97C54"/>
    <w:rsid w:val="00DA011D"/>
    <w:rsid w:val="00DA0237"/>
    <w:rsid w:val="00DA0268"/>
    <w:rsid w:val="00DA045D"/>
    <w:rsid w:val="00DA08C1"/>
    <w:rsid w:val="00DA0A2B"/>
    <w:rsid w:val="00DA0B54"/>
    <w:rsid w:val="00DA0DE4"/>
    <w:rsid w:val="00DA1090"/>
    <w:rsid w:val="00DA1478"/>
    <w:rsid w:val="00DA1B7D"/>
    <w:rsid w:val="00DA1BF8"/>
    <w:rsid w:val="00DA1FAF"/>
    <w:rsid w:val="00DA2150"/>
    <w:rsid w:val="00DA2379"/>
    <w:rsid w:val="00DA24C5"/>
    <w:rsid w:val="00DA256B"/>
    <w:rsid w:val="00DA281A"/>
    <w:rsid w:val="00DA2848"/>
    <w:rsid w:val="00DA2891"/>
    <w:rsid w:val="00DA28D2"/>
    <w:rsid w:val="00DA2AE1"/>
    <w:rsid w:val="00DA32CD"/>
    <w:rsid w:val="00DA32E2"/>
    <w:rsid w:val="00DA347D"/>
    <w:rsid w:val="00DA357C"/>
    <w:rsid w:val="00DA35EE"/>
    <w:rsid w:val="00DA393F"/>
    <w:rsid w:val="00DA3B7A"/>
    <w:rsid w:val="00DA3C75"/>
    <w:rsid w:val="00DA3EF7"/>
    <w:rsid w:val="00DA400D"/>
    <w:rsid w:val="00DA40C8"/>
    <w:rsid w:val="00DA40E8"/>
    <w:rsid w:val="00DA43AA"/>
    <w:rsid w:val="00DA43CF"/>
    <w:rsid w:val="00DA45DA"/>
    <w:rsid w:val="00DA4A60"/>
    <w:rsid w:val="00DA4C47"/>
    <w:rsid w:val="00DA519B"/>
    <w:rsid w:val="00DA546A"/>
    <w:rsid w:val="00DA557E"/>
    <w:rsid w:val="00DA55D1"/>
    <w:rsid w:val="00DA57E3"/>
    <w:rsid w:val="00DA58C5"/>
    <w:rsid w:val="00DA5C21"/>
    <w:rsid w:val="00DA5D36"/>
    <w:rsid w:val="00DA6014"/>
    <w:rsid w:val="00DA6167"/>
    <w:rsid w:val="00DA6230"/>
    <w:rsid w:val="00DA68C1"/>
    <w:rsid w:val="00DA68D3"/>
    <w:rsid w:val="00DA697A"/>
    <w:rsid w:val="00DA6C0C"/>
    <w:rsid w:val="00DA6C99"/>
    <w:rsid w:val="00DA6DF1"/>
    <w:rsid w:val="00DA6F29"/>
    <w:rsid w:val="00DA7340"/>
    <w:rsid w:val="00DA7DD6"/>
    <w:rsid w:val="00DB0206"/>
    <w:rsid w:val="00DB043A"/>
    <w:rsid w:val="00DB0659"/>
    <w:rsid w:val="00DB0822"/>
    <w:rsid w:val="00DB0A29"/>
    <w:rsid w:val="00DB0A32"/>
    <w:rsid w:val="00DB0A7E"/>
    <w:rsid w:val="00DB0A92"/>
    <w:rsid w:val="00DB0ABF"/>
    <w:rsid w:val="00DB0B1B"/>
    <w:rsid w:val="00DB0C53"/>
    <w:rsid w:val="00DB0D3C"/>
    <w:rsid w:val="00DB0DAA"/>
    <w:rsid w:val="00DB0E1F"/>
    <w:rsid w:val="00DB1299"/>
    <w:rsid w:val="00DB12A1"/>
    <w:rsid w:val="00DB166D"/>
    <w:rsid w:val="00DB1776"/>
    <w:rsid w:val="00DB2320"/>
    <w:rsid w:val="00DB2493"/>
    <w:rsid w:val="00DB26FE"/>
    <w:rsid w:val="00DB2931"/>
    <w:rsid w:val="00DB2988"/>
    <w:rsid w:val="00DB2E3B"/>
    <w:rsid w:val="00DB2E9D"/>
    <w:rsid w:val="00DB2F36"/>
    <w:rsid w:val="00DB303B"/>
    <w:rsid w:val="00DB3536"/>
    <w:rsid w:val="00DB382B"/>
    <w:rsid w:val="00DB3931"/>
    <w:rsid w:val="00DB3DFA"/>
    <w:rsid w:val="00DB3F86"/>
    <w:rsid w:val="00DB4369"/>
    <w:rsid w:val="00DB45A3"/>
    <w:rsid w:val="00DB467F"/>
    <w:rsid w:val="00DB4B77"/>
    <w:rsid w:val="00DB4F9F"/>
    <w:rsid w:val="00DB5125"/>
    <w:rsid w:val="00DB5460"/>
    <w:rsid w:val="00DB576E"/>
    <w:rsid w:val="00DB5774"/>
    <w:rsid w:val="00DB5834"/>
    <w:rsid w:val="00DB5953"/>
    <w:rsid w:val="00DB5A0F"/>
    <w:rsid w:val="00DB5E7A"/>
    <w:rsid w:val="00DB5F3A"/>
    <w:rsid w:val="00DB60C3"/>
    <w:rsid w:val="00DB62C0"/>
    <w:rsid w:val="00DB62F8"/>
    <w:rsid w:val="00DB63EF"/>
    <w:rsid w:val="00DB6826"/>
    <w:rsid w:val="00DB6986"/>
    <w:rsid w:val="00DB69F0"/>
    <w:rsid w:val="00DB6A68"/>
    <w:rsid w:val="00DB6B5A"/>
    <w:rsid w:val="00DB6BFA"/>
    <w:rsid w:val="00DB6F46"/>
    <w:rsid w:val="00DB70D0"/>
    <w:rsid w:val="00DB7C6C"/>
    <w:rsid w:val="00DC004F"/>
    <w:rsid w:val="00DC01EA"/>
    <w:rsid w:val="00DC025F"/>
    <w:rsid w:val="00DC032B"/>
    <w:rsid w:val="00DC04CE"/>
    <w:rsid w:val="00DC0644"/>
    <w:rsid w:val="00DC0B4E"/>
    <w:rsid w:val="00DC0CA0"/>
    <w:rsid w:val="00DC102D"/>
    <w:rsid w:val="00DC1403"/>
    <w:rsid w:val="00DC179D"/>
    <w:rsid w:val="00DC1991"/>
    <w:rsid w:val="00DC1997"/>
    <w:rsid w:val="00DC1A13"/>
    <w:rsid w:val="00DC22D7"/>
    <w:rsid w:val="00DC22FA"/>
    <w:rsid w:val="00DC2B6F"/>
    <w:rsid w:val="00DC31F7"/>
    <w:rsid w:val="00DC332A"/>
    <w:rsid w:val="00DC33E2"/>
    <w:rsid w:val="00DC340F"/>
    <w:rsid w:val="00DC3FEB"/>
    <w:rsid w:val="00DC407B"/>
    <w:rsid w:val="00DC44A3"/>
    <w:rsid w:val="00DC46E4"/>
    <w:rsid w:val="00DC484C"/>
    <w:rsid w:val="00DC4890"/>
    <w:rsid w:val="00DC4944"/>
    <w:rsid w:val="00DC4D38"/>
    <w:rsid w:val="00DC4DB1"/>
    <w:rsid w:val="00DC4E49"/>
    <w:rsid w:val="00DC513E"/>
    <w:rsid w:val="00DC517D"/>
    <w:rsid w:val="00DC53E8"/>
    <w:rsid w:val="00DC5542"/>
    <w:rsid w:val="00DC5611"/>
    <w:rsid w:val="00DC58E5"/>
    <w:rsid w:val="00DC5BE7"/>
    <w:rsid w:val="00DC5FE9"/>
    <w:rsid w:val="00DC6268"/>
    <w:rsid w:val="00DC6387"/>
    <w:rsid w:val="00DC6439"/>
    <w:rsid w:val="00DC6788"/>
    <w:rsid w:val="00DC6F38"/>
    <w:rsid w:val="00DC71C9"/>
    <w:rsid w:val="00DC75E9"/>
    <w:rsid w:val="00DC77AE"/>
    <w:rsid w:val="00DC78D6"/>
    <w:rsid w:val="00DC7A3B"/>
    <w:rsid w:val="00DC7A63"/>
    <w:rsid w:val="00DC7DB8"/>
    <w:rsid w:val="00DD057B"/>
    <w:rsid w:val="00DD0AF2"/>
    <w:rsid w:val="00DD0C33"/>
    <w:rsid w:val="00DD107F"/>
    <w:rsid w:val="00DD1450"/>
    <w:rsid w:val="00DD1520"/>
    <w:rsid w:val="00DD177D"/>
    <w:rsid w:val="00DD193B"/>
    <w:rsid w:val="00DD193F"/>
    <w:rsid w:val="00DD19C5"/>
    <w:rsid w:val="00DD19DF"/>
    <w:rsid w:val="00DD19EA"/>
    <w:rsid w:val="00DD1AC2"/>
    <w:rsid w:val="00DD1BB3"/>
    <w:rsid w:val="00DD1C59"/>
    <w:rsid w:val="00DD1E38"/>
    <w:rsid w:val="00DD21D3"/>
    <w:rsid w:val="00DD25CA"/>
    <w:rsid w:val="00DD27B2"/>
    <w:rsid w:val="00DD2A1B"/>
    <w:rsid w:val="00DD2AC8"/>
    <w:rsid w:val="00DD3180"/>
    <w:rsid w:val="00DD31C8"/>
    <w:rsid w:val="00DD3586"/>
    <w:rsid w:val="00DD3643"/>
    <w:rsid w:val="00DD374F"/>
    <w:rsid w:val="00DD3BD1"/>
    <w:rsid w:val="00DD3D06"/>
    <w:rsid w:val="00DD3EF9"/>
    <w:rsid w:val="00DD40D5"/>
    <w:rsid w:val="00DD41F2"/>
    <w:rsid w:val="00DD4302"/>
    <w:rsid w:val="00DD4522"/>
    <w:rsid w:val="00DD4539"/>
    <w:rsid w:val="00DD4806"/>
    <w:rsid w:val="00DD4B5A"/>
    <w:rsid w:val="00DD4C7D"/>
    <w:rsid w:val="00DD5238"/>
    <w:rsid w:val="00DD5429"/>
    <w:rsid w:val="00DD5522"/>
    <w:rsid w:val="00DD57CD"/>
    <w:rsid w:val="00DD5928"/>
    <w:rsid w:val="00DD5A32"/>
    <w:rsid w:val="00DD5E90"/>
    <w:rsid w:val="00DD603C"/>
    <w:rsid w:val="00DD61D3"/>
    <w:rsid w:val="00DD6600"/>
    <w:rsid w:val="00DD66D7"/>
    <w:rsid w:val="00DD6A33"/>
    <w:rsid w:val="00DD6C6D"/>
    <w:rsid w:val="00DD72A5"/>
    <w:rsid w:val="00DD74CA"/>
    <w:rsid w:val="00DD777A"/>
    <w:rsid w:val="00DD78AE"/>
    <w:rsid w:val="00DD7A48"/>
    <w:rsid w:val="00DD7DB2"/>
    <w:rsid w:val="00DE01F0"/>
    <w:rsid w:val="00DE03BC"/>
    <w:rsid w:val="00DE07F6"/>
    <w:rsid w:val="00DE0820"/>
    <w:rsid w:val="00DE09EB"/>
    <w:rsid w:val="00DE0A07"/>
    <w:rsid w:val="00DE0B23"/>
    <w:rsid w:val="00DE0C22"/>
    <w:rsid w:val="00DE0F15"/>
    <w:rsid w:val="00DE1059"/>
    <w:rsid w:val="00DE10AA"/>
    <w:rsid w:val="00DE1129"/>
    <w:rsid w:val="00DE13A4"/>
    <w:rsid w:val="00DE14D3"/>
    <w:rsid w:val="00DE17CA"/>
    <w:rsid w:val="00DE19C1"/>
    <w:rsid w:val="00DE1A92"/>
    <w:rsid w:val="00DE1B5A"/>
    <w:rsid w:val="00DE24FE"/>
    <w:rsid w:val="00DE28C8"/>
    <w:rsid w:val="00DE2E22"/>
    <w:rsid w:val="00DE3301"/>
    <w:rsid w:val="00DE341E"/>
    <w:rsid w:val="00DE34B7"/>
    <w:rsid w:val="00DE36C5"/>
    <w:rsid w:val="00DE3872"/>
    <w:rsid w:val="00DE3BAD"/>
    <w:rsid w:val="00DE3BEA"/>
    <w:rsid w:val="00DE3C57"/>
    <w:rsid w:val="00DE455B"/>
    <w:rsid w:val="00DE46FB"/>
    <w:rsid w:val="00DE4890"/>
    <w:rsid w:val="00DE48ED"/>
    <w:rsid w:val="00DE4944"/>
    <w:rsid w:val="00DE4945"/>
    <w:rsid w:val="00DE4F27"/>
    <w:rsid w:val="00DE4FB8"/>
    <w:rsid w:val="00DE55E6"/>
    <w:rsid w:val="00DE56A1"/>
    <w:rsid w:val="00DE5920"/>
    <w:rsid w:val="00DE5AEB"/>
    <w:rsid w:val="00DE5C34"/>
    <w:rsid w:val="00DE5DA8"/>
    <w:rsid w:val="00DE5E94"/>
    <w:rsid w:val="00DE5EC4"/>
    <w:rsid w:val="00DE5F14"/>
    <w:rsid w:val="00DE6094"/>
    <w:rsid w:val="00DE6116"/>
    <w:rsid w:val="00DE63C1"/>
    <w:rsid w:val="00DE6678"/>
    <w:rsid w:val="00DE668A"/>
    <w:rsid w:val="00DE689E"/>
    <w:rsid w:val="00DE6A34"/>
    <w:rsid w:val="00DE6A87"/>
    <w:rsid w:val="00DE6BC4"/>
    <w:rsid w:val="00DE6C7E"/>
    <w:rsid w:val="00DE6DE3"/>
    <w:rsid w:val="00DE6E07"/>
    <w:rsid w:val="00DE6EE8"/>
    <w:rsid w:val="00DE7168"/>
    <w:rsid w:val="00DE7169"/>
    <w:rsid w:val="00DE7475"/>
    <w:rsid w:val="00DE74E3"/>
    <w:rsid w:val="00DE776F"/>
    <w:rsid w:val="00DE7853"/>
    <w:rsid w:val="00DE78B0"/>
    <w:rsid w:val="00DE78F9"/>
    <w:rsid w:val="00DE7C3F"/>
    <w:rsid w:val="00DF0094"/>
    <w:rsid w:val="00DF05D6"/>
    <w:rsid w:val="00DF06A1"/>
    <w:rsid w:val="00DF0BE6"/>
    <w:rsid w:val="00DF0C89"/>
    <w:rsid w:val="00DF0CC1"/>
    <w:rsid w:val="00DF0FE5"/>
    <w:rsid w:val="00DF10F1"/>
    <w:rsid w:val="00DF11A2"/>
    <w:rsid w:val="00DF11B3"/>
    <w:rsid w:val="00DF12AA"/>
    <w:rsid w:val="00DF1935"/>
    <w:rsid w:val="00DF193B"/>
    <w:rsid w:val="00DF1AA4"/>
    <w:rsid w:val="00DF1B7A"/>
    <w:rsid w:val="00DF1E70"/>
    <w:rsid w:val="00DF1FBA"/>
    <w:rsid w:val="00DF202D"/>
    <w:rsid w:val="00DF20E2"/>
    <w:rsid w:val="00DF2318"/>
    <w:rsid w:val="00DF241D"/>
    <w:rsid w:val="00DF28AA"/>
    <w:rsid w:val="00DF2902"/>
    <w:rsid w:val="00DF2AB0"/>
    <w:rsid w:val="00DF2CD8"/>
    <w:rsid w:val="00DF318D"/>
    <w:rsid w:val="00DF3230"/>
    <w:rsid w:val="00DF342C"/>
    <w:rsid w:val="00DF3453"/>
    <w:rsid w:val="00DF367B"/>
    <w:rsid w:val="00DF3725"/>
    <w:rsid w:val="00DF398A"/>
    <w:rsid w:val="00DF3B18"/>
    <w:rsid w:val="00DF3B4E"/>
    <w:rsid w:val="00DF3BC1"/>
    <w:rsid w:val="00DF3CC0"/>
    <w:rsid w:val="00DF3CC9"/>
    <w:rsid w:val="00DF3D04"/>
    <w:rsid w:val="00DF40AB"/>
    <w:rsid w:val="00DF4439"/>
    <w:rsid w:val="00DF4831"/>
    <w:rsid w:val="00DF4B3A"/>
    <w:rsid w:val="00DF4C2F"/>
    <w:rsid w:val="00DF522C"/>
    <w:rsid w:val="00DF523B"/>
    <w:rsid w:val="00DF5386"/>
    <w:rsid w:val="00DF55D4"/>
    <w:rsid w:val="00DF586B"/>
    <w:rsid w:val="00DF5D9B"/>
    <w:rsid w:val="00DF5EEE"/>
    <w:rsid w:val="00DF6153"/>
    <w:rsid w:val="00DF62D5"/>
    <w:rsid w:val="00DF68BF"/>
    <w:rsid w:val="00DF6B7E"/>
    <w:rsid w:val="00DF6F46"/>
    <w:rsid w:val="00DF7002"/>
    <w:rsid w:val="00DF70F2"/>
    <w:rsid w:val="00DF7162"/>
    <w:rsid w:val="00DF74F7"/>
    <w:rsid w:val="00DF75A2"/>
    <w:rsid w:val="00DF76A1"/>
    <w:rsid w:val="00DF7942"/>
    <w:rsid w:val="00DF7A32"/>
    <w:rsid w:val="00DF7B58"/>
    <w:rsid w:val="00DF7D10"/>
    <w:rsid w:val="00DF7D31"/>
    <w:rsid w:val="00E0024E"/>
    <w:rsid w:val="00E0053D"/>
    <w:rsid w:val="00E005B4"/>
    <w:rsid w:val="00E006B7"/>
    <w:rsid w:val="00E0084A"/>
    <w:rsid w:val="00E00C7C"/>
    <w:rsid w:val="00E00D3D"/>
    <w:rsid w:val="00E00E9B"/>
    <w:rsid w:val="00E00EBF"/>
    <w:rsid w:val="00E015D0"/>
    <w:rsid w:val="00E01663"/>
    <w:rsid w:val="00E017D0"/>
    <w:rsid w:val="00E01A43"/>
    <w:rsid w:val="00E01D75"/>
    <w:rsid w:val="00E01F61"/>
    <w:rsid w:val="00E020ED"/>
    <w:rsid w:val="00E021C8"/>
    <w:rsid w:val="00E02284"/>
    <w:rsid w:val="00E02337"/>
    <w:rsid w:val="00E023F5"/>
    <w:rsid w:val="00E025D0"/>
    <w:rsid w:val="00E02A79"/>
    <w:rsid w:val="00E02CA5"/>
    <w:rsid w:val="00E02FD1"/>
    <w:rsid w:val="00E031D9"/>
    <w:rsid w:val="00E0320B"/>
    <w:rsid w:val="00E03276"/>
    <w:rsid w:val="00E03297"/>
    <w:rsid w:val="00E0339C"/>
    <w:rsid w:val="00E038E1"/>
    <w:rsid w:val="00E03FA1"/>
    <w:rsid w:val="00E04779"/>
    <w:rsid w:val="00E04943"/>
    <w:rsid w:val="00E04F1E"/>
    <w:rsid w:val="00E05706"/>
    <w:rsid w:val="00E05870"/>
    <w:rsid w:val="00E058A2"/>
    <w:rsid w:val="00E058F3"/>
    <w:rsid w:val="00E05E10"/>
    <w:rsid w:val="00E060EA"/>
    <w:rsid w:val="00E0632C"/>
    <w:rsid w:val="00E06F8D"/>
    <w:rsid w:val="00E07084"/>
    <w:rsid w:val="00E0724D"/>
    <w:rsid w:val="00E07254"/>
    <w:rsid w:val="00E07273"/>
    <w:rsid w:val="00E073FE"/>
    <w:rsid w:val="00E0755B"/>
    <w:rsid w:val="00E0760E"/>
    <w:rsid w:val="00E076CD"/>
    <w:rsid w:val="00E07D68"/>
    <w:rsid w:val="00E07DE5"/>
    <w:rsid w:val="00E07E7C"/>
    <w:rsid w:val="00E07EF5"/>
    <w:rsid w:val="00E1016F"/>
    <w:rsid w:val="00E10197"/>
    <w:rsid w:val="00E10288"/>
    <w:rsid w:val="00E108C5"/>
    <w:rsid w:val="00E10A0C"/>
    <w:rsid w:val="00E10F12"/>
    <w:rsid w:val="00E11155"/>
    <w:rsid w:val="00E116D0"/>
    <w:rsid w:val="00E117E1"/>
    <w:rsid w:val="00E1182F"/>
    <w:rsid w:val="00E1187F"/>
    <w:rsid w:val="00E11886"/>
    <w:rsid w:val="00E11C8D"/>
    <w:rsid w:val="00E11CAB"/>
    <w:rsid w:val="00E123EA"/>
    <w:rsid w:val="00E1267D"/>
    <w:rsid w:val="00E12BC1"/>
    <w:rsid w:val="00E12C9C"/>
    <w:rsid w:val="00E12DD7"/>
    <w:rsid w:val="00E12F4D"/>
    <w:rsid w:val="00E13104"/>
    <w:rsid w:val="00E13444"/>
    <w:rsid w:val="00E13452"/>
    <w:rsid w:val="00E13920"/>
    <w:rsid w:val="00E139BC"/>
    <w:rsid w:val="00E13ECD"/>
    <w:rsid w:val="00E1460F"/>
    <w:rsid w:val="00E148BF"/>
    <w:rsid w:val="00E14D26"/>
    <w:rsid w:val="00E14EDD"/>
    <w:rsid w:val="00E14FAE"/>
    <w:rsid w:val="00E156D1"/>
    <w:rsid w:val="00E157B3"/>
    <w:rsid w:val="00E15943"/>
    <w:rsid w:val="00E15A46"/>
    <w:rsid w:val="00E15B2C"/>
    <w:rsid w:val="00E15B53"/>
    <w:rsid w:val="00E15EEC"/>
    <w:rsid w:val="00E16092"/>
    <w:rsid w:val="00E16775"/>
    <w:rsid w:val="00E168BB"/>
    <w:rsid w:val="00E16B80"/>
    <w:rsid w:val="00E17794"/>
    <w:rsid w:val="00E179E2"/>
    <w:rsid w:val="00E17AAC"/>
    <w:rsid w:val="00E17D3B"/>
    <w:rsid w:val="00E20320"/>
    <w:rsid w:val="00E2049B"/>
    <w:rsid w:val="00E20920"/>
    <w:rsid w:val="00E20B5F"/>
    <w:rsid w:val="00E20D3F"/>
    <w:rsid w:val="00E20FFC"/>
    <w:rsid w:val="00E21292"/>
    <w:rsid w:val="00E213F3"/>
    <w:rsid w:val="00E21479"/>
    <w:rsid w:val="00E216CA"/>
    <w:rsid w:val="00E217E9"/>
    <w:rsid w:val="00E21B91"/>
    <w:rsid w:val="00E21C08"/>
    <w:rsid w:val="00E21C25"/>
    <w:rsid w:val="00E21E00"/>
    <w:rsid w:val="00E22350"/>
    <w:rsid w:val="00E22672"/>
    <w:rsid w:val="00E22723"/>
    <w:rsid w:val="00E22794"/>
    <w:rsid w:val="00E227BD"/>
    <w:rsid w:val="00E227CD"/>
    <w:rsid w:val="00E22842"/>
    <w:rsid w:val="00E22C67"/>
    <w:rsid w:val="00E22D29"/>
    <w:rsid w:val="00E22E96"/>
    <w:rsid w:val="00E22E9C"/>
    <w:rsid w:val="00E22F37"/>
    <w:rsid w:val="00E238A9"/>
    <w:rsid w:val="00E238EE"/>
    <w:rsid w:val="00E23AD0"/>
    <w:rsid w:val="00E23F3A"/>
    <w:rsid w:val="00E24BA6"/>
    <w:rsid w:val="00E24F4F"/>
    <w:rsid w:val="00E24F6A"/>
    <w:rsid w:val="00E24F82"/>
    <w:rsid w:val="00E25063"/>
    <w:rsid w:val="00E25135"/>
    <w:rsid w:val="00E253AB"/>
    <w:rsid w:val="00E2550B"/>
    <w:rsid w:val="00E2558A"/>
    <w:rsid w:val="00E2560C"/>
    <w:rsid w:val="00E2578D"/>
    <w:rsid w:val="00E25859"/>
    <w:rsid w:val="00E259A4"/>
    <w:rsid w:val="00E25C6E"/>
    <w:rsid w:val="00E25D14"/>
    <w:rsid w:val="00E2603D"/>
    <w:rsid w:val="00E2605E"/>
    <w:rsid w:val="00E261B0"/>
    <w:rsid w:val="00E26562"/>
    <w:rsid w:val="00E265A9"/>
    <w:rsid w:val="00E267F8"/>
    <w:rsid w:val="00E26960"/>
    <w:rsid w:val="00E269D6"/>
    <w:rsid w:val="00E26C53"/>
    <w:rsid w:val="00E27134"/>
    <w:rsid w:val="00E2717E"/>
    <w:rsid w:val="00E27567"/>
    <w:rsid w:val="00E27616"/>
    <w:rsid w:val="00E27743"/>
    <w:rsid w:val="00E27F22"/>
    <w:rsid w:val="00E27F3F"/>
    <w:rsid w:val="00E3002C"/>
    <w:rsid w:val="00E30105"/>
    <w:rsid w:val="00E30176"/>
    <w:rsid w:val="00E30618"/>
    <w:rsid w:val="00E30A62"/>
    <w:rsid w:val="00E3101B"/>
    <w:rsid w:val="00E310C4"/>
    <w:rsid w:val="00E31337"/>
    <w:rsid w:val="00E3140D"/>
    <w:rsid w:val="00E31436"/>
    <w:rsid w:val="00E315DA"/>
    <w:rsid w:val="00E31701"/>
    <w:rsid w:val="00E31C10"/>
    <w:rsid w:val="00E322BB"/>
    <w:rsid w:val="00E325AB"/>
    <w:rsid w:val="00E325D3"/>
    <w:rsid w:val="00E326C4"/>
    <w:rsid w:val="00E32CCE"/>
    <w:rsid w:val="00E330E0"/>
    <w:rsid w:val="00E3334F"/>
    <w:rsid w:val="00E33386"/>
    <w:rsid w:val="00E33A49"/>
    <w:rsid w:val="00E34496"/>
    <w:rsid w:val="00E345D2"/>
    <w:rsid w:val="00E3478E"/>
    <w:rsid w:val="00E347FF"/>
    <w:rsid w:val="00E34A11"/>
    <w:rsid w:val="00E34B36"/>
    <w:rsid w:val="00E34D5D"/>
    <w:rsid w:val="00E34E6C"/>
    <w:rsid w:val="00E34EF0"/>
    <w:rsid w:val="00E350AE"/>
    <w:rsid w:val="00E352BE"/>
    <w:rsid w:val="00E35AB4"/>
    <w:rsid w:val="00E35B41"/>
    <w:rsid w:val="00E36825"/>
    <w:rsid w:val="00E368E9"/>
    <w:rsid w:val="00E36AAE"/>
    <w:rsid w:val="00E36B96"/>
    <w:rsid w:val="00E36E65"/>
    <w:rsid w:val="00E36EE3"/>
    <w:rsid w:val="00E37029"/>
    <w:rsid w:val="00E37318"/>
    <w:rsid w:val="00E3747A"/>
    <w:rsid w:val="00E379C8"/>
    <w:rsid w:val="00E37F11"/>
    <w:rsid w:val="00E40128"/>
    <w:rsid w:val="00E40456"/>
    <w:rsid w:val="00E40518"/>
    <w:rsid w:val="00E40578"/>
    <w:rsid w:val="00E407B3"/>
    <w:rsid w:val="00E40DB6"/>
    <w:rsid w:val="00E410CB"/>
    <w:rsid w:val="00E41138"/>
    <w:rsid w:val="00E411A0"/>
    <w:rsid w:val="00E4148B"/>
    <w:rsid w:val="00E41662"/>
    <w:rsid w:val="00E4170F"/>
    <w:rsid w:val="00E41728"/>
    <w:rsid w:val="00E41792"/>
    <w:rsid w:val="00E41854"/>
    <w:rsid w:val="00E41990"/>
    <w:rsid w:val="00E419A7"/>
    <w:rsid w:val="00E41B58"/>
    <w:rsid w:val="00E41BE5"/>
    <w:rsid w:val="00E41C5E"/>
    <w:rsid w:val="00E41F41"/>
    <w:rsid w:val="00E420D8"/>
    <w:rsid w:val="00E42149"/>
    <w:rsid w:val="00E42468"/>
    <w:rsid w:val="00E4258D"/>
    <w:rsid w:val="00E426D5"/>
    <w:rsid w:val="00E426EC"/>
    <w:rsid w:val="00E42729"/>
    <w:rsid w:val="00E42A99"/>
    <w:rsid w:val="00E42DDE"/>
    <w:rsid w:val="00E42E3C"/>
    <w:rsid w:val="00E42E98"/>
    <w:rsid w:val="00E42EA5"/>
    <w:rsid w:val="00E42FCB"/>
    <w:rsid w:val="00E4325D"/>
    <w:rsid w:val="00E43552"/>
    <w:rsid w:val="00E43ABB"/>
    <w:rsid w:val="00E43B05"/>
    <w:rsid w:val="00E43B24"/>
    <w:rsid w:val="00E43C00"/>
    <w:rsid w:val="00E43CD7"/>
    <w:rsid w:val="00E43D02"/>
    <w:rsid w:val="00E43EB2"/>
    <w:rsid w:val="00E4423B"/>
    <w:rsid w:val="00E442AB"/>
    <w:rsid w:val="00E444E4"/>
    <w:rsid w:val="00E44885"/>
    <w:rsid w:val="00E44B50"/>
    <w:rsid w:val="00E44BA3"/>
    <w:rsid w:val="00E4574E"/>
    <w:rsid w:val="00E45ACD"/>
    <w:rsid w:val="00E45C30"/>
    <w:rsid w:val="00E45D5D"/>
    <w:rsid w:val="00E4622D"/>
    <w:rsid w:val="00E4669E"/>
    <w:rsid w:val="00E46824"/>
    <w:rsid w:val="00E468D3"/>
    <w:rsid w:val="00E46A4D"/>
    <w:rsid w:val="00E46C0E"/>
    <w:rsid w:val="00E46E30"/>
    <w:rsid w:val="00E46F1C"/>
    <w:rsid w:val="00E46F92"/>
    <w:rsid w:val="00E4703C"/>
    <w:rsid w:val="00E474CE"/>
    <w:rsid w:val="00E47FC7"/>
    <w:rsid w:val="00E500E4"/>
    <w:rsid w:val="00E500F5"/>
    <w:rsid w:val="00E502EA"/>
    <w:rsid w:val="00E5065E"/>
    <w:rsid w:val="00E5084D"/>
    <w:rsid w:val="00E508B8"/>
    <w:rsid w:val="00E50D6A"/>
    <w:rsid w:val="00E50E78"/>
    <w:rsid w:val="00E5104A"/>
    <w:rsid w:val="00E51436"/>
    <w:rsid w:val="00E515F1"/>
    <w:rsid w:val="00E5178C"/>
    <w:rsid w:val="00E51A38"/>
    <w:rsid w:val="00E51B3F"/>
    <w:rsid w:val="00E51ED9"/>
    <w:rsid w:val="00E51EE8"/>
    <w:rsid w:val="00E523D1"/>
    <w:rsid w:val="00E5247C"/>
    <w:rsid w:val="00E526A7"/>
    <w:rsid w:val="00E5280B"/>
    <w:rsid w:val="00E52892"/>
    <w:rsid w:val="00E5298A"/>
    <w:rsid w:val="00E529F2"/>
    <w:rsid w:val="00E52ED6"/>
    <w:rsid w:val="00E52F1E"/>
    <w:rsid w:val="00E53366"/>
    <w:rsid w:val="00E534BD"/>
    <w:rsid w:val="00E538BD"/>
    <w:rsid w:val="00E5397F"/>
    <w:rsid w:val="00E5398C"/>
    <w:rsid w:val="00E53992"/>
    <w:rsid w:val="00E53A42"/>
    <w:rsid w:val="00E53C01"/>
    <w:rsid w:val="00E53C1D"/>
    <w:rsid w:val="00E53C21"/>
    <w:rsid w:val="00E54235"/>
    <w:rsid w:val="00E544CD"/>
    <w:rsid w:val="00E544F5"/>
    <w:rsid w:val="00E54589"/>
    <w:rsid w:val="00E54653"/>
    <w:rsid w:val="00E546F8"/>
    <w:rsid w:val="00E549BE"/>
    <w:rsid w:val="00E54CA5"/>
    <w:rsid w:val="00E54CDA"/>
    <w:rsid w:val="00E54D43"/>
    <w:rsid w:val="00E5561E"/>
    <w:rsid w:val="00E55778"/>
    <w:rsid w:val="00E559B4"/>
    <w:rsid w:val="00E55CC5"/>
    <w:rsid w:val="00E55D34"/>
    <w:rsid w:val="00E55E18"/>
    <w:rsid w:val="00E55E9B"/>
    <w:rsid w:val="00E55FD9"/>
    <w:rsid w:val="00E56091"/>
    <w:rsid w:val="00E560A5"/>
    <w:rsid w:val="00E561FE"/>
    <w:rsid w:val="00E5631B"/>
    <w:rsid w:val="00E5651E"/>
    <w:rsid w:val="00E5656F"/>
    <w:rsid w:val="00E56730"/>
    <w:rsid w:val="00E56888"/>
    <w:rsid w:val="00E568FA"/>
    <w:rsid w:val="00E56919"/>
    <w:rsid w:val="00E569EB"/>
    <w:rsid w:val="00E56A4D"/>
    <w:rsid w:val="00E56D7D"/>
    <w:rsid w:val="00E56FFF"/>
    <w:rsid w:val="00E5717E"/>
    <w:rsid w:val="00E571BB"/>
    <w:rsid w:val="00E57208"/>
    <w:rsid w:val="00E5728F"/>
    <w:rsid w:val="00E57A46"/>
    <w:rsid w:val="00E57B9F"/>
    <w:rsid w:val="00E57FD7"/>
    <w:rsid w:val="00E60008"/>
    <w:rsid w:val="00E60251"/>
    <w:rsid w:val="00E60592"/>
    <w:rsid w:val="00E605B8"/>
    <w:rsid w:val="00E6073B"/>
    <w:rsid w:val="00E609F9"/>
    <w:rsid w:val="00E60A37"/>
    <w:rsid w:val="00E60BED"/>
    <w:rsid w:val="00E60D0A"/>
    <w:rsid w:val="00E60E97"/>
    <w:rsid w:val="00E60F7C"/>
    <w:rsid w:val="00E61464"/>
    <w:rsid w:val="00E614B9"/>
    <w:rsid w:val="00E6173E"/>
    <w:rsid w:val="00E617A1"/>
    <w:rsid w:val="00E617BE"/>
    <w:rsid w:val="00E61E3C"/>
    <w:rsid w:val="00E62140"/>
    <w:rsid w:val="00E6231D"/>
    <w:rsid w:val="00E626B3"/>
    <w:rsid w:val="00E6276E"/>
    <w:rsid w:val="00E627CD"/>
    <w:rsid w:val="00E62803"/>
    <w:rsid w:val="00E628C1"/>
    <w:rsid w:val="00E6291B"/>
    <w:rsid w:val="00E62C72"/>
    <w:rsid w:val="00E62CD4"/>
    <w:rsid w:val="00E62DA9"/>
    <w:rsid w:val="00E62E13"/>
    <w:rsid w:val="00E6311F"/>
    <w:rsid w:val="00E632F0"/>
    <w:rsid w:val="00E635D2"/>
    <w:rsid w:val="00E636B5"/>
    <w:rsid w:val="00E63921"/>
    <w:rsid w:val="00E63983"/>
    <w:rsid w:val="00E63A57"/>
    <w:rsid w:val="00E63D3A"/>
    <w:rsid w:val="00E642A9"/>
    <w:rsid w:val="00E64366"/>
    <w:rsid w:val="00E64477"/>
    <w:rsid w:val="00E645D0"/>
    <w:rsid w:val="00E64640"/>
    <w:rsid w:val="00E646C6"/>
    <w:rsid w:val="00E64856"/>
    <w:rsid w:val="00E64A1B"/>
    <w:rsid w:val="00E64DDF"/>
    <w:rsid w:val="00E64E16"/>
    <w:rsid w:val="00E65477"/>
    <w:rsid w:val="00E65918"/>
    <w:rsid w:val="00E65A29"/>
    <w:rsid w:val="00E65C05"/>
    <w:rsid w:val="00E65CC8"/>
    <w:rsid w:val="00E65D99"/>
    <w:rsid w:val="00E662DC"/>
    <w:rsid w:val="00E66312"/>
    <w:rsid w:val="00E66440"/>
    <w:rsid w:val="00E6660E"/>
    <w:rsid w:val="00E66717"/>
    <w:rsid w:val="00E66840"/>
    <w:rsid w:val="00E66943"/>
    <w:rsid w:val="00E66C18"/>
    <w:rsid w:val="00E66D05"/>
    <w:rsid w:val="00E66E2A"/>
    <w:rsid w:val="00E66EA6"/>
    <w:rsid w:val="00E670BF"/>
    <w:rsid w:val="00E671B5"/>
    <w:rsid w:val="00E67372"/>
    <w:rsid w:val="00E67639"/>
    <w:rsid w:val="00E67867"/>
    <w:rsid w:val="00E678A8"/>
    <w:rsid w:val="00E67A97"/>
    <w:rsid w:val="00E67C59"/>
    <w:rsid w:val="00E701DE"/>
    <w:rsid w:val="00E7031C"/>
    <w:rsid w:val="00E70468"/>
    <w:rsid w:val="00E708EC"/>
    <w:rsid w:val="00E70CA3"/>
    <w:rsid w:val="00E70CFD"/>
    <w:rsid w:val="00E71064"/>
    <w:rsid w:val="00E710D4"/>
    <w:rsid w:val="00E714C7"/>
    <w:rsid w:val="00E7186D"/>
    <w:rsid w:val="00E718AF"/>
    <w:rsid w:val="00E7190D"/>
    <w:rsid w:val="00E71D4E"/>
    <w:rsid w:val="00E71E79"/>
    <w:rsid w:val="00E71F44"/>
    <w:rsid w:val="00E721DE"/>
    <w:rsid w:val="00E7241D"/>
    <w:rsid w:val="00E724B0"/>
    <w:rsid w:val="00E72505"/>
    <w:rsid w:val="00E72852"/>
    <w:rsid w:val="00E728AF"/>
    <w:rsid w:val="00E728BB"/>
    <w:rsid w:val="00E729B6"/>
    <w:rsid w:val="00E72E90"/>
    <w:rsid w:val="00E72E9F"/>
    <w:rsid w:val="00E731A9"/>
    <w:rsid w:val="00E73233"/>
    <w:rsid w:val="00E7323D"/>
    <w:rsid w:val="00E732BB"/>
    <w:rsid w:val="00E732C1"/>
    <w:rsid w:val="00E73375"/>
    <w:rsid w:val="00E73473"/>
    <w:rsid w:val="00E73936"/>
    <w:rsid w:val="00E73A0D"/>
    <w:rsid w:val="00E74109"/>
    <w:rsid w:val="00E74192"/>
    <w:rsid w:val="00E74294"/>
    <w:rsid w:val="00E742FD"/>
    <w:rsid w:val="00E74322"/>
    <w:rsid w:val="00E744CF"/>
    <w:rsid w:val="00E744F2"/>
    <w:rsid w:val="00E74515"/>
    <w:rsid w:val="00E7454D"/>
    <w:rsid w:val="00E747BE"/>
    <w:rsid w:val="00E74F50"/>
    <w:rsid w:val="00E7511C"/>
    <w:rsid w:val="00E75164"/>
    <w:rsid w:val="00E752D2"/>
    <w:rsid w:val="00E753F5"/>
    <w:rsid w:val="00E75495"/>
    <w:rsid w:val="00E757E1"/>
    <w:rsid w:val="00E7583D"/>
    <w:rsid w:val="00E75C0B"/>
    <w:rsid w:val="00E75C11"/>
    <w:rsid w:val="00E75CC9"/>
    <w:rsid w:val="00E75FA1"/>
    <w:rsid w:val="00E761F3"/>
    <w:rsid w:val="00E7629F"/>
    <w:rsid w:val="00E765D3"/>
    <w:rsid w:val="00E7696C"/>
    <w:rsid w:val="00E76992"/>
    <w:rsid w:val="00E76F5D"/>
    <w:rsid w:val="00E76FB1"/>
    <w:rsid w:val="00E77273"/>
    <w:rsid w:val="00E77317"/>
    <w:rsid w:val="00E77B46"/>
    <w:rsid w:val="00E77BC3"/>
    <w:rsid w:val="00E77BC8"/>
    <w:rsid w:val="00E77EED"/>
    <w:rsid w:val="00E807A4"/>
    <w:rsid w:val="00E80997"/>
    <w:rsid w:val="00E80A36"/>
    <w:rsid w:val="00E80D74"/>
    <w:rsid w:val="00E80DA7"/>
    <w:rsid w:val="00E80F75"/>
    <w:rsid w:val="00E8121B"/>
    <w:rsid w:val="00E8154B"/>
    <w:rsid w:val="00E81626"/>
    <w:rsid w:val="00E8181E"/>
    <w:rsid w:val="00E81A1C"/>
    <w:rsid w:val="00E81C2C"/>
    <w:rsid w:val="00E8204A"/>
    <w:rsid w:val="00E820BE"/>
    <w:rsid w:val="00E8211B"/>
    <w:rsid w:val="00E823B4"/>
    <w:rsid w:val="00E823BE"/>
    <w:rsid w:val="00E82515"/>
    <w:rsid w:val="00E825BA"/>
    <w:rsid w:val="00E825F1"/>
    <w:rsid w:val="00E8296E"/>
    <w:rsid w:val="00E82A5E"/>
    <w:rsid w:val="00E82AC6"/>
    <w:rsid w:val="00E82C4D"/>
    <w:rsid w:val="00E82C80"/>
    <w:rsid w:val="00E82D54"/>
    <w:rsid w:val="00E82F17"/>
    <w:rsid w:val="00E82F2C"/>
    <w:rsid w:val="00E833FF"/>
    <w:rsid w:val="00E834DC"/>
    <w:rsid w:val="00E8360E"/>
    <w:rsid w:val="00E83690"/>
    <w:rsid w:val="00E83CC2"/>
    <w:rsid w:val="00E84275"/>
    <w:rsid w:val="00E84458"/>
    <w:rsid w:val="00E84700"/>
    <w:rsid w:val="00E849DD"/>
    <w:rsid w:val="00E84A10"/>
    <w:rsid w:val="00E84A39"/>
    <w:rsid w:val="00E85016"/>
    <w:rsid w:val="00E85283"/>
    <w:rsid w:val="00E856A9"/>
    <w:rsid w:val="00E85849"/>
    <w:rsid w:val="00E85A29"/>
    <w:rsid w:val="00E85AC0"/>
    <w:rsid w:val="00E85CBE"/>
    <w:rsid w:val="00E85FDA"/>
    <w:rsid w:val="00E860BD"/>
    <w:rsid w:val="00E86197"/>
    <w:rsid w:val="00E869AB"/>
    <w:rsid w:val="00E869E5"/>
    <w:rsid w:val="00E86F31"/>
    <w:rsid w:val="00E86FA8"/>
    <w:rsid w:val="00E87945"/>
    <w:rsid w:val="00E87B21"/>
    <w:rsid w:val="00E87B98"/>
    <w:rsid w:val="00E87CC2"/>
    <w:rsid w:val="00E87D3F"/>
    <w:rsid w:val="00E87F24"/>
    <w:rsid w:val="00E90AFF"/>
    <w:rsid w:val="00E90B8B"/>
    <w:rsid w:val="00E90D6C"/>
    <w:rsid w:val="00E91119"/>
    <w:rsid w:val="00E913B3"/>
    <w:rsid w:val="00E9150C"/>
    <w:rsid w:val="00E91794"/>
    <w:rsid w:val="00E918E9"/>
    <w:rsid w:val="00E9191B"/>
    <w:rsid w:val="00E91D44"/>
    <w:rsid w:val="00E91F30"/>
    <w:rsid w:val="00E9207B"/>
    <w:rsid w:val="00E921AA"/>
    <w:rsid w:val="00E921D1"/>
    <w:rsid w:val="00E92547"/>
    <w:rsid w:val="00E92E64"/>
    <w:rsid w:val="00E92F38"/>
    <w:rsid w:val="00E92FA9"/>
    <w:rsid w:val="00E930E1"/>
    <w:rsid w:val="00E93122"/>
    <w:rsid w:val="00E931C5"/>
    <w:rsid w:val="00E9320F"/>
    <w:rsid w:val="00E932DC"/>
    <w:rsid w:val="00E93416"/>
    <w:rsid w:val="00E9344B"/>
    <w:rsid w:val="00E934D8"/>
    <w:rsid w:val="00E9377B"/>
    <w:rsid w:val="00E93B7D"/>
    <w:rsid w:val="00E93D7B"/>
    <w:rsid w:val="00E93DB6"/>
    <w:rsid w:val="00E93F32"/>
    <w:rsid w:val="00E9401D"/>
    <w:rsid w:val="00E942E3"/>
    <w:rsid w:val="00E9456C"/>
    <w:rsid w:val="00E94820"/>
    <w:rsid w:val="00E948A5"/>
    <w:rsid w:val="00E94B6A"/>
    <w:rsid w:val="00E94B8D"/>
    <w:rsid w:val="00E94BF4"/>
    <w:rsid w:val="00E94CC2"/>
    <w:rsid w:val="00E94E51"/>
    <w:rsid w:val="00E94FA5"/>
    <w:rsid w:val="00E94FC4"/>
    <w:rsid w:val="00E950FE"/>
    <w:rsid w:val="00E95169"/>
    <w:rsid w:val="00E95565"/>
    <w:rsid w:val="00E9556B"/>
    <w:rsid w:val="00E955B1"/>
    <w:rsid w:val="00E95A3E"/>
    <w:rsid w:val="00E95B27"/>
    <w:rsid w:val="00E95B2D"/>
    <w:rsid w:val="00E95E52"/>
    <w:rsid w:val="00E95E74"/>
    <w:rsid w:val="00E96013"/>
    <w:rsid w:val="00E961CD"/>
    <w:rsid w:val="00E96310"/>
    <w:rsid w:val="00E965E5"/>
    <w:rsid w:val="00E96A47"/>
    <w:rsid w:val="00E96BFE"/>
    <w:rsid w:val="00E96CC0"/>
    <w:rsid w:val="00E96EA8"/>
    <w:rsid w:val="00E96ECC"/>
    <w:rsid w:val="00E970C1"/>
    <w:rsid w:val="00E97268"/>
    <w:rsid w:val="00E97479"/>
    <w:rsid w:val="00E978F2"/>
    <w:rsid w:val="00E97A11"/>
    <w:rsid w:val="00E97CEB"/>
    <w:rsid w:val="00E97E55"/>
    <w:rsid w:val="00EA01E7"/>
    <w:rsid w:val="00EA02B6"/>
    <w:rsid w:val="00EA07E4"/>
    <w:rsid w:val="00EA0801"/>
    <w:rsid w:val="00EA0C11"/>
    <w:rsid w:val="00EA0D36"/>
    <w:rsid w:val="00EA0EE0"/>
    <w:rsid w:val="00EA0F46"/>
    <w:rsid w:val="00EA16C0"/>
    <w:rsid w:val="00EA187F"/>
    <w:rsid w:val="00EA18D7"/>
    <w:rsid w:val="00EA1A8D"/>
    <w:rsid w:val="00EA1C9C"/>
    <w:rsid w:val="00EA1E2C"/>
    <w:rsid w:val="00EA2124"/>
    <w:rsid w:val="00EA21A7"/>
    <w:rsid w:val="00EA24DA"/>
    <w:rsid w:val="00EA26A3"/>
    <w:rsid w:val="00EA26A9"/>
    <w:rsid w:val="00EA2714"/>
    <w:rsid w:val="00EA29D7"/>
    <w:rsid w:val="00EA2AFC"/>
    <w:rsid w:val="00EA2C85"/>
    <w:rsid w:val="00EA2C89"/>
    <w:rsid w:val="00EA2F53"/>
    <w:rsid w:val="00EA3077"/>
    <w:rsid w:val="00EA335E"/>
    <w:rsid w:val="00EA3674"/>
    <w:rsid w:val="00EA37CE"/>
    <w:rsid w:val="00EA3C0B"/>
    <w:rsid w:val="00EA3CB1"/>
    <w:rsid w:val="00EA4087"/>
    <w:rsid w:val="00EA4518"/>
    <w:rsid w:val="00EA468F"/>
    <w:rsid w:val="00EA472D"/>
    <w:rsid w:val="00EA4998"/>
    <w:rsid w:val="00EA49F9"/>
    <w:rsid w:val="00EA4A98"/>
    <w:rsid w:val="00EA4B0D"/>
    <w:rsid w:val="00EA4BEE"/>
    <w:rsid w:val="00EA4D0A"/>
    <w:rsid w:val="00EA4DEC"/>
    <w:rsid w:val="00EA5110"/>
    <w:rsid w:val="00EA52B1"/>
    <w:rsid w:val="00EA54F3"/>
    <w:rsid w:val="00EA5623"/>
    <w:rsid w:val="00EA57A2"/>
    <w:rsid w:val="00EA5831"/>
    <w:rsid w:val="00EA591D"/>
    <w:rsid w:val="00EA5B56"/>
    <w:rsid w:val="00EA5B82"/>
    <w:rsid w:val="00EA5D5D"/>
    <w:rsid w:val="00EA5D75"/>
    <w:rsid w:val="00EA6120"/>
    <w:rsid w:val="00EA6172"/>
    <w:rsid w:val="00EA62B4"/>
    <w:rsid w:val="00EA660C"/>
    <w:rsid w:val="00EA66FC"/>
    <w:rsid w:val="00EA6794"/>
    <w:rsid w:val="00EA6B02"/>
    <w:rsid w:val="00EA6C2C"/>
    <w:rsid w:val="00EA6C8D"/>
    <w:rsid w:val="00EA6F8B"/>
    <w:rsid w:val="00EA6FEF"/>
    <w:rsid w:val="00EA70F0"/>
    <w:rsid w:val="00EA7BB9"/>
    <w:rsid w:val="00EA7C2B"/>
    <w:rsid w:val="00EA7CB5"/>
    <w:rsid w:val="00EA7F58"/>
    <w:rsid w:val="00EB0077"/>
    <w:rsid w:val="00EB01E6"/>
    <w:rsid w:val="00EB0528"/>
    <w:rsid w:val="00EB05F5"/>
    <w:rsid w:val="00EB0A9F"/>
    <w:rsid w:val="00EB0DB5"/>
    <w:rsid w:val="00EB0FC4"/>
    <w:rsid w:val="00EB1206"/>
    <w:rsid w:val="00EB14A8"/>
    <w:rsid w:val="00EB1507"/>
    <w:rsid w:val="00EB1870"/>
    <w:rsid w:val="00EB18D5"/>
    <w:rsid w:val="00EB1911"/>
    <w:rsid w:val="00EB1BF4"/>
    <w:rsid w:val="00EB23F8"/>
    <w:rsid w:val="00EB2779"/>
    <w:rsid w:val="00EB29BD"/>
    <w:rsid w:val="00EB2A25"/>
    <w:rsid w:val="00EB3087"/>
    <w:rsid w:val="00EB332B"/>
    <w:rsid w:val="00EB34CD"/>
    <w:rsid w:val="00EB34DB"/>
    <w:rsid w:val="00EB35B9"/>
    <w:rsid w:val="00EB35D0"/>
    <w:rsid w:val="00EB35DE"/>
    <w:rsid w:val="00EB3B47"/>
    <w:rsid w:val="00EB3F67"/>
    <w:rsid w:val="00EB4126"/>
    <w:rsid w:val="00EB4371"/>
    <w:rsid w:val="00EB4393"/>
    <w:rsid w:val="00EB4809"/>
    <w:rsid w:val="00EB481F"/>
    <w:rsid w:val="00EB4B55"/>
    <w:rsid w:val="00EB4DE5"/>
    <w:rsid w:val="00EB4EB8"/>
    <w:rsid w:val="00EB4F69"/>
    <w:rsid w:val="00EB59B3"/>
    <w:rsid w:val="00EB5B9B"/>
    <w:rsid w:val="00EB5CE4"/>
    <w:rsid w:val="00EB5D03"/>
    <w:rsid w:val="00EB5F9E"/>
    <w:rsid w:val="00EB616E"/>
    <w:rsid w:val="00EB66DD"/>
    <w:rsid w:val="00EB6A20"/>
    <w:rsid w:val="00EB6B05"/>
    <w:rsid w:val="00EB6D79"/>
    <w:rsid w:val="00EB7209"/>
    <w:rsid w:val="00EB745D"/>
    <w:rsid w:val="00EB75CC"/>
    <w:rsid w:val="00EB76C2"/>
    <w:rsid w:val="00EB786D"/>
    <w:rsid w:val="00EB78FB"/>
    <w:rsid w:val="00EB7CE5"/>
    <w:rsid w:val="00EB7DBC"/>
    <w:rsid w:val="00EB7F6D"/>
    <w:rsid w:val="00EC009D"/>
    <w:rsid w:val="00EC01A4"/>
    <w:rsid w:val="00EC01C8"/>
    <w:rsid w:val="00EC051C"/>
    <w:rsid w:val="00EC05C3"/>
    <w:rsid w:val="00EC0605"/>
    <w:rsid w:val="00EC0622"/>
    <w:rsid w:val="00EC0CBA"/>
    <w:rsid w:val="00EC0DDC"/>
    <w:rsid w:val="00EC0F0D"/>
    <w:rsid w:val="00EC16B0"/>
    <w:rsid w:val="00EC1E1C"/>
    <w:rsid w:val="00EC205A"/>
    <w:rsid w:val="00EC2286"/>
    <w:rsid w:val="00EC22A9"/>
    <w:rsid w:val="00EC260B"/>
    <w:rsid w:val="00EC2963"/>
    <w:rsid w:val="00EC2B9F"/>
    <w:rsid w:val="00EC2D55"/>
    <w:rsid w:val="00EC2F93"/>
    <w:rsid w:val="00EC3178"/>
    <w:rsid w:val="00EC327D"/>
    <w:rsid w:val="00EC3290"/>
    <w:rsid w:val="00EC33BD"/>
    <w:rsid w:val="00EC38E1"/>
    <w:rsid w:val="00EC38E4"/>
    <w:rsid w:val="00EC3A2D"/>
    <w:rsid w:val="00EC3BC1"/>
    <w:rsid w:val="00EC4153"/>
    <w:rsid w:val="00EC4BB1"/>
    <w:rsid w:val="00EC4FD5"/>
    <w:rsid w:val="00EC5598"/>
    <w:rsid w:val="00EC561F"/>
    <w:rsid w:val="00EC5668"/>
    <w:rsid w:val="00EC5746"/>
    <w:rsid w:val="00EC57CD"/>
    <w:rsid w:val="00EC5C8C"/>
    <w:rsid w:val="00EC6191"/>
    <w:rsid w:val="00EC63AB"/>
    <w:rsid w:val="00EC648D"/>
    <w:rsid w:val="00EC64BE"/>
    <w:rsid w:val="00EC6CD6"/>
    <w:rsid w:val="00EC6D5D"/>
    <w:rsid w:val="00EC6E03"/>
    <w:rsid w:val="00EC6E0A"/>
    <w:rsid w:val="00EC710A"/>
    <w:rsid w:val="00EC71F7"/>
    <w:rsid w:val="00EC73FC"/>
    <w:rsid w:val="00EC7588"/>
    <w:rsid w:val="00EC7675"/>
    <w:rsid w:val="00EC78DF"/>
    <w:rsid w:val="00EC7CEC"/>
    <w:rsid w:val="00EC7D8C"/>
    <w:rsid w:val="00ED0022"/>
    <w:rsid w:val="00ED0188"/>
    <w:rsid w:val="00ED054D"/>
    <w:rsid w:val="00ED067E"/>
    <w:rsid w:val="00ED0A08"/>
    <w:rsid w:val="00ED0B6A"/>
    <w:rsid w:val="00ED0C23"/>
    <w:rsid w:val="00ED0F8C"/>
    <w:rsid w:val="00ED1159"/>
    <w:rsid w:val="00ED127B"/>
    <w:rsid w:val="00ED1332"/>
    <w:rsid w:val="00ED136B"/>
    <w:rsid w:val="00ED1848"/>
    <w:rsid w:val="00ED1965"/>
    <w:rsid w:val="00ED1C28"/>
    <w:rsid w:val="00ED2142"/>
    <w:rsid w:val="00ED21AF"/>
    <w:rsid w:val="00ED22D4"/>
    <w:rsid w:val="00ED2474"/>
    <w:rsid w:val="00ED2569"/>
    <w:rsid w:val="00ED270C"/>
    <w:rsid w:val="00ED2788"/>
    <w:rsid w:val="00ED2BC7"/>
    <w:rsid w:val="00ED2C70"/>
    <w:rsid w:val="00ED3182"/>
    <w:rsid w:val="00ED368C"/>
    <w:rsid w:val="00ED3747"/>
    <w:rsid w:val="00ED3861"/>
    <w:rsid w:val="00ED3944"/>
    <w:rsid w:val="00ED3B14"/>
    <w:rsid w:val="00ED3E3A"/>
    <w:rsid w:val="00ED4B79"/>
    <w:rsid w:val="00ED4BFD"/>
    <w:rsid w:val="00ED4F89"/>
    <w:rsid w:val="00ED54CF"/>
    <w:rsid w:val="00ED5502"/>
    <w:rsid w:val="00ED5AC3"/>
    <w:rsid w:val="00ED5C70"/>
    <w:rsid w:val="00ED5E97"/>
    <w:rsid w:val="00ED6407"/>
    <w:rsid w:val="00ED687B"/>
    <w:rsid w:val="00ED6B44"/>
    <w:rsid w:val="00ED6B9A"/>
    <w:rsid w:val="00ED6C1C"/>
    <w:rsid w:val="00ED6C79"/>
    <w:rsid w:val="00ED711C"/>
    <w:rsid w:val="00ED7290"/>
    <w:rsid w:val="00ED7692"/>
    <w:rsid w:val="00ED7709"/>
    <w:rsid w:val="00ED79F1"/>
    <w:rsid w:val="00ED7AA3"/>
    <w:rsid w:val="00ED7E3B"/>
    <w:rsid w:val="00EE008A"/>
    <w:rsid w:val="00EE08AA"/>
    <w:rsid w:val="00EE0A95"/>
    <w:rsid w:val="00EE0EC8"/>
    <w:rsid w:val="00EE1064"/>
    <w:rsid w:val="00EE1136"/>
    <w:rsid w:val="00EE1283"/>
    <w:rsid w:val="00EE16D5"/>
    <w:rsid w:val="00EE1778"/>
    <w:rsid w:val="00EE1B5C"/>
    <w:rsid w:val="00EE1E66"/>
    <w:rsid w:val="00EE2004"/>
    <w:rsid w:val="00EE26C7"/>
    <w:rsid w:val="00EE2786"/>
    <w:rsid w:val="00EE288E"/>
    <w:rsid w:val="00EE292A"/>
    <w:rsid w:val="00EE2957"/>
    <w:rsid w:val="00EE2D51"/>
    <w:rsid w:val="00EE3498"/>
    <w:rsid w:val="00EE3784"/>
    <w:rsid w:val="00EE37B3"/>
    <w:rsid w:val="00EE3C05"/>
    <w:rsid w:val="00EE3E61"/>
    <w:rsid w:val="00EE3EE6"/>
    <w:rsid w:val="00EE40A7"/>
    <w:rsid w:val="00EE424C"/>
    <w:rsid w:val="00EE43BB"/>
    <w:rsid w:val="00EE4401"/>
    <w:rsid w:val="00EE4524"/>
    <w:rsid w:val="00EE4776"/>
    <w:rsid w:val="00EE4CB4"/>
    <w:rsid w:val="00EE4CEC"/>
    <w:rsid w:val="00EE4F91"/>
    <w:rsid w:val="00EE5021"/>
    <w:rsid w:val="00EE50AB"/>
    <w:rsid w:val="00EE5206"/>
    <w:rsid w:val="00EE56DF"/>
    <w:rsid w:val="00EE5782"/>
    <w:rsid w:val="00EE59AC"/>
    <w:rsid w:val="00EE59B2"/>
    <w:rsid w:val="00EE5F71"/>
    <w:rsid w:val="00EE6133"/>
    <w:rsid w:val="00EE6330"/>
    <w:rsid w:val="00EE64D5"/>
    <w:rsid w:val="00EE7009"/>
    <w:rsid w:val="00EE751C"/>
    <w:rsid w:val="00EF00D2"/>
    <w:rsid w:val="00EF0DFF"/>
    <w:rsid w:val="00EF129F"/>
    <w:rsid w:val="00EF13C6"/>
    <w:rsid w:val="00EF1749"/>
    <w:rsid w:val="00EF1916"/>
    <w:rsid w:val="00EF1A04"/>
    <w:rsid w:val="00EF1F89"/>
    <w:rsid w:val="00EF2462"/>
    <w:rsid w:val="00EF25B2"/>
    <w:rsid w:val="00EF27C4"/>
    <w:rsid w:val="00EF2964"/>
    <w:rsid w:val="00EF2E56"/>
    <w:rsid w:val="00EF31B2"/>
    <w:rsid w:val="00EF3608"/>
    <w:rsid w:val="00EF3847"/>
    <w:rsid w:val="00EF387F"/>
    <w:rsid w:val="00EF3E0C"/>
    <w:rsid w:val="00EF43EF"/>
    <w:rsid w:val="00EF4743"/>
    <w:rsid w:val="00EF47A8"/>
    <w:rsid w:val="00EF49C5"/>
    <w:rsid w:val="00EF4A99"/>
    <w:rsid w:val="00EF4AC9"/>
    <w:rsid w:val="00EF4BC3"/>
    <w:rsid w:val="00EF4FD3"/>
    <w:rsid w:val="00EF50C3"/>
    <w:rsid w:val="00EF5247"/>
    <w:rsid w:val="00EF561D"/>
    <w:rsid w:val="00EF56A8"/>
    <w:rsid w:val="00EF5865"/>
    <w:rsid w:val="00EF5B9B"/>
    <w:rsid w:val="00EF5BE9"/>
    <w:rsid w:val="00EF5DE1"/>
    <w:rsid w:val="00EF5DEC"/>
    <w:rsid w:val="00EF607C"/>
    <w:rsid w:val="00EF60C3"/>
    <w:rsid w:val="00EF6206"/>
    <w:rsid w:val="00EF6562"/>
    <w:rsid w:val="00EF6816"/>
    <w:rsid w:val="00EF68BC"/>
    <w:rsid w:val="00EF6978"/>
    <w:rsid w:val="00EF6A85"/>
    <w:rsid w:val="00EF6EFD"/>
    <w:rsid w:val="00EF6F99"/>
    <w:rsid w:val="00EF6FAC"/>
    <w:rsid w:val="00EF769D"/>
    <w:rsid w:val="00EF778B"/>
    <w:rsid w:val="00EF7A95"/>
    <w:rsid w:val="00EF7BF5"/>
    <w:rsid w:val="00EF7C74"/>
    <w:rsid w:val="00EF7DAB"/>
    <w:rsid w:val="00EF7DF5"/>
    <w:rsid w:val="00F000CA"/>
    <w:rsid w:val="00F00176"/>
    <w:rsid w:val="00F00219"/>
    <w:rsid w:val="00F00853"/>
    <w:rsid w:val="00F00918"/>
    <w:rsid w:val="00F00AA9"/>
    <w:rsid w:val="00F00BB5"/>
    <w:rsid w:val="00F016E2"/>
    <w:rsid w:val="00F017A8"/>
    <w:rsid w:val="00F018E1"/>
    <w:rsid w:val="00F01D66"/>
    <w:rsid w:val="00F01F1F"/>
    <w:rsid w:val="00F02169"/>
    <w:rsid w:val="00F021FF"/>
    <w:rsid w:val="00F02372"/>
    <w:rsid w:val="00F02526"/>
    <w:rsid w:val="00F025D5"/>
    <w:rsid w:val="00F0283C"/>
    <w:rsid w:val="00F02853"/>
    <w:rsid w:val="00F02D13"/>
    <w:rsid w:val="00F031B9"/>
    <w:rsid w:val="00F03250"/>
    <w:rsid w:val="00F0355A"/>
    <w:rsid w:val="00F037B9"/>
    <w:rsid w:val="00F038E4"/>
    <w:rsid w:val="00F03BC7"/>
    <w:rsid w:val="00F046B2"/>
    <w:rsid w:val="00F04BED"/>
    <w:rsid w:val="00F04D47"/>
    <w:rsid w:val="00F0535A"/>
    <w:rsid w:val="00F05635"/>
    <w:rsid w:val="00F0575A"/>
    <w:rsid w:val="00F05831"/>
    <w:rsid w:val="00F05C8E"/>
    <w:rsid w:val="00F05EDE"/>
    <w:rsid w:val="00F05EF3"/>
    <w:rsid w:val="00F05EF9"/>
    <w:rsid w:val="00F0621A"/>
    <w:rsid w:val="00F0676C"/>
    <w:rsid w:val="00F06B0B"/>
    <w:rsid w:val="00F06FA8"/>
    <w:rsid w:val="00F0702F"/>
    <w:rsid w:val="00F070C3"/>
    <w:rsid w:val="00F073C6"/>
    <w:rsid w:val="00F075C0"/>
    <w:rsid w:val="00F075D7"/>
    <w:rsid w:val="00F07869"/>
    <w:rsid w:val="00F07B22"/>
    <w:rsid w:val="00F07D26"/>
    <w:rsid w:val="00F07D28"/>
    <w:rsid w:val="00F07D33"/>
    <w:rsid w:val="00F07D83"/>
    <w:rsid w:val="00F07DDC"/>
    <w:rsid w:val="00F07DF5"/>
    <w:rsid w:val="00F1027D"/>
    <w:rsid w:val="00F104F9"/>
    <w:rsid w:val="00F105CC"/>
    <w:rsid w:val="00F1085E"/>
    <w:rsid w:val="00F108CB"/>
    <w:rsid w:val="00F10A14"/>
    <w:rsid w:val="00F10A1D"/>
    <w:rsid w:val="00F10B6F"/>
    <w:rsid w:val="00F10CD3"/>
    <w:rsid w:val="00F113CD"/>
    <w:rsid w:val="00F1143D"/>
    <w:rsid w:val="00F11571"/>
    <w:rsid w:val="00F11584"/>
    <w:rsid w:val="00F1171D"/>
    <w:rsid w:val="00F11A22"/>
    <w:rsid w:val="00F11AF8"/>
    <w:rsid w:val="00F11B4F"/>
    <w:rsid w:val="00F11E1B"/>
    <w:rsid w:val="00F11F30"/>
    <w:rsid w:val="00F11F68"/>
    <w:rsid w:val="00F120A8"/>
    <w:rsid w:val="00F120CD"/>
    <w:rsid w:val="00F120DD"/>
    <w:rsid w:val="00F124BC"/>
    <w:rsid w:val="00F1292F"/>
    <w:rsid w:val="00F12A46"/>
    <w:rsid w:val="00F12C9C"/>
    <w:rsid w:val="00F12E1A"/>
    <w:rsid w:val="00F12F37"/>
    <w:rsid w:val="00F12FB0"/>
    <w:rsid w:val="00F13253"/>
    <w:rsid w:val="00F1348A"/>
    <w:rsid w:val="00F136F1"/>
    <w:rsid w:val="00F1386A"/>
    <w:rsid w:val="00F13EFF"/>
    <w:rsid w:val="00F14028"/>
    <w:rsid w:val="00F14C5B"/>
    <w:rsid w:val="00F14D75"/>
    <w:rsid w:val="00F14D81"/>
    <w:rsid w:val="00F14E8D"/>
    <w:rsid w:val="00F1535C"/>
    <w:rsid w:val="00F1562F"/>
    <w:rsid w:val="00F156A2"/>
    <w:rsid w:val="00F1571F"/>
    <w:rsid w:val="00F15F40"/>
    <w:rsid w:val="00F160BA"/>
    <w:rsid w:val="00F1657A"/>
    <w:rsid w:val="00F169AF"/>
    <w:rsid w:val="00F16A23"/>
    <w:rsid w:val="00F16A76"/>
    <w:rsid w:val="00F16F0F"/>
    <w:rsid w:val="00F16FCE"/>
    <w:rsid w:val="00F17363"/>
    <w:rsid w:val="00F17763"/>
    <w:rsid w:val="00F17DAF"/>
    <w:rsid w:val="00F17DDB"/>
    <w:rsid w:val="00F20097"/>
    <w:rsid w:val="00F201F6"/>
    <w:rsid w:val="00F205BF"/>
    <w:rsid w:val="00F2088F"/>
    <w:rsid w:val="00F20B52"/>
    <w:rsid w:val="00F20E6A"/>
    <w:rsid w:val="00F20EFA"/>
    <w:rsid w:val="00F20F64"/>
    <w:rsid w:val="00F21009"/>
    <w:rsid w:val="00F21128"/>
    <w:rsid w:val="00F212B8"/>
    <w:rsid w:val="00F21309"/>
    <w:rsid w:val="00F21454"/>
    <w:rsid w:val="00F2165C"/>
    <w:rsid w:val="00F2173B"/>
    <w:rsid w:val="00F219E2"/>
    <w:rsid w:val="00F21DA9"/>
    <w:rsid w:val="00F21EB9"/>
    <w:rsid w:val="00F21ED0"/>
    <w:rsid w:val="00F22052"/>
    <w:rsid w:val="00F22374"/>
    <w:rsid w:val="00F224D7"/>
    <w:rsid w:val="00F22616"/>
    <w:rsid w:val="00F22759"/>
    <w:rsid w:val="00F22C37"/>
    <w:rsid w:val="00F22D46"/>
    <w:rsid w:val="00F23229"/>
    <w:rsid w:val="00F23375"/>
    <w:rsid w:val="00F2340A"/>
    <w:rsid w:val="00F2361E"/>
    <w:rsid w:val="00F23727"/>
    <w:rsid w:val="00F23828"/>
    <w:rsid w:val="00F23B09"/>
    <w:rsid w:val="00F23B99"/>
    <w:rsid w:val="00F24021"/>
    <w:rsid w:val="00F24160"/>
    <w:rsid w:val="00F241B2"/>
    <w:rsid w:val="00F241FC"/>
    <w:rsid w:val="00F24A76"/>
    <w:rsid w:val="00F24B2C"/>
    <w:rsid w:val="00F24E54"/>
    <w:rsid w:val="00F24E95"/>
    <w:rsid w:val="00F24FB8"/>
    <w:rsid w:val="00F24FF5"/>
    <w:rsid w:val="00F25639"/>
    <w:rsid w:val="00F2577D"/>
    <w:rsid w:val="00F2588E"/>
    <w:rsid w:val="00F25A29"/>
    <w:rsid w:val="00F25A77"/>
    <w:rsid w:val="00F25AEA"/>
    <w:rsid w:val="00F25F91"/>
    <w:rsid w:val="00F261E7"/>
    <w:rsid w:val="00F262A6"/>
    <w:rsid w:val="00F26A20"/>
    <w:rsid w:val="00F26A63"/>
    <w:rsid w:val="00F26B59"/>
    <w:rsid w:val="00F26D58"/>
    <w:rsid w:val="00F2743A"/>
    <w:rsid w:val="00F275B1"/>
    <w:rsid w:val="00F276C9"/>
    <w:rsid w:val="00F27DFB"/>
    <w:rsid w:val="00F300D1"/>
    <w:rsid w:val="00F3034B"/>
    <w:rsid w:val="00F30523"/>
    <w:rsid w:val="00F30851"/>
    <w:rsid w:val="00F30984"/>
    <w:rsid w:val="00F309CA"/>
    <w:rsid w:val="00F30BA1"/>
    <w:rsid w:val="00F3117F"/>
    <w:rsid w:val="00F31277"/>
    <w:rsid w:val="00F312C7"/>
    <w:rsid w:val="00F3131B"/>
    <w:rsid w:val="00F315BA"/>
    <w:rsid w:val="00F31617"/>
    <w:rsid w:val="00F31C65"/>
    <w:rsid w:val="00F31E80"/>
    <w:rsid w:val="00F323A8"/>
    <w:rsid w:val="00F32418"/>
    <w:rsid w:val="00F3264B"/>
    <w:rsid w:val="00F32675"/>
    <w:rsid w:val="00F327AD"/>
    <w:rsid w:val="00F32876"/>
    <w:rsid w:val="00F329E9"/>
    <w:rsid w:val="00F32AA0"/>
    <w:rsid w:val="00F32B68"/>
    <w:rsid w:val="00F32BED"/>
    <w:rsid w:val="00F32C24"/>
    <w:rsid w:val="00F32C54"/>
    <w:rsid w:val="00F32D4F"/>
    <w:rsid w:val="00F32E02"/>
    <w:rsid w:val="00F32F97"/>
    <w:rsid w:val="00F32FB0"/>
    <w:rsid w:val="00F33013"/>
    <w:rsid w:val="00F330E4"/>
    <w:rsid w:val="00F33184"/>
    <w:rsid w:val="00F3328A"/>
    <w:rsid w:val="00F333EF"/>
    <w:rsid w:val="00F33670"/>
    <w:rsid w:val="00F33710"/>
    <w:rsid w:val="00F33E97"/>
    <w:rsid w:val="00F340E4"/>
    <w:rsid w:val="00F3417F"/>
    <w:rsid w:val="00F34323"/>
    <w:rsid w:val="00F3488C"/>
    <w:rsid w:val="00F34C16"/>
    <w:rsid w:val="00F34DC2"/>
    <w:rsid w:val="00F34DD6"/>
    <w:rsid w:val="00F34F99"/>
    <w:rsid w:val="00F34FE6"/>
    <w:rsid w:val="00F3507D"/>
    <w:rsid w:val="00F35144"/>
    <w:rsid w:val="00F3586A"/>
    <w:rsid w:val="00F35A2D"/>
    <w:rsid w:val="00F35C37"/>
    <w:rsid w:val="00F35C3E"/>
    <w:rsid w:val="00F35CBC"/>
    <w:rsid w:val="00F363C6"/>
    <w:rsid w:val="00F364E3"/>
    <w:rsid w:val="00F36510"/>
    <w:rsid w:val="00F36565"/>
    <w:rsid w:val="00F36569"/>
    <w:rsid w:val="00F36843"/>
    <w:rsid w:val="00F36B31"/>
    <w:rsid w:val="00F36BDF"/>
    <w:rsid w:val="00F36BF6"/>
    <w:rsid w:val="00F36F10"/>
    <w:rsid w:val="00F37140"/>
    <w:rsid w:val="00F3750E"/>
    <w:rsid w:val="00F379FF"/>
    <w:rsid w:val="00F37A82"/>
    <w:rsid w:val="00F37B92"/>
    <w:rsid w:val="00F40022"/>
    <w:rsid w:val="00F40443"/>
    <w:rsid w:val="00F405B3"/>
    <w:rsid w:val="00F40683"/>
    <w:rsid w:val="00F40804"/>
    <w:rsid w:val="00F40A18"/>
    <w:rsid w:val="00F40B06"/>
    <w:rsid w:val="00F41038"/>
    <w:rsid w:val="00F4138D"/>
    <w:rsid w:val="00F41393"/>
    <w:rsid w:val="00F414D5"/>
    <w:rsid w:val="00F41679"/>
    <w:rsid w:val="00F416E3"/>
    <w:rsid w:val="00F41737"/>
    <w:rsid w:val="00F417FA"/>
    <w:rsid w:val="00F41A6B"/>
    <w:rsid w:val="00F41B83"/>
    <w:rsid w:val="00F41BA1"/>
    <w:rsid w:val="00F41BB5"/>
    <w:rsid w:val="00F41EE8"/>
    <w:rsid w:val="00F41F25"/>
    <w:rsid w:val="00F42972"/>
    <w:rsid w:val="00F42EC7"/>
    <w:rsid w:val="00F43045"/>
    <w:rsid w:val="00F43279"/>
    <w:rsid w:val="00F437CC"/>
    <w:rsid w:val="00F43801"/>
    <w:rsid w:val="00F43877"/>
    <w:rsid w:val="00F43891"/>
    <w:rsid w:val="00F43CD9"/>
    <w:rsid w:val="00F43E2F"/>
    <w:rsid w:val="00F4405B"/>
    <w:rsid w:val="00F44390"/>
    <w:rsid w:val="00F44472"/>
    <w:rsid w:val="00F448E2"/>
    <w:rsid w:val="00F44CAD"/>
    <w:rsid w:val="00F44D2A"/>
    <w:rsid w:val="00F450EE"/>
    <w:rsid w:val="00F45102"/>
    <w:rsid w:val="00F45365"/>
    <w:rsid w:val="00F454D4"/>
    <w:rsid w:val="00F459B6"/>
    <w:rsid w:val="00F45D96"/>
    <w:rsid w:val="00F45FAE"/>
    <w:rsid w:val="00F4618E"/>
    <w:rsid w:val="00F46437"/>
    <w:rsid w:val="00F466D7"/>
    <w:rsid w:val="00F46747"/>
    <w:rsid w:val="00F46807"/>
    <w:rsid w:val="00F46ADB"/>
    <w:rsid w:val="00F46BA4"/>
    <w:rsid w:val="00F46C28"/>
    <w:rsid w:val="00F46F08"/>
    <w:rsid w:val="00F471E1"/>
    <w:rsid w:val="00F478CB"/>
    <w:rsid w:val="00F47B84"/>
    <w:rsid w:val="00F47DAC"/>
    <w:rsid w:val="00F47ED0"/>
    <w:rsid w:val="00F47F36"/>
    <w:rsid w:val="00F50074"/>
    <w:rsid w:val="00F50264"/>
    <w:rsid w:val="00F504F2"/>
    <w:rsid w:val="00F505BA"/>
    <w:rsid w:val="00F5064F"/>
    <w:rsid w:val="00F509D8"/>
    <w:rsid w:val="00F50B97"/>
    <w:rsid w:val="00F50CCA"/>
    <w:rsid w:val="00F50F6A"/>
    <w:rsid w:val="00F51440"/>
    <w:rsid w:val="00F517C5"/>
    <w:rsid w:val="00F517D9"/>
    <w:rsid w:val="00F519EB"/>
    <w:rsid w:val="00F51BB9"/>
    <w:rsid w:val="00F51C49"/>
    <w:rsid w:val="00F51C50"/>
    <w:rsid w:val="00F51F3F"/>
    <w:rsid w:val="00F5219A"/>
    <w:rsid w:val="00F5220A"/>
    <w:rsid w:val="00F523F7"/>
    <w:rsid w:val="00F527B0"/>
    <w:rsid w:val="00F5286E"/>
    <w:rsid w:val="00F528CC"/>
    <w:rsid w:val="00F528F9"/>
    <w:rsid w:val="00F52BE7"/>
    <w:rsid w:val="00F52D13"/>
    <w:rsid w:val="00F52EE6"/>
    <w:rsid w:val="00F52FDE"/>
    <w:rsid w:val="00F5334B"/>
    <w:rsid w:val="00F5344E"/>
    <w:rsid w:val="00F534B7"/>
    <w:rsid w:val="00F53620"/>
    <w:rsid w:val="00F53C16"/>
    <w:rsid w:val="00F53D1F"/>
    <w:rsid w:val="00F53DE6"/>
    <w:rsid w:val="00F53EB0"/>
    <w:rsid w:val="00F54169"/>
    <w:rsid w:val="00F541DC"/>
    <w:rsid w:val="00F54417"/>
    <w:rsid w:val="00F54438"/>
    <w:rsid w:val="00F545E5"/>
    <w:rsid w:val="00F546BC"/>
    <w:rsid w:val="00F546D5"/>
    <w:rsid w:val="00F54996"/>
    <w:rsid w:val="00F54BAC"/>
    <w:rsid w:val="00F54C78"/>
    <w:rsid w:val="00F54D73"/>
    <w:rsid w:val="00F55135"/>
    <w:rsid w:val="00F5539B"/>
    <w:rsid w:val="00F5546D"/>
    <w:rsid w:val="00F5558D"/>
    <w:rsid w:val="00F55958"/>
    <w:rsid w:val="00F55B0C"/>
    <w:rsid w:val="00F55B27"/>
    <w:rsid w:val="00F5668D"/>
    <w:rsid w:val="00F5675C"/>
    <w:rsid w:val="00F568B1"/>
    <w:rsid w:val="00F56911"/>
    <w:rsid w:val="00F5691F"/>
    <w:rsid w:val="00F56A56"/>
    <w:rsid w:val="00F56AFC"/>
    <w:rsid w:val="00F56C7A"/>
    <w:rsid w:val="00F56D88"/>
    <w:rsid w:val="00F57020"/>
    <w:rsid w:val="00F570CA"/>
    <w:rsid w:val="00F570D5"/>
    <w:rsid w:val="00F572C2"/>
    <w:rsid w:val="00F57435"/>
    <w:rsid w:val="00F57851"/>
    <w:rsid w:val="00F578A6"/>
    <w:rsid w:val="00F5797B"/>
    <w:rsid w:val="00F57AD2"/>
    <w:rsid w:val="00F57BB3"/>
    <w:rsid w:val="00F57D62"/>
    <w:rsid w:val="00F60005"/>
    <w:rsid w:val="00F6010A"/>
    <w:rsid w:val="00F60231"/>
    <w:rsid w:val="00F606A3"/>
    <w:rsid w:val="00F608CA"/>
    <w:rsid w:val="00F614E7"/>
    <w:rsid w:val="00F6150B"/>
    <w:rsid w:val="00F6181F"/>
    <w:rsid w:val="00F618BF"/>
    <w:rsid w:val="00F61987"/>
    <w:rsid w:val="00F61AAD"/>
    <w:rsid w:val="00F61B8A"/>
    <w:rsid w:val="00F61C77"/>
    <w:rsid w:val="00F61CF9"/>
    <w:rsid w:val="00F61E61"/>
    <w:rsid w:val="00F6209F"/>
    <w:rsid w:val="00F6230A"/>
    <w:rsid w:val="00F62608"/>
    <w:rsid w:val="00F6271D"/>
    <w:rsid w:val="00F62B01"/>
    <w:rsid w:val="00F62B74"/>
    <w:rsid w:val="00F62BCF"/>
    <w:rsid w:val="00F62D29"/>
    <w:rsid w:val="00F62DBE"/>
    <w:rsid w:val="00F62EB8"/>
    <w:rsid w:val="00F63127"/>
    <w:rsid w:val="00F63564"/>
    <w:rsid w:val="00F63828"/>
    <w:rsid w:val="00F63836"/>
    <w:rsid w:val="00F63951"/>
    <w:rsid w:val="00F63A45"/>
    <w:rsid w:val="00F63A51"/>
    <w:rsid w:val="00F63A54"/>
    <w:rsid w:val="00F63B3C"/>
    <w:rsid w:val="00F6422A"/>
    <w:rsid w:val="00F6481D"/>
    <w:rsid w:val="00F64A5E"/>
    <w:rsid w:val="00F64C79"/>
    <w:rsid w:val="00F64CDF"/>
    <w:rsid w:val="00F65126"/>
    <w:rsid w:val="00F6513B"/>
    <w:rsid w:val="00F651A8"/>
    <w:rsid w:val="00F654EF"/>
    <w:rsid w:val="00F6559A"/>
    <w:rsid w:val="00F65B15"/>
    <w:rsid w:val="00F65CBD"/>
    <w:rsid w:val="00F65EB3"/>
    <w:rsid w:val="00F66018"/>
    <w:rsid w:val="00F664A3"/>
    <w:rsid w:val="00F66791"/>
    <w:rsid w:val="00F66E9A"/>
    <w:rsid w:val="00F66F11"/>
    <w:rsid w:val="00F66F96"/>
    <w:rsid w:val="00F67146"/>
    <w:rsid w:val="00F67200"/>
    <w:rsid w:val="00F67220"/>
    <w:rsid w:val="00F67775"/>
    <w:rsid w:val="00F67970"/>
    <w:rsid w:val="00F67AD6"/>
    <w:rsid w:val="00F67FC6"/>
    <w:rsid w:val="00F70177"/>
    <w:rsid w:val="00F70654"/>
    <w:rsid w:val="00F707B5"/>
    <w:rsid w:val="00F70867"/>
    <w:rsid w:val="00F7093E"/>
    <w:rsid w:val="00F70DBE"/>
    <w:rsid w:val="00F71386"/>
    <w:rsid w:val="00F713D3"/>
    <w:rsid w:val="00F7146A"/>
    <w:rsid w:val="00F71529"/>
    <w:rsid w:val="00F716A5"/>
    <w:rsid w:val="00F720E7"/>
    <w:rsid w:val="00F72591"/>
    <w:rsid w:val="00F7267B"/>
    <w:rsid w:val="00F7284B"/>
    <w:rsid w:val="00F728F0"/>
    <w:rsid w:val="00F72AC1"/>
    <w:rsid w:val="00F731B1"/>
    <w:rsid w:val="00F73485"/>
    <w:rsid w:val="00F7353E"/>
    <w:rsid w:val="00F737B9"/>
    <w:rsid w:val="00F7384D"/>
    <w:rsid w:val="00F73870"/>
    <w:rsid w:val="00F73DD0"/>
    <w:rsid w:val="00F73F77"/>
    <w:rsid w:val="00F74814"/>
    <w:rsid w:val="00F74DDD"/>
    <w:rsid w:val="00F74EC3"/>
    <w:rsid w:val="00F75663"/>
    <w:rsid w:val="00F75BB0"/>
    <w:rsid w:val="00F75CCA"/>
    <w:rsid w:val="00F75F12"/>
    <w:rsid w:val="00F763F3"/>
    <w:rsid w:val="00F76971"/>
    <w:rsid w:val="00F76A8A"/>
    <w:rsid w:val="00F76E0E"/>
    <w:rsid w:val="00F76E48"/>
    <w:rsid w:val="00F7713C"/>
    <w:rsid w:val="00F7737A"/>
    <w:rsid w:val="00F7797B"/>
    <w:rsid w:val="00F779BF"/>
    <w:rsid w:val="00F779D3"/>
    <w:rsid w:val="00F77EA9"/>
    <w:rsid w:val="00F77FC1"/>
    <w:rsid w:val="00F77FEF"/>
    <w:rsid w:val="00F8085E"/>
    <w:rsid w:val="00F808FD"/>
    <w:rsid w:val="00F80DC7"/>
    <w:rsid w:val="00F81025"/>
    <w:rsid w:val="00F810C6"/>
    <w:rsid w:val="00F8136D"/>
    <w:rsid w:val="00F81397"/>
    <w:rsid w:val="00F814E8"/>
    <w:rsid w:val="00F815F9"/>
    <w:rsid w:val="00F81648"/>
    <w:rsid w:val="00F817EA"/>
    <w:rsid w:val="00F818EB"/>
    <w:rsid w:val="00F81CC7"/>
    <w:rsid w:val="00F81E1E"/>
    <w:rsid w:val="00F81E5A"/>
    <w:rsid w:val="00F81F3A"/>
    <w:rsid w:val="00F8252F"/>
    <w:rsid w:val="00F82BEA"/>
    <w:rsid w:val="00F82DF8"/>
    <w:rsid w:val="00F82FFE"/>
    <w:rsid w:val="00F830C6"/>
    <w:rsid w:val="00F8313F"/>
    <w:rsid w:val="00F8322D"/>
    <w:rsid w:val="00F83501"/>
    <w:rsid w:val="00F8352A"/>
    <w:rsid w:val="00F83AE8"/>
    <w:rsid w:val="00F83C16"/>
    <w:rsid w:val="00F83DE9"/>
    <w:rsid w:val="00F84008"/>
    <w:rsid w:val="00F846C1"/>
    <w:rsid w:val="00F84715"/>
    <w:rsid w:val="00F84874"/>
    <w:rsid w:val="00F8498C"/>
    <w:rsid w:val="00F84D65"/>
    <w:rsid w:val="00F855D3"/>
    <w:rsid w:val="00F85AC7"/>
    <w:rsid w:val="00F85C07"/>
    <w:rsid w:val="00F85E73"/>
    <w:rsid w:val="00F861CF"/>
    <w:rsid w:val="00F865C8"/>
    <w:rsid w:val="00F86B01"/>
    <w:rsid w:val="00F86DA6"/>
    <w:rsid w:val="00F87431"/>
    <w:rsid w:val="00F87568"/>
    <w:rsid w:val="00F87616"/>
    <w:rsid w:val="00F87659"/>
    <w:rsid w:val="00F87769"/>
    <w:rsid w:val="00F87C3E"/>
    <w:rsid w:val="00F900B7"/>
    <w:rsid w:val="00F901AA"/>
    <w:rsid w:val="00F904E8"/>
    <w:rsid w:val="00F908D6"/>
    <w:rsid w:val="00F90918"/>
    <w:rsid w:val="00F90926"/>
    <w:rsid w:val="00F90962"/>
    <w:rsid w:val="00F90998"/>
    <w:rsid w:val="00F909B7"/>
    <w:rsid w:val="00F90C59"/>
    <w:rsid w:val="00F91212"/>
    <w:rsid w:val="00F9135F"/>
    <w:rsid w:val="00F9152D"/>
    <w:rsid w:val="00F91872"/>
    <w:rsid w:val="00F91A48"/>
    <w:rsid w:val="00F91BFA"/>
    <w:rsid w:val="00F91C80"/>
    <w:rsid w:val="00F91FE0"/>
    <w:rsid w:val="00F920C9"/>
    <w:rsid w:val="00F9217D"/>
    <w:rsid w:val="00F923E6"/>
    <w:rsid w:val="00F926F2"/>
    <w:rsid w:val="00F927C1"/>
    <w:rsid w:val="00F92840"/>
    <w:rsid w:val="00F92910"/>
    <w:rsid w:val="00F92BED"/>
    <w:rsid w:val="00F92CD6"/>
    <w:rsid w:val="00F92F90"/>
    <w:rsid w:val="00F9324D"/>
    <w:rsid w:val="00F936FB"/>
    <w:rsid w:val="00F93CFB"/>
    <w:rsid w:val="00F93D7F"/>
    <w:rsid w:val="00F942FC"/>
    <w:rsid w:val="00F945DC"/>
    <w:rsid w:val="00F945F1"/>
    <w:rsid w:val="00F94705"/>
    <w:rsid w:val="00F948B1"/>
    <w:rsid w:val="00F949A2"/>
    <w:rsid w:val="00F949E0"/>
    <w:rsid w:val="00F94AAC"/>
    <w:rsid w:val="00F94B8F"/>
    <w:rsid w:val="00F94BC8"/>
    <w:rsid w:val="00F94CD9"/>
    <w:rsid w:val="00F9512C"/>
    <w:rsid w:val="00F9512E"/>
    <w:rsid w:val="00F9527E"/>
    <w:rsid w:val="00F95A9C"/>
    <w:rsid w:val="00F95BB4"/>
    <w:rsid w:val="00F95D00"/>
    <w:rsid w:val="00F95E42"/>
    <w:rsid w:val="00F95ED0"/>
    <w:rsid w:val="00F9609F"/>
    <w:rsid w:val="00F96183"/>
    <w:rsid w:val="00F96191"/>
    <w:rsid w:val="00F9641E"/>
    <w:rsid w:val="00F96461"/>
    <w:rsid w:val="00F96667"/>
    <w:rsid w:val="00F96AA2"/>
    <w:rsid w:val="00F96CA7"/>
    <w:rsid w:val="00F96E0B"/>
    <w:rsid w:val="00F9728C"/>
    <w:rsid w:val="00F9771F"/>
    <w:rsid w:val="00F97796"/>
    <w:rsid w:val="00F9780F"/>
    <w:rsid w:val="00F9795E"/>
    <w:rsid w:val="00F97AC5"/>
    <w:rsid w:val="00F97E80"/>
    <w:rsid w:val="00FA002E"/>
    <w:rsid w:val="00FA0220"/>
    <w:rsid w:val="00FA024A"/>
    <w:rsid w:val="00FA054E"/>
    <w:rsid w:val="00FA0C13"/>
    <w:rsid w:val="00FA0DBD"/>
    <w:rsid w:val="00FA13A3"/>
    <w:rsid w:val="00FA19F5"/>
    <w:rsid w:val="00FA1B90"/>
    <w:rsid w:val="00FA1BAD"/>
    <w:rsid w:val="00FA1BC3"/>
    <w:rsid w:val="00FA1E83"/>
    <w:rsid w:val="00FA233E"/>
    <w:rsid w:val="00FA2360"/>
    <w:rsid w:val="00FA241C"/>
    <w:rsid w:val="00FA24E0"/>
    <w:rsid w:val="00FA26A9"/>
    <w:rsid w:val="00FA2E84"/>
    <w:rsid w:val="00FA3402"/>
    <w:rsid w:val="00FA3647"/>
    <w:rsid w:val="00FA37F6"/>
    <w:rsid w:val="00FA3818"/>
    <w:rsid w:val="00FA3864"/>
    <w:rsid w:val="00FA3901"/>
    <w:rsid w:val="00FA3B88"/>
    <w:rsid w:val="00FA4758"/>
    <w:rsid w:val="00FA47A7"/>
    <w:rsid w:val="00FA48BC"/>
    <w:rsid w:val="00FA49F0"/>
    <w:rsid w:val="00FA4DAD"/>
    <w:rsid w:val="00FA511A"/>
    <w:rsid w:val="00FA5482"/>
    <w:rsid w:val="00FA54B2"/>
    <w:rsid w:val="00FA58D1"/>
    <w:rsid w:val="00FA5940"/>
    <w:rsid w:val="00FA5995"/>
    <w:rsid w:val="00FA5BA4"/>
    <w:rsid w:val="00FA5CE7"/>
    <w:rsid w:val="00FA5EFF"/>
    <w:rsid w:val="00FA5FBF"/>
    <w:rsid w:val="00FA6030"/>
    <w:rsid w:val="00FA6129"/>
    <w:rsid w:val="00FA62F0"/>
    <w:rsid w:val="00FA6332"/>
    <w:rsid w:val="00FA6547"/>
    <w:rsid w:val="00FA66FC"/>
    <w:rsid w:val="00FA67C9"/>
    <w:rsid w:val="00FA6AEC"/>
    <w:rsid w:val="00FA6E23"/>
    <w:rsid w:val="00FA6EF0"/>
    <w:rsid w:val="00FA7103"/>
    <w:rsid w:val="00FA7329"/>
    <w:rsid w:val="00FA777D"/>
    <w:rsid w:val="00FA7856"/>
    <w:rsid w:val="00FA78C2"/>
    <w:rsid w:val="00FA78E2"/>
    <w:rsid w:val="00FA7A4B"/>
    <w:rsid w:val="00FA7AA1"/>
    <w:rsid w:val="00FA7B50"/>
    <w:rsid w:val="00FA7E41"/>
    <w:rsid w:val="00FA7E75"/>
    <w:rsid w:val="00FB00A4"/>
    <w:rsid w:val="00FB018D"/>
    <w:rsid w:val="00FB0389"/>
    <w:rsid w:val="00FB07A3"/>
    <w:rsid w:val="00FB0F15"/>
    <w:rsid w:val="00FB12E5"/>
    <w:rsid w:val="00FB163F"/>
    <w:rsid w:val="00FB16CC"/>
    <w:rsid w:val="00FB18ED"/>
    <w:rsid w:val="00FB193D"/>
    <w:rsid w:val="00FB1BCE"/>
    <w:rsid w:val="00FB1D8B"/>
    <w:rsid w:val="00FB2085"/>
    <w:rsid w:val="00FB20F1"/>
    <w:rsid w:val="00FB22E4"/>
    <w:rsid w:val="00FB2597"/>
    <w:rsid w:val="00FB2ABD"/>
    <w:rsid w:val="00FB2ACF"/>
    <w:rsid w:val="00FB2D44"/>
    <w:rsid w:val="00FB328E"/>
    <w:rsid w:val="00FB35D2"/>
    <w:rsid w:val="00FB3AF8"/>
    <w:rsid w:val="00FB3AFB"/>
    <w:rsid w:val="00FB3D9C"/>
    <w:rsid w:val="00FB3F3F"/>
    <w:rsid w:val="00FB3F40"/>
    <w:rsid w:val="00FB4047"/>
    <w:rsid w:val="00FB4096"/>
    <w:rsid w:val="00FB41D7"/>
    <w:rsid w:val="00FB44AE"/>
    <w:rsid w:val="00FB4730"/>
    <w:rsid w:val="00FB480A"/>
    <w:rsid w:val="00FB4E53"/>
    <w:rsid w:val="00FB52D5"/>
    <w:rsid w:val="00FB5352"/>
    <w:rsid w:val="00FB53D4"/>
    <w:rsid w:val="00FB555A"/>
    <w:rsid w:val="00FB577D"/>
    <w:rsid w:val="00FB58EC"/>
    <w:rsid w:val="00FB5A2F"/>
    <w:rsid w:val="00FB5C05"/>
    <w:rsid w:val="00FB5C8B"/>
    <w:rsid w:val="00FB5F50"/>
    <w:rsid w:val="00FB6016"/>
    <w:rsid w:val="00FB660E"/>
    <w:rsid w:val="00FB6806"/>
    <w:rsid w:val="00FB696D"/>
    <w:rsid w:val="00FB6A16"/>
    <w:rsid w:val="00FB70D6"/>
    <w:rsid w:val="00FB716D"/>
    <w:rsid w:val="00FB7348"/>
    <w:rsid w:val="00FB73B2"/>
    <w:rsid w:val="00FB75BE"/>
    <w:rsid w:val="00FB782F"/>
    <w:rsid w:val="00FB7942"/>
    <w:rsid w:val="00FB7C55"/>
    <w:rsid w:val="00FB7CA5"/>
    <w:rsid w:val="00FC0062"/>
    <w:rsid w:val="00FC03A5"/>
    <w:rsid w:val="00FC052D"/>
    <w:rsid w:val="00FC0548"/>
    <w:rsid w:val="00FC0757"/>
    <w:rsid w:val="00FC0BA5"/>
    <w:rsid w:val="00FC0C99"/>
    <w:rsid w:val="00FC0E10"/>
    <w:rsid w:val="00FC0E75"/>
    <w:rsid w:val="00FC0E7E"/>
    <w:rsid w:val="00FC0F4C"/>
    <w:rsid w:val="00FC1166"/>
    <w:rsid w:val="00FC1267"/>
    <w:rsid w:val="00FC1688"/>
    <w:rsid w:val="00FC17BE"/>
    <w:rsid w:val="00FC1AA4"/>
    <w:rsid w:val="00FC1D0F"/>
    <w:rsid w:val="00FC212F"/>
    <w:rsid w:val="00FC2168"/>
    <w:rsid w:val="00FC27A0"/>
    <w:rsid w:val="00FC27B4"/>
    <w:rsid w:val="00FC2A92"/>
    <w:rsid w:val="00FC2B4D"/>
    <w:rsid w:val="00FC2B7B"/>
    <w:rsid w:val="00FC2C79"/>
    <w:rsid w:val="00FC300D"/>
    <w:rsid w:val="00FC3041"/>
    <w:rsid w:val="00FC306A"/>
    <w:rsid w:val="00FC31D9"/>
    <w:rsid w:val="00FC31EC"/>
    <w:rsid w:val="00FC320E"/>
    <w:rsid w:val="00FC3497"/>
    <w:rsid w:val="00FC3596"/>
    <w:rsid w:val="00FC3606"/>
    <w:rsid w:val="00FC368F"/>
    <w:rsid w:val="00FC4046"/>
    <w:rsid w:val="00FC432E"/>
    <w:rsid w:val="00FC4964"/>
    <w:rsid w:val="00FC49C5"/>
    <w:rsid w:val="00FC4B79"/>
    <w:rsid w:val="00FC505F"/>
    <w:rsid w:val="00FC5174"/>
    <w:rsid w:val="00FC5260"/>
    <w:rsid w:val="00FC5344"/>
    <w:rsid w:val="00FC53D2"/>
    <w:rsid w:val="00FC53DC"/>
    <w:rsid w:val="00FC54F3"/>
    <w:rsid w:val="00FC5701"/>
    <w:rsid w:val="00FC5817"/>
    <w:rsid w:val="00FC5B0F"/>
    <w:rsid w:val="00FC5B82"/>
    <w:rsid w:val="00FC5D12"/>
    <w:rsid w:val="00FC5F6E"/>
    <w:rsid w:val="00FC6499"/>
    <w:rsid w:val="00FC6671"/>
    <w:rsid w:val="00FC66DA"/>
    <w:rsid w:val="00FC6708"/>
    <w:rsid w:val="00FC7294"/>
    <w:rsid w:val="00FC738D"/>
    <w:rsid w:val="00FC76E9"/>
    <w:rsid w:val="00FD0007"/>
    <w:rsid w:val="00FD00E5"/>
    <w:rsid w:val="00FD0669"/>
    <w:rsid w:val="00FD06FF"/>
    <w:rsid w:val="00FD07DE"/>
    <w:rsid w:val="00FD0872"/>
    <w:rsid w:val="00FD099D"/>
    <w:rsid w:val="00FD0C36"/>
    <w:rsid w:val="00FD0CD6"/>
    <w:rsid w:val="00FD0DC8"/>
    <w:rsid w:val="00FD1B4D"/>
    <w:rsid w:val="00FD2075"/>
    <w:rsid w:val="00FD264D"/>
    <w:rsid w:val="00FD2908"/>
    <w:rsid w:val="00FD299D"/>
    <w:rsid w:val="00FD2ACE"/>
    <w:rsid w:val="00FD2F4B"/>
    <w:rsid w:val="00FD30EB"/>
    <w:rsid w:val="00FD3335"/>
    <w:rsid w:val="00FD3634"/>
    <w:rsid w:val="00FD37F0"/>
    <w:rsid w:val="00FD38B2"/>
    <w:rsid w:val="00FD3965"/>
    <w:rsid w:val="00FD3CB7"/>
    <w:rsid w:val="00FD3EA6"/>
    <w:rsid w:val="00FD40AD"/>
    <w:rsid w:val="00FD450B"/>
    <w:rsid w:val="00FD4573"/>
    <w:rsid w:val="00FD47A7"/>
    <w:rsid w:val="00FD4982"/>
    <w:rsid w:val="00FD4D23"/>
    <w:rsid w:val="00FD4E0F"/>
    <w:rsid w:val="00FD4EF7"/>
    <w:rsid w:val="00FD54BD"/>
    <w:rsid w:val="00FD55FD"/>
    <w:rsid w:val="00FD58A6"/>
    <w:rsid w:val="00FD591B"/>
    <w:rsid w:val="00FD592D"/>
    <w:rsid w:val="00FD597B"/>
    <w:rsid w:val="00FD5AF2"/>
    <w:rsid w:val="00FD5B08"/>
    <w:rsid w:val="00FD5C68"/>
    <w:rsid w:val="00FD5D3D"/>
    <w:rsid w:val="00FD640A"/>
    <w:rsid w:val="00FD65D3"/>
    <w:rsid w:val="00FD661A"/>
    <w:rsid w:val="00FD72CC"/>
    <w:rsid w:val="00FD72EF"/>
    <w:rsid w:val="00FD74F8"/>
    <w:rsid w:val="00FD7513"/>
    <w:rsid w:val="00FD79CA"/>
    <w:rsid w:val="00FD7A9E"/>
    <w:rsid w:val="00FD7C74"/>
    <w:rsid w:val="00FD7D86"/>
    <w:rsid w:val="00FE0009"/>
    <w:rsid w:val="00FE00CA"/>
    <w:rsid w:val="00FE016F"/>
    <w:rsid w:val="00FE0767"/>
    <w:rsid w:val="00FE07FF"/>
    <w:rsid w:val="00FE0870"/>
    <w:rsid w:val="00FE08E1"/>
    <w:rsid w:val="00FE09AF"/>
    <w:rsid w:val="00FE0D60"/>
    <w:rsid w:val="00FE1043"/>
    <w:rsid w:val="00FE1137"/>
    <w:rsid w:val="00FE1310"/>
    <w:rsid w:val="00FE13BD"/>
    <w:rsid w:val="00FE15DC"/>
    <w:rsid w:val="00FE1990"/>
    <w:rsid w:val="00FE19A5"/>
    <w:rsid w:val="00FE1C29"/>
    <w:rsid w:val="00FE2151"/>
    <w:rsid w:val="00FE22BC"/>
    <w:rsid w:val="00FE24E8"/>
    <w:rsid w:val="00FE265B"/>
    <w:rsid w:val="00FE2C19"/>
    <w:rsid w:val="00FE2F84"/>
    <w:rsid w:val="00FE3008"/>
    <w:rsid w:val="00FE328A"/>
    <w:rsid w:val="00FE32C9"/>
    <w:rsid w:val="00FE3383"/>
    <w:rsid w:val="00FE395D"/>
    <w:rsid w:val="00FE39F3"/>
    <w:rsid w:val="00FE3B66"/>
    <w:rsid w:val="00FE3C73"/>
    <w:rsid w:val="00FE3DEB"/>
    <w:rsid w:val="00FE3E42"/>
    <w:rsid w:val="00FE4001"/>
    <w:rsid w:val="00FE4159"/>
    <w:rsid w:val="00FE420B"/>
    <w:rsid w:val="00FE481C"/>
    <w:rsid w:val="00FE4ED5"/>
    <w:rsid w:val="00FE5350"/>
    <w:rsid w:val="00FE5B49"/>
    <w:rsid w:val="00FE5C21"/>
    <w:rsid w:val="00FE6180"/>
    <w:rsid w:val="00FE62C7"/>
    <w:rsid w:val="00FE62CB"/>
    <w:rsid w:val="00FE6725"/>
    <w:rsid w:val="00FE680F"/>
    <w:rsid w:val="00FE68AC"/>
    <w:rsid w:val="00FE68F4"/>
    <w:rsid w:val="00FE6926"/>
    <w:rsid w:val="00FE7079"/>
    <w:rsid w:val="00FE70A3"/>
    <w:rsid w:val="00FE70AD"/>
    <w:rsid w:val="00FE7338"/>
    <w:rsid w:val="00FE75B7"/>
    <w:rsid w:val="00FE796A"/>
    <w:rsid w:val="00FE7999"/>
    <w:rsid w:val="00FE7CCB"/>
    <w:rsid w:val="00FF0123"/>
    <w:rsid w:val="00FF0250"/>
    <w:rsid w:val="00FF0344"/>
    <w:rsid w:val="00FF03FF"/>
    <w:rsid w:val="00FF0490"/>
    <w:rsid w:val="00FF082F"/>
    <w:rsid w:val="00FF08F3"/>
    <w:rsid w:val="00FF091B"/>
    <w:rsid w:val="00FF09B7"/>
    <w:rsid w:val="00FF09D0"/>
    <w:rsid w:val="00FF0BE5"/>
    <w:rsid w:val="00FF0C9A"/>
    <w:rsid w:val="00FF0FC3"/>
    <w:rsid w:val="00FF118F"/>
    <w:rsid w:val="00FF1239"/>
    <w:rsid w:val="00FF1F17"/>
    <w:rsid w:val="00FF1F9C"/>
    <w:rsid w:val="00FF20A9"/>
    <w:rsid w:val="00FF228E"/>
    <w:rsid w:val="00FF2408"/>
    <w:rsid w:val="00FF282F"/>
    <w:rsid w:val="00FF2902"/>
    <w:rsid w:val="00FF2906"/>
    <w:rsid w:val="00FF303D"/>
    <w:rsid w:val="00FF3199"/>
    <w:rsid w:val="00FF325C"/>
    <w:rsid w:val="00FF33BA"/>
    <w:rsid w:val="00FF35D1"/>
    <w:rsid w:val="00FF3E09"/>
    <w:rsid w:val="00FF3F98"/>
    <w:rsid w:val="00FF414A"/>
    <w:rsid w:val="00FF4173"/>
    <w:rsid w:val="00FF435F"/>
    <w:rsid w:val="00FF4595"/>
    <w:rsid w:val="00FF4D30"/>
    <w:rsid w:val="00FF4DA2"/>
    <w:rsid w:val="00FF4F0A"/>
    <w:rsid w:val="00FF4F19"/>
    <w:rsid w:val="00FF4F40"/>
    <w:rsid w:val="00FF4FF3"/>
    <w:rsid w:val="00FF51CB"/>
    <w:rsid w:val="00FF5827"/>
    <w:rsid w:val="00FF598D"/>
    <w:rsid w:val="00FF5DF7"/>
    <w:rsid w:val="00FF5E23"/>
    <w:rsid w:val="00FF6388"/>
    <w:rsid w:val="00FF63A5"/>
    <w:rsid w:val="00FF6472"/>
    <w:rsid w:val="00FF680C"/>
    <w:rsid w:val="00FF6B9D"/>
    <w:rsid w:val="00FF7012"/>
    <w:rsid w:val="00FF71F0"/>
    <w:rsid w:val="00FF745C"/>
    <w:rsid w:val="00FF7961"/>
    <w:rsid w:val="00FF7A62"/>
    <w:rsid w:val="00FF7E42"/>
    <w:rsid w:val="028734BD"/>
    <w:rsid w:val="02D675D6"/>
    <w:rsid w:val="0532727D"/>
    <w:rsid w:val="056479AB"/>
    <w:rsid w:val="05BF436B"/>
    <w:rsid w:val="073F66FD"/>
    <w:rsid w:val="09732A37"/>
    <w:rsid w:val="0B816881"/>
    <w:rsid w:val="0BD548E3"/>
    <w:rsid w:val="0CFF16CC"/>
    <w:rsid w:val="0D5C4BCD"/>
    <w:rsid w:val="0EA004DC"/>
    <w:rsid w:val="0FD25FB5"/>
    <w:rsid w:val="104344BA"/>
    <w:rsid w:val="10F23774"/>
    <w:rsid w:val="12EB6617"/>
    <w:rsid w:val="143B69B1"/>
    <w:rsid w:val="15C23EF5"/>
    <w:rsid w:val="18D72D4C"/>
    <w:rsid w:val="1BC12FCD"/>
    <w:rsid w:val="1CAD1D89"/>
    <w:rsid w:val="1D4944FD"/>
    <w:rsid w:val="1F63678E"/>
    <w:rsid w:val="20765541"/>
    <w:rsid w:val="231F22A9"/>
    <w:rsid w:val="234348F4"/>
    <w:rsid w:val="24402497"/>
    <w:rsid w:val="28263B9A"/>
    <w:rsid w:val="298E3228"/>
    <w:rsid w:val="29DE32B0"/>
    <w:rsid w:val="2A923FC0"/>
    <w:rsid w:val="2B146981"/>
    <w:rsid w:val="2B7C664F"/>
    <w:rsid w:val="2E670405"/>
    <w:rsid w:val="2F1269C8"/>
    <w:rsid w:val="2FAD6A7E"/>
    <w:rsid w:val="328844ED"/>
    <w:rsid w:val="337820FF"/>
    <w:rsid w:val="35A02646"/>
    <w:rsid w:val="35C07A3B"/>
    <w:rsid w:val="36BA5D2F"/>
    <w:rsid w:val="374303B9"/>
    <w:rsid w:val="38D46734"/>
    <w:rsid w:val="39144F66"/>
    <w:rsid w:val="39A3684A"/>
    <w:rsid w:val="3A705B70"/>
    <w:rsid w:val="3C321F4D"/>
    <w:rsid w:val="3C802B4C"/>
    <w:rsid w:val="3CE97467"/>
    <w:rsid w:val="3F2038C2"/>
    <w:rsid w:val="40D80522"/>
    <w:rsid w:val="424832AB"/>
    <w:rsid w:val="439C027C"/>
    <w:rsid w:val="449F1B2C"/>
    <w:rsid w:val="44EF6420"/>
    <w:rsid w:val="465B295F"/>
    <w:rsid w:val="47A338DC"/>
    <w:rsid w:val="498F4DFA"/>
    <w:rsid w:val="4AD016BE"/>
    <w:rsid w:val="4B6C4C18"/>
    <w:rsid w:val="4BA714C3"/>
    <w:rsid w:val="501C7C09"/>
    <w:rsid w:val="505E33C2"/>
    <w:rsid w:val="531C4DAC"/>
    <w:rsid w:val="5513446D"/>
    <w:rsid w:val="57F328BF"/>
    <w:rsid w:val="58721058"/>
    <w:rsid w:val="59395182"/>
    <w:rsid w:val="5B1D551C"/>
    <w:rsid w:val="5B6576EF"/>
    <w:rsid w:val="5DC42740"/>
    <w:rsid w:val="5F0D63FE"/>
    <w:rsid w:val="62333529"/>
    <w:rsid w:val="62696F3D"/>
    <w:rsid w:val="63D17EA6"/>
    <w:rsid w:val="6458033D"/>
    <w:rsid w:val="6482381C"/>
    <w:rsid w:val="66423434"/>
    <w:rsid w:val="66BA6F3A"/>
    <w:rsid w:val="67927BFC"/>
    <w:rsid w:val="6A047CD5"/>
    <w:rsid w:val="6B021737"/>
    <w:rsid w:val="6CC56E41"/>
    <w:rsid w:val="6D8B5A67"/>
    <w:rsid w:val="701C2A9B"/>
    <w:rsid w:val="70F1309B"/>
    <w:rsid w:val="73B2270D"/>
    <w:rsid w:val="757F0C16"/>
    <w:rsid w:val="7611441A"/>
    <w:rsid w:val="77DE46D3"/>
    <w:rsid w:val="783B1B25"/>
    <w:rsid w:val="78F91457"/>
    <w:rsid w:val="7A5771D1"/>
    <w:rsid w:val="7C6E5C7C"/>
    <w:rsid w:val="7DB83DD7"/>
    <w:rsid w:val="7DC97A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endarrow="block"/>
    </o:shapedefaults>
    <o:shapelayout v:ext="edit">
      <o:idmap v:ext="edit" data="1,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9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iPriority="99" w:semiHidden="0" w:name="Body Text First Indent 2"/>
    <w:lsdException w:uiPriority="99" w:name="Note Heading"/>
    <w:lsdException w:qFormat="1" w:uiPriority="99" w:semiHidden="0" w:name="Body Text 2"/>
    <w:lsdException w:uiPriority="99" w:name="Body Text 3"/>
    <w:lsdException w:qFormat="1" w:unhideWhenUsed="0" w:uiPriority="0" w:semiHidden="0"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link w:val="35"/>
    <w:qFormat/>
    <w:uiPriority w:val="9"/>
    <w:pPr>
      <w:spacing w:before="100" w:beforeAutospacing="1" w:after="100" w:afterAutospacing="1"/>
      <w:outlineLvl w:val="0"/>
    </w:pPr>
    <w:rPr>
      <w:b/>
      <w:bCs/>
      <w:kern w:val="36"/>
      <w:sz w:val="48"/>
      <w:szCs w:val="48"/>
    </w:rPr>
  </w:style>
  <w:style w:type="paragraph" w:styleId="3">
    <w:name w:val="heading 2"/>
    <w:basedOn w:val="1"/>
    <w:next w:val="1"/>
    <w:link w:val="32"/>
    <w:qFormat/>
    <w:uiPriority w:val="9"/>
    <w:pPr>
      <w:keepNext/>
      <w:keepLines/>
      <w:spacing w:before="260" w:after="260" w:line="416" w:lineRule="auto"/>
      <w:outlineLvl w:val="1"/>
    </w:pPr>
    <w:rPr>
      <w:rFonts w:ascii="Cambria" w:hAnsi="Cambria" w:cs="Times New Roman"/>
      <w:b/>
      <w:bCs/>
      <w:sz w:val="32"/>
      <w:szCs w:val="32"/>
    </w:rPr>
  </w:style>
  <w:style w:type="paragraph" w:styleId="4">
    <w:name w:val="heading 3"/>
    <w:basedOn w:val="1"/>
    <w:next w:val="1"/>
    <w:link w:val="36"/>
    <w:qFormat/>
    <w:uiPriority w:val="9"/>
    <w:pPr>
      <w:keepNext/>
      <w:keepLines/>
      <w:spacing w:before="260" w:after="260" w:line="416" w:lineRule="auto"/>
      <w:outlineLvl w:val="2"/>
    </w:pPr>
    <w:rPr>
      <w:b/>
      <w:bCs/>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style>
  <w:style w:type="paragraph" w:styleId="6">
    <w:name w:val="annotation text"/>
    <w:basedOn w:val="1"/>
    <w:link w:val="37"/>
    <w:unhideWhenUsed/>
    <w:qFormat/>
    <w:uiPriority w:val="99"/>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styleId="7">
    <w:name w:val="Body Text"/>
    <w:basedOn w:val="1"/>
    <w:next w:val="8"/>
    <w:link w:val="38"/>
    <w:unhideWhenUsed/>
    <w:qFormat/>
    <w:uiPriority w:val="99"/>
    <w:pPr>
      <w:spacing w:after="120"/>
    </w:pPr>
  </w:style>
  <w:style w:type="paragraph" w:customStyle="1" w:styleId="8">
    <w:name w:val="xl27"/>
    <w:basedOn w:val="1"/>
    <w:next w:val="9"/>
    <w:qFormat/>
    <w:uiPriority w:val="0"/>
    <w:pPr>
      <w:pBdr>
        <w:top w:val="single" w:color="auto" w:sz="4" w:space="0"/>
        <w:left w:val="single" w:color="auto" w:sz="8" w:space="0"/>
        <w:bottom w:val="single" w:color="auto" w:sz="4" w:space="0"/>
        <w:right w:val="single" w:color="auto" w:sz="4" w:space="0"/>
      </w:pBdr>
      <w:autoSpaceDE w:val="0"/>
      <w:autoSpaceDN w:val="0"/>
      <w:spacing w:before="100" w:beforeAutospacing="1" w:after="100" w:afterAutospacing="1"/>
      <w:jc w:val="center"/>
    </w:pPr>
    <w:rPr>
      <w:rFonts w:ascii="新宋体-18030" w:hAnsi="新宋体-18030" w:eastAsia="新宋体-18030" w:cs="新宋体-18030"/>
      <w:sz w:val="21"/>
      <w:szCs w:val="21"/>
      <w:lang w:val="zh-CN" w:bidi="zh-CN"/>
    </w:rPr>
  </w:style>
  <w:style w:type="paragraph" w:customStyle="1" w:styleId="9">
    <w:name w:val="A正文"/>
    <w:basedOn w:val="1"/>
    <w:qFormat/>
    <w:uiPriority w:val="0"/>
    <w:pPr>
      <w:overflowPunct w:val="0"/>
      <w:autoSpaceDE w:val="0"/>
      <w:autoSpaceDN w:val="0"/>
      <w:textAlignment w:val="baseline"/>
    </w:pPr>
    <w:rPr>
      <w:rFonts w:cs="Times New Roman"/>
      <w:sz w:val="21"/>
      <w:szCs w:val="21"/>
      <w:lang w:val="zh-CN" w:bidi="zh-CN"/>
    </w:rPr>
  </w:style>
  <w:style w:type="paragraph" w:styleId="10">
    <w:name w:val="Body Text Indent"/>
    <w:basedOn w:val="1"/>
    <w:next w:val="1"/>
    <w:link w:val="39"/>
    <w:unhideWhenUsed/>
    <w:qFormat/>
    <w:uiPriority w:val="0"/>
    <w:pPr>
      <w:spacing w:after="120"/>
      <w:ind w:left="420" w:leftChars="200"/>
    </w:pPr>
    <w:rPr>
      <w:rFonts w:ascii="Times New Roman" w:hAnsi="Times New Roman" w:cs="Times New Roman"/>
      <w:sz w:val="20"/>
    </w:rPr>
  </w:style>
  <w:style w:type="paragraph" w:styleId="11">
    <w:name w:val="Body Text Indent 2"/>
    <w:basedOn w:val="1"/>
    <w:next w:val="12"/>
    <w:qFormat/>
    <w:uiPriority w:val="0"/>
    <w:pPr>
      <w:widowControl w:val="0"/>
      <w:autoSpaceDE w:val="0"/>
      <w:autoSpaceDN w:val="0"/>
      <w:spacing w:before="15" w:line="480" w:lineRule="exact"/>
      <w:ind w:firstLine="496" w:firstLineChars="200"/>
    </w:pPr>
    <w:rPr>
      <w:rFonts w:cs="Times New Roman"/>
      <w:spacing w:val="4"/>
      <w:szCs w:val="21"/>
      <w:lang w:val="zh-CN" w:bidi="zh-CN"/>
    </w:rPr>
  </w:style>
  <w:style w:type="paragraph" w:styleId="12">
    <w:name w:val="Body Text First Indent 2"/>
    <w:basedOn w:val="1"/>
    <w:next w:val="1"/>
    <w:link w:val="48"/>
    <w:unhideWhenUsed/>
    <w:qFormat/>
    <w:uiPriority w:val="99"/>
    <w:pPr>
      <w:ind w:firstLine="420" w:firstLineChars="200"/>
    </w:pPr>
  </w:style>
  <w:style w:type="paragraph" w:styleId="13">
    <w:name w:val="Balloon Text"/>
    <w:basedOn w:val="1"/>
    <w:link w:val="40"/>
    <w:unhideWhenUsed/>
    <w:qFormat/>
    <w:uiPriority w:val="99"/>
    <w:rPr>
      <w:sz w:val="18"/>
      <w:szCs w:val="18"/>
    </w:rPr>
  </w:style>
  <w:style w:type="paragraph" w:styleId="14">
    <w:name w:val="footer"/>
    <w:basedOn w:val="1"/>
    <w:link w:val="41"/>
    <w:unhideWhenUsed/>
    <w:qFormat/>
    <w:uiPriority w:val="99"/>
    <w:pPr>
      <w:tabs>
        <w:tab w:val="center" w:pos="4153"/>
        <w:tab w:val="right" w:pos="8306"/>
      </w:tabs>
      <w:snapToGrid w:val="0"/>
    </w:pPr>
    <w:rPr>
      <w:sz w:val="18"/>
      <w:szCs w:val="18"/>
    </w:rPr>
  </w:style>
  <w:style w:type="paragraph" w:styleId="15">
    <w:name w:val="header"/>
    <w:basedOn w:val="1"/>
    <w:link w:val="42"/>
    <w:unhideWhenUsed/>
    <w:qFormat/>
    <w:uiPriority w:val="0"/>
    <w:pPr>
      <w:pBdr>
        <w:bottom w:val="single" w:color="auto" w:sz="6" w:space="1"/>
      </w:pBdr>
      <w:tabs>
        <w:tab w:val="center" w:pos="4153"/>
        <w:tab w:val="right" w:pos="8306"/>
      </w:tabs>
      <w:snapToGrid w:val="0"/>
      <w:jc w:val="center"/>
    </w:pPr>
    <w:rPr>
      <w:sz w:val="18"/>
      <w:szCs w:val="18"/>
    </w:rPr>
  </w:style>
  <w:style w:type="paragraph" w:styleId="16">
    <w:name w:val="Body Text Indent 3"/>
    <w:next w:val="17"/>
    <w:link w:val="43"/>
    <w:unhideWhenUsed/>
    <w:qFormat/>
    <w:uiPriority w:val="99"/>
    <w:rPr>
      <w:rFonts w:ascii="Calibri" w:hAnsi="Calibri" w:eastAsia="宋体" w:cs="Times New Roman"/>
      <w:kern w:val="2"/>
      <w:sz w:val="21"/>
      <w:szCs w:val="22"/>
      <w:lang w:val="en-US" w:eastAsia="zh-CN" w:bidi="ar-SA"/>
    </w:rPr>
  </w:style>
  <w:style w:type="paragraph" w:customStyle="1" w:styleId="17">
    <w:name w:val="样式 正文文本缩进 3 + 左侧:  2 字符"/>
    <w:basedOn w:val="1"/>
    <w:qFormat/>
    <w:uiPriority w:val="0"/>
  </w:style>
  <w:style w:type="paragraph" w:styleId="18">
    <w:name w:val="toc 2"/>
    <w:basedOn w:val="1"/>
    <w:next w:val="1"/>
    <w:unhideWhenUsed/>
    <w:qFormat/>
    <w:uiPriority w:val="99"/>
    <w:pPr>
      <w:widowControl w:val="0"/>
      <w:spacing w:before="100" w:beforeAutospacing="1" w:after="100" w:afterAutospacing="1"/>
      <w:ind w:left="210"/>
    </w:pPr>
    <w:rPr>
      <w:rFonts w:ascii="Times New Roman" w:hAnsi="Times New Roman" w:cs="Times New Roman"/>
      <w:smallCaps/>
      <w:kern w:val="2"/>
      <w:sz w:val="21"/>
      <w:szCs w:val="21"/>
    </w:rPr>
  </w:style>
  <w:style w:type="paragraph" w:styleId="19">
    <w:name w:val="Body Text 2"/>
    <w:basedOn w:val="1"/>
    <w:link w:val="44"/>
    <w:unhideWhenUsed/>
    <w:qFormat/>
    <w:uiPriority w:val="99"/>
    <w:pPr>
      <w:spacing w:after="120" w:line="480" w:lineRule="auto"/>
    </w:pPr>
  </w:style>
  <w:style w:type="paragraph" w:styleId="20">
    <w:name w:val="Normal (Web)"/>
    <w:basedOn w:val="1"/>
    <w:link w:val="45"/>
    <w:qFormat/>
    <w:uiPriority w:val="0"/>
    <w:pPr>
      <w:spacing w:before="100" w:beforeAutospacing="1" w:after="100" w:afterAutospacing="1"/>
    </w:pPr>
    <w:rPr>
      <w:rFonts w:cs="Times New Roman"/>
      <w:szCs w:val="20"/>
    </w:rPr>
  </w:style>
  <w:style w:type="paragraph" w:styleId="21">
    <w:name w:val="annotation subject"/>
    <w:basedOn w:val="6"/>
    <w:next w:val="6"/>
    <w:link w:val="46"/>
    <w:unhideWhenUsed/>
    <w:qFormat/>
    <w:uiPriority w:val="99"/>
    <w:rPr>
      <w:b/>
      <w:bCs/>
    </w:rPr>
  </w:style>
  <w:style w:type="paragraph" w:styleId="22">
    <w:name w:val="Body Text First Indent"/>
    <w:basedOn w:val="7"/>
    <w:link w:val="47"/>
    <w:unhideWhenUsed/>
    <w:qFormat/>
    <w:uiPriority w:val="99"/>
    <w:pPr>
      <w:ind w:firstLine="420" w:firstLineChars="100"/>
    </w:pPr>
  </w:style>
  <w:style w:type="table" w:styleId="24">
    <w:name w:val="Table Grid"/>
    <w:basedOn w:val="23"/>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6">
    <w:name w:val="Strong"/>
    <w:basedOn w:val="25"/>
    <w:qFormat/>
    <w:uiPriority w:val="22"/>
    <w:rPr>
      <w:b/>
      <w:bCs/>
    </w:rPr>
  </w:style>
  <w:style w:type="character" w:styleId="27">
    <w:name w:val="Hyperlink"/>
    <w:basedOn w:val="25"/>
    <w:unhideWhenUsed/>
    <w:qFormat/>
    <w:uiPriority w:val="99"/>
    <w:rPr>
      <w:color w:val="0000FF"/>
      <w:u w:val="single"/>
    </w:rPr>
  </w:style>
  <w:style w:type="character" w:styleId="28">
    <w:name w:val="annotation reference"/>
    <w:basedOn w:val="25"/>
    <w:unhideWhenUsed/>
    <w:qFormat/>
    <w:uiPriority w:val="0"/>
    <w:rPr>
      <w:sz w:val="21"/>
      <w:szCs w:val="21"/>
    </w:rPr>
  </w:style>
  <w:style w:type="paragraph" w:customStyle="1" w:styleId="29">
    <w:name w:val="Default"/>
    <w:basedOn w:val="30"/>
    <w:link w:val="33"/>
    <w:qFormat/>
    <w:uiPriority w:val="0"/>
    <w:pPr>
      <w:widowControl w:val="0"/>
      <w:autoSpaceDE w:val="0"/>
      <w:autoSpaceDN w:val="0"/>
      <w:adjustRightInd w:val="0"/>
    </w:pPr>
    <w:rPr>
      <w:rFonts w:ascii="宋体" w:hAnsi="Times New Roman"/>
      <w:b w:val="0"/>
      <w:bCs w:val="0"/>
      <w:color w:val="000000"/>
      <w:sz w:val="24"/>
      <w:szCs w:val="24"/>
    </w:rPr>
  </w:style>
  <w:style w:type="paragraph" w:customStyle="1" w:styleId="30">
    <w:name w:val="标题2"/>
    <w:basedOn w:val="3"/>
    <w:qFormat/>
    <w:uiPriority w:val="0"/>
    <w:pPr>
      <w:spacing w:line="440" w:lineRule="exact"/>
      <w:ind w:left="1560"/>
    </w:pPr>
  </w:style>
  <w:style w:type="paragraph" w:customStyle="1" w:styleId="31">
    <w:name w:val="1正文段落"/>
    <w:basedOn w:val="1"/>
    <w:link w:val="34"/>
    <w:qFormat/>
    <w:uiPriority w:val="0"/>
    <w:pPr>
      <w:spacing w:line="360" w:lineRule="auto"/>
      <w:ind w:firstLine="200" w:firstLineChars="200"/>
    </w:pPr>
    <w:rPr>
      <w:rFonts w:ascii="Calibri" w:hAnsi="Calibri" w:cs="Times New Roman"/>
      <w:snapToGrid w:val="0"/>
      <w:szCs w:val="21"/>
    </w:rPr>
  </w:style>
  <w:style w:type="character" w:customStyle="1" w:styleId="32">
    <w:name w:val="标题 2 Char"/>
    <w:basedOn w:val="25"/>
    <w:link w:val="3"/>
    <w:qFormat/>
    <w:uiPriority w:val="9"/>
    <w:rPr>
      <w:rFonts w:ascii="Cambria" w:hAnsi="Cambria" w:eastAsia="宋体" w:cs="Times New Roman"/>
      <w:b/>
      <w:bCs/>
      <w:sz w:val="32"/>
      <w:szCs w:val="32"/>
    </w:rPr>
  </w:style>
  <w:style w:type="character" w:customStyle="1" w:styleId="33">
    <w:name w:val="Default Char Char"/>
    <w:link w:val="29"/>
    <w:qFormat/>
    <w:uiPriority w:val="0"/>
    <w:rPr>
      <w:rFonts w:ascii="宋体" w:hAnsi="Times New Roman"/>
      <w:color w:val="000000"/>
      <w:sz w:val="24"/>
      <w:szCs w:val="24"/>
      <w:lang w:bidi="ar-SA"/>
    </w:rPr>
  </w:style>
  <w:style w:type="character" w:customStyle="1" w:styleId="34">
    <w:name w:val="1正文段落 Char"/>
    <w:link w:val="31"/>
    <w:qFormat/>
    <w:uiPriority w:val="0"/>
    <w:rPr>
      <w:rFonts w:cs="Times New Roman"/>
      <w:snapToGrid w:val="0"/>
      <w:sz w:val="24"/>
      <w:szCs w:val="21"/>
    </w:rPr>
  </w:style>
  <w:style w:type="character" w:customStyle="1" w:styleId="35">
    <w:name w:val="标题 1 Char"/>
    <w:basedOn w:val="25"/>
    <w:link w:val="2"/>
    <w:qFormat/>
    <w:uiPriority w:val="9"/>
    <w:rPr>
      <w:rFonts w:ascii="宋体" w:hAnsi="宋体" w:eastAsia="宋体" w:cs="宋体"/>
      <w:b/>
      <w:bCs/>
      <w:kern w:val="36"/>
      <w:sz w:val="48"/>
      <w:szCs w:val="48"/>
    </w:rPr>
  </w:style>
  <w:style w:type="character" w:customStyle="1" w:styleId="36">
    <w:name w:val="标题 3 Char"/>
    <w:basedOn w:val="25"/>
    <w:link w:val="4"/>
    <w:semiHidden/>
    <w:qFormat/>
    <w:uiPriority w:val="9"/>
    <w:rPr>
      <w:b/>
      <w:bCs/>
      <w:sz w:val="32"/>
      <w:szCs w:val="32"/>
    </w:rPr>
  </w:style>
  <w:style w:type="character" w:customStyle="1" w:styleId="37">
    <w:name w:val="批注文字 Char"/>
    <w:basedOn w:val="25"/>
    <w:link w:val="6"/>
    <w:qFormat/>
    <w:uiPriority w:val="99"/>
  </w:style>
  <w:style w:type="character" w:customStyle="1" w:styleId="38">
    <w:name w:val="正文文本 Char"/>
    <w:basedOn w:val="25"/>
    <w:link w:val="7"/>
    <w:qFormat/>
    <w:uiPriority w:val="99"/>
  </w:style>
  <w:style w:type="character" w:customStyle="1" w:styleId="39">
    <w:name w:val="正文文本缩进 Char"/>
    <w:basedOn w:val="25"/>
    <w:link w:val="10"/>
    <w:qFormat/>
    <w:uiPriority w:val="0"/>
    <w:rPr>
      <w:rFonts w:ascii="Times New Roman" w:hAnsi="Times New Roman" w:eastAsia="宋体" w:cs="Times New Roman"/>
      <w:kern w:val="0"/>
      <w:sz w:val="20"/>
      <w:szCs w:val="24"/>
    </w:rPr>
  </w:style>
  <w:style w:type="character" w:customStyle="1" w:styleId="40">
    <w:name w:val="批注框文本 Char"/>
    <w:basedOn w:val="25"/>
    <w:link w:val="13"/>
    <w:semiHidden/>
    <w:qFormat/>
    <w:uiPriority w:val="99"/>
    <w:rPr>
      <w:sz w:val="18"/>
      <w:szCs w:val="18"/>
    </w:rPr>
  </w:style>
  <w:style w:type="character" w:customStyle="1" w:styleId="41">
    <w:name w:val="页脚 Char"/>
    <w:basedOn w:val="25"/>
    <w:link w:val="14"/>
    <w:qFormat/>
    <w:uiPriority w:val="99"/>
    <w:rPr>
      <w:sz w:val="18"/>
      <w:szCs w:val="18"/>
    </w:rPr>
  </w:style>
  <w:style w:type="character" w:customStyle="1" w:styleId="42">
    <w:name w:val="页眉 Char"/>
    <w:basedOn w:val="25"/>
    <w:link w:val="15"/>
    <w:qFormat/>
    <w:uiPriority w:val="0"/>
    <w:rPr>
      <w:sz w:val="18"/>
      <w:szCs w:val="18"/>
    </w:rPr>
  </w:style>
  <w:style w:type="character" w:customStyle="1" w:styleId="43">
    <w:name w:val="正文文本缩进 3 Char"/>
    <w:basedOn w:val="25"/>
    <w:link w:val="16"/>
    <w:qFormat/>
    <w:uiPriority w:val="99"/>
    <w:rPr>
      <w:kern w:val="2"/>
      <w:sz w:val="21"/>
      <w:szCs w:val="22"/>
      <w:lang w:val="en-US" w:eastAsia="zh-CN" w:bidi="ar-SA"/>
    </w:rPr>
  </w:style>
  <w:style w:type="character" w:customStyle="1" w:styleId="44">
    <w:name w:val="正文文本 2 Char"/>
    <w:basedOn w:val="25"/>
    <w:link w:val="19"/>
    <w:semiHidden/>
    <w:qFormat/>
    <w:uiPriority w:val="99"/>
  </w:style>
  <w:style w:type="character" w:customStyle="1" w:styleId="45">
    <w:name w:val="普通(网站) Char"/>
    <w:link w:val="20"/>
    <w:qFormat/>
    <w:locked/>
    <w:uiPriority w:val="0"/>
    <w:rPr>
      <w:rFonts w:ascii="宋体" w:hAnsi="宋体" w:eastAsia="宋体"/>
      <w:sz w:val="24"/>
    </w:rPr>
  </w:style>
  <w:style w:type="character" w:customStyle="1" w:styleId="46">
    <w:name w:val="批注主题 Char"/>
    <w:basedOn w:val="37"/>
    <w:link w:val="21"/>
    <w:semiHidden/>
    <w:qFormat/>
    <w:uiPriority w:val="99"/>
    <w:rPr>
      <w:b/>
      <w:bCs/>
    </w:rPr>
  </w:style>
  <w:style w:type="character" w:customStyle="1" w:styleId="47">
    <w:name w:val="正文首行缩进 Char"/>
    <w:basedOn w:val="38"/>
    <w:link w:val="22"/>
    <w:semiHidden/>
    <w:qFormat/>
    <w:uiPriority w:val="99"/>
  </w:style>
  <w:style w:type="character" w:customStyle="1" w:styleId="48">
    <w:name w:val="正文首行缩进 2 Char"/>
    <w:basedOn w:val="39"/>
    <w:link w:val="12"/>
    <w:semiHidden/>
    <w:qFormat/>
    <w:uiPriority w:val="99"/>
    <w:rPr>
      <w:rFonts w:ascii="宋体" w:hAnsi="宋体" w:cs="宋体"/>
      <w:sz w:val="24"/>
    </w:rPr>
  </w:style>
  <w:style w:type="paragraph" w:customStyle="1" w:styleId="49">
    <w:name w:val="MFS正文 Char"/>
    <w:basedOn w:val="22"/>
    <w:qFormat/>
    <w:uiPriority w:val="0"/>
    <w:pPr>
      <w:adjustRightInd w:val="0"/>
      <w:snapToGrid w:val="0"/>
      <w:spacing w:before="93" w:line="360" w:lineRule="auto"/>
      <w:ind w:firstLine="200" w:firstLineChars="200"/>
    </w:pPr>
    <w:rPr>
      <w:rFonts w:ascii="Times New Roman" w:hAnsi="Times New Roman" w:eastAsia="楷体_GB2312" w:cs="Times New Roman"/>
    </w:rPr>
  </w:style>
  <w:style w:type="character" w:customStyle="1" w:styleId="50">
    <w:name w:val="表格正文 Char"/>
    <w:link w:val="51"/>
    <w:qFormat/>
    <w:locked/>
    <w:uiPriority w:val="0"/>
    <w:rPr>
      <w:szCs w:val="24"/>
    </w:rPr>
  </w:style>
  <w:style w:type="paragraph" w:customStyle="1" w:styleId="51">
    <w:name w:val="表格正文"/>
    <w:basedOn w:val="1"/>
    <w:next w:val="1"/>
    <w:link w:val="50"/>
    <w:qFormat/>
    <w:uiPriority w:val="0"/>
    <w:pPr>
      <w:spacing w:line="360" w:lineRule="exact"/>
      <w:jc w:val="center"/>
    </w:pPr>
    <w:rPr>
      <w:rFonts w:ascii="Calibri" w:hAnsi="Calibri" w:cs="Times New Roman"/>
      <w:sz w:val="20"/>
    </w:rPr>
  </w:style>
  <w:style w:type="paragraph" w:customStyle="1" w:styleId="52">
    <w:name w:val="表内容"/>
    <w:basedOn w:val="1"/>
    <w:next w:val="1"/>
    <w:qFormat/>
    <w:uiPriority w:val="99"/>
    <w:pPr>
      <w:spacing w:line="320" w:lineRule="exact"/>
      <w:jc w:val="center"/>
    </w:pPr>
    <w:rPr>
      <w:rFonts w:ascii="Times New Roman" w:hAnsi="Times New Roman" w:cs="Times New Roman"/>
      <w:szCs w:val="20"/>
    </w:rPr>
  </w:style>
  <w:style w:type="paragraph" w:customStyle="1" w:styleId="53">
    <w:name w:val="修订1"/>
    <w:semiHidden/>
    <w:qFormat/>
    <w:uiPriority w:val="99"/>
    <w:rPr>
      <w:rFonts w:ascii="Calibri" w:hAnsi="Calibri" w:eastAsia="宋体" w:cs="Times New Roman"/>
      <w:kern w:val="2"/>
      <w:sz w:val="21"/>
      <w:szCs w:val="22"/>
      <w:lang w:val="en-US" w:eastAsia="zh-CN" w:bidi="ar-SA"/>
    </w:rPr>
  </w:style>
  <w:style w:type="paragraph" w:customStyle="1" w:styleId="54">
    <w:name w:val="中文报告书样式"/>
    <w:basedOn w:val="1"/>
    <w:qFormat/>
    <w:uiPriority w:val="0"/>
    <w:pPr>
      <w:adjustRightInd w:val="0"/>
      <w:spacing w:line="480" w:lineRule="atLeast"/>
      <w:ind w:firstLine="482"/>
    </w:pPr>
    <w:rPr>
      <w:rFonts w:ascii="黑体" w:hAnsi="黑体" w:cs="黑体"/>
      <w:kern w:val="24"/>
      <w:szCs w:val="20"/>
    </w:rPr>
  </w:style>
  <w:style w:type="paragraph" w:customStyle="1" w:styleId="55">
    <w:name w:val="表格内格式"/>
    <w:basedOn w:val="1"/>
    <w:link w:val="56"/>
    <w:qFormat/>
    <w:uiPriority w:val="0"/>
    <w:pPr>
      <w:adjustRightInd w:val="0"/>
      <w:snapToGrid w:val="0"/>
      <w:spacing w:before="60"/>
      <w:jc w:val="center"/>
    </w:pPr>
    <w:rPr>
      <w:rFonts w:ascii="Times New Roman" w:hAnsi="Times New Roman" w:cs="Times New Roman"/>
      <w:snapToGrid w:val="0"/>
      <w:sz w:val="18"/>
      <w:szCs w:val="20"/>
    </w:rPr>
  </w:style>
  <w:style w:type="character" w:customStyle="1" w:styleId="56">
    <w:name w:val="表格内格式 Char"/>
    <w:link w:val="55"/>
    <w:qFormat/>
    <w:uiPriority w:val="0"/>
    <w:rPr>
      <w:rFonts w:ascii="Times New Roman" w:hAnsi="Times New Roman" w:eastAsia="宋体" w:cs="宋体"/>
      <w:snapToGrid w:val="0"/>
      <w:kern w:val="0"/>
      <w:sz w:val="18"/>
      <w:szCs w:val="20"/>
    </w:rPr>
  </w:style>
  <w:style w:type="character" w:customStyle="1" w:styleId="57">
    <w:name w:val="表格 Char"/>
    <w:link w:val="58"/>
    <w:qFormat/>
    <w:locked/>
    <w:uiPriority w:val="0"/>
    <w:rPr>
      <w:rFonts w:ascii="宋体"/>
    </w:rPr>
  </w:style>
  <w:style w:type="paragraph" w:customStyle="1" w:styleId="58">
    <w:name w:val="表格"/>
    <w:basedOn w:val="1"/>
    <w:next w:val="1"/>
    <w:link w:val="57"/>
    <w:qFormat/>
    <w:uiPriority w:val="0"/>
    <w:pPr>
      <w:adjustRightInd w:val="0"/>
      <w:snapToGrid w:val="0"/>
      <w:spacing w:beforeLines="10" w:afterLines="10" w:line="259" w:lineRule="auto"/>
      <w:jc w:val="center"/>
    </w:pPr>
    <w:rPr>
      <w:rFonts w:hAnsi="Calibri" w:cs="Times New Roman"/>
      <w:sz w:val="20"/>
      <w:szCs w:val="20"/>
    </w:rPr>
  </w:style>
  <w:style w:type="character" w:customStyle="1" w:styleId="59">
    <w:name w:val="2 表格内容 Char"/>
    <w:link w:val="60"/>
    <w:qFormat/>
    <w:uiPriority w:val="0"/>
    <w:rPr>
      <w:szCs w:val="21"/>
    </w:rPr>
  </w:style>
  <w:style w:type="paragraph" w:customStyle="1" w:styleId="60">
    <w:name w:val="2 表格内容"/>
    <w:basedOn w:val="1"/>
    <w:link w:val="59"/>
    <w:qFormat/>
    <w:uiPriority w:val="0"/>
    <w:pPr>
      <w:adjustRightInd w:val="0"/>
      <w:snapToGrid w:val="0"/>
      <w:spacing w:line="320" w:lineRule="exact"/>
      <w:jc w:val="center"/>
    </w:pPr>
    <w:rPr>
      <w:rFonts w:ascii="Calibri" w:hAnsi="Calibri" w:cs="Times New Roman"/>
      <w:sz w:val="20"/>
      <w:szCs w:val="21"/>
    </w:rPr>
  </w:style>
  <w:style w:type="character" w:customStyle="1" w:styleId="61">
    <w:name w:val="图表标注 Char"/>
    <w:link w:val="62"/>
    <w:qFormat/>
    <w:uiPriority w:val="0"/>
    <w:rPr>
      <w:rFonts w:eastAsia="黑体"/>
      <w:sz w:val="24"/>
    </w:rPr>
  </w:style>
  <w:style w:type="paragraph" w:customStyle="1" w:styleId="62">
    <w:name w:val="图表标注"/>
    <w:basedOn w:val="1"/>
    <w:link w:val="61"/>
    <w:qFormat/>
    <w:uiPriority w:val="0"/>
    <w:pPr>
      <w:spacing w:line="480" w:lineRule="exact"/>
      <w:jc w:val="center"/>
    </w:pPr>
    <w:rPr>
      <w:rFonts w:ascii="Calibri" w:hAnsi="Calibri" w:eastAsia="黑体" w:cs="Times New Roman"/>
      <w:szCs w:val="20"/>
    </w:rPr>
  </w:style>
  <w:style w:type="character" w:customStyle="1" w:styleId="63">
    <w:name w:val="fontstyle01"/>
    <w:qFormat/>
    <w:uiPriority w:val="0"/>
    <w:rPr>
      <w:rFonts w:hint="eastAsia" w:ascii="宋体" w:hAnsi="宋体" w:eastAsia="宋体"/>
      <w:color w:val="000000"/>
      <w:sz w:val="24"/>
      <w:szCs w:val="24"/>
    </w:rPr>
  </w:style>
  <w:style w:type="paragraph" w:customStyle="1" w:styleId="64">
    <w:name w:val="无间隔1"/>
    <w:qFormat/>
    <w:uiPriority w:val="1"/>
    <w:pPr>
      <w:widowControl w:val="0"/>
      <w:jc w:val="center"/>
    </w:pPr>
    <w:rPr>
      <w:rFonts w:ascii="Times New Roman" w:hAnsi="Times New Roman" w:eastAsia="宋体" w:cs="Times New Roman"/>
      <w:kern w:val="2"/>
      <w:sz w:val="21"/>
      <w:szCs w:val="24"/>
      <w:lang w:val="en-US" w:eastAsia="zh-CN" w:bidi="ar-SA"/>
    </w:rPr>
  </w:style>
  <w:style w:type="paragraph" w:styleId="65">
    <w:name w:val="List Paragraph"/>
    <w:basedOn w:val="1"/>
    <w:qFormat/>
    <w:uiPriority w:val="0"/>
    <w:pPr>
      <w:ind w:firstLine="420" w:firstLineChars="200"/>
    </w:pPr>
    <w:rPr>
      <w:rFonts w:ascii="Times New Roman" w:hAnsi="Times New Roman" w:cs="Times New Roman"/>
    </w:rPr>
  </w:style>
  <w:style w:type="character" w:customStyle="1" w:styleId="66">
    <w:name w:val="报告表正文 Char Char"/>
    <w:link w:val="67"/>
    <w:qFormat/>
    <w:uiPriority w:val="0"/>
    <w:rPr>
      <w:rFonts w:eastAsia="宋体"/>
      <w:sz w:val="24"/>
    </w:rPr>
  </w:style>
  <w:style w:type="paragraph" w:customStyle="1" w:styleId="67">
    <w:name w:val="报告表正文"/>
    <w:basedOn w:val="1"/>
    <w:link w:val="66"/>
    <w:qFormat/>
    <w:uiPriority w:val="0"/>
    <w:pPr>
      <w:adjustRightInd w:val="0"/>
      <w:spacing w:line="312" w:lineRule="auto"/>
      <w:ind w:left="113" w:right="113" w:firstLine="482"/>
      <w:textAlignment w:val="baseline"/>
    </w:pPr>
    <w:rPr>
      <w:rFonts w:ascii="Calibri" w:hAnsi="Calibri" w:cs="Times New Roman"/>
      <w:szCs w:val="20"/>
    </w:rPr>
  </w:style>
  <w:style w:type="paragraph" w:customStyle="1" w:styleId="68">
    <w:name w:val="表格内容"/>
    <w:basedOn w:val="69"/>
    <w:next w:val="1"/>
    <w:link w:val="70"/>
    <w:qFormat/>
    <w:uiPriority w:val="0"/>
    <w:pPr>
      <w:overflowPunct w:val="0"/>
      <w:adjustRightInd w:val="0"/>
      <w:spacing w:before="40" w:after="60" w:line="200" w:lineRule="atLeast"/>
      <w:textAlignment w:val="baseline"/>
    </w:pPr>
    <w:rPr>
      <w:rFonts w:ascii="Arial" w:hAnsi="Arial" w:eastAsia="仿宋_GB2312"/>
    </w:rPr>
  </w:style>
  <w:style w:type="paragraph" w:customStyle="1" w:styleId="69">
    <w:name w:val="表格标题"/>
    <w:basedOn w:val="1"/>
    <w:next w:val="68"/>
    <w:qFormat/>
    <w:uiPriority w:val="0"/>
    <w:pPr>
      <w:spacing w:line="360" w:lineRule="auto"/>
      <w:jc w:val="center"/>
    </w:pPr>
    <w:rPr>
      <w:rFonts w:ascii="Times New Roman" w:hAnsi="Times New Roman" w:cs="Times New Roman"/>
      <w:b/>
      <w:szCs w:val="20"/>
    </w:rPr>
  </w:style>
  <w:style w:type="character" w:customStyle="1" w:styleId="70">
    <w:name w:val="表格内容 Char Char"/>
    <w:link w:val="68"/>
    <w:qFormat/>
    <w:uiPriority w:val="0"/>
    <w:rPr>
      <w:rFonts w:ascii="Arial" w:hAnsi="Arial" w:eastAsia="仿宋_GB2312" w:cs="Times New Roman"/>
      <w:kern w:val="0"/>
      <w:sz w:val="24"/>
      <w:szCs w:val="20"/>
    </w:rPr>
  </w:style>
  <w:style w:type="paragraph" w:customStyle="1" w:styleId="71">
    <w:name w:val="正文内容"/>
    <w:link w:val="72"/>
    <w:qFormat/>
    <w:uiPriority w:val="0"/>
    <w:pPr>
      <w:widowControl w:val="0"/>
      <w:snapToGrid w:val="0"/>
      <w:spacing w:before="60" w:after="60" w:line="480" w:lineRule="exact"/>
      <w:ind w:firstLine="200" w:firstLineChars="200"/>
      <w:jc w:val="both"/>
    </w:pPr>
    <w:rPr>
      <w:rFonts w:ascii="Times New Roman" w:hAnsi="Times New Roman" w:eastAsia="宋体" w:cs="Times New Roman"/>
      <w:sz w:val="24"/>
      <w:szCs w:val="24"/>
      <w:lang w:val="en-US" w:eastAsia="zh-CN" w:bidi="ar-SA"/>
    </w:rPr>
  </w:style>
  <w:style w:type="character" w:customStyle="1" w:styleId="72">
    <w:name w:val="正文内容 Char"/>
    <w:link w:val="71"/>
    <w:qFormat/>
    <w:uiPriority w:val="0"/>
    <w:rPr>
      <w:rFonts w:ascii="Times New Roman" w:hAnsi="Times New Roman"/>
      <w:sz w:val="24"/>
      <w:szCs w:val="24"/>
      <w:lang w:bidi="ar-SA"/>
    </w:rPr>
  </w:style>
  <w:style w:type="paragraph" w:customStyle="1" w:styleId="73">
    <w:name w:val="表格内部—常用"/>
    <w:basedOn w:val="1"/>
    <w:next w:val="1"/>
    <w:qFormat/>
    <w:uiPriority w:val="0"/>
    <w:pPr>
      <w:jc w:val="center"/>
    </w:pPr>
    <w:rPr>
      <w:rFonts w:ascii="Times New Roman" w:hAnsi="Times New Roman" w:cs="Times New Roman"/>
      <w:szCs w:val="21"/>
    </w:rPr>
  </w:style>
  <w:style w:type="character" w:customStyle="1" w:styleId="74">
    <w:name w:val="font81"/>
    <w:basedOn w:val="25"/>
    <w:qFormat/>
    <w:uiPriority w:val="0"/>
    <w:rPr>
      <w:rFonts w:hint="eastAsia" w:ascii="宋体" w:hAnsi="宋体" w:eastAsia="宋体" w:cs="宋体"/>
      <w:color w:val="000000"/>
      <w:sz w:val="18"/>
      <w:szCs w:val="18"/>
      <w:u w:val="none"/>
    </w:rPr>
  </w:style>
  <w:style w:type="paragraph" w:customStyle="1" w:styleId="75">
    <w:name w:val="1.1.1"/>
    <w:basedOn w:val="1"/>
    <w:qFormat/>
    <w:uiPriority w:val="0"/>
    <w:pPr>
      <w:spacing w:line="480" w:lineRule="auto"/>
    </w:pPr>
    <w:rPr>
      <w:rFonts w:eastAsia="华文行楷"/>
      <w:sz w:val="32"/>
      <w:szCs w:val="20"/>
    </w:rPr>
  </w:style>
  <w:style w:type="character" w:customStyle="1" w:styleId="76">
    <w:name w:val="NormalCharacter"/>
    <w:qFormat/>
    <w:uiPriority w:val="0"/>
    <w:rPr>
      <w:rFonts w:ascii="Times New Roman" w:hAnsi="Times New Roman" w:eastAsia="宋体" w:cs="Times New Roman"/>
      <w:kern w:val="2"/>
      <w:sz w:val="21"/>
      <w:szCs w:val="24"/>
      <w:lang w:val="en-US" w:eastAsia="zh-CN" w:bidi="ar-SA"/>
    </w:rPr>
  </w:style>
  <w:style w:type="paragraph" w:customStyle="1" w:styleId="77">
    <w:name w:val="Table Paragraph"/>
    <w:basedOn w:val="1"/>
    <w:qFormat/>
    <w:uiPriority w:val="0"/>
    <w:pPr>
      <w:autoSpaceDE w:val="0"/>
      <w:autoSpaceDN w:val="0"/>
      <w:jc w:val="center"/>
    </w:pPr>
    <w:rPr>
      <w:rFonts w:ascii="Noto Sans CJK JP Regular" w:hAnsi="Noto Sans CJK JP Regular" w:eastAsia="Noto Sans CJK JP Regular" w:cs="Noto Sans CJK JP Regular"/>
      <w:sz w:val="22"/>
      <w:lang w:eastAsia="en-US"/>
    </w:rPr>
  </w:style>
  <w:style w:type="character" w:styleId="78">
    <w:name w:val="Placeholder Text"/>
    <w:basedOn w:val="25"/>
    <w:semiHidden/>
    <w:qFormat/>
    <w:uiPriority w:val="99"/>
    <w:rPr>
      <w:color w:val="808080"/>
    </w:rPr>
  </w:style>
  <w:style w:type="paragraph" w:customStyle="1" w:styleId="79">
    <w:name w:val="正文首行缩进 2 + Times New Roman"/>
    <w:basedOn w:val="1"/>
    <w:qFormat/>
    <w:uiPriority w:val="0"/>
    <w:pPr>
      <w:tabs>
        <w:tab w:val="left" w:pos="0"/>
        <w:tab w:val="left" w:pos="870"/>
        <w:tab w:val="left" w:pos="3150"/>
      </w:tabs>
      <w:autoSpaceDE w:val="0"/>
      <w:autoSpaceDN w:val="0"/>
      <w:spacing w:line="360" w:lineRule="auto"/>
      <w:ind w:firstLine="480" w:firstLineChars="200"/>
    </w:pPr>
    <w:rPr>
      <w:rFonts w:ascii="Times New Roman" w:hAnsi="Times New Roman" w:cs="Times New Roman"/>
    </w:rPr>
  </w:style>
  <w:style w:type="character" w:customStyle="1" w:styleId="80">
    <w:name w:val="表格正文 Char Char"/>
    <w:qFormat/>
    <w:uiPriority w:val="0"/>
    <w:rPr>
      <w:kern w:val="2"/>
      <w:sz w:val="21"/>
    </w:rPr>
  </w:style>
  <w:style w:type="paragraph" w:customStyle="1" w:styleId="81">
    <w:name w:val="正文-7"/>
    <w:basedOn w:val="1"/>
    <w:qFormat/>
    <w:uiPriority w:val="0"/>
    <w:pPr>
      <w:spacing w:line="440" w:lineRule="exact"/>
      <w:ind w:firstLine="200" w:firstLineChars="200"/>
    </w:pPr>
    <w:rPr>
      <w:rFonts w:ascii="Times New Roman" w:hAnsi="Times New Roman" w:cs="Times New Roman"/>
      <w:snapToGrid w:val="0"/>
    </w:rPr>
  </w:style>
  <w:style w:type="table" w:customStyle="1" w:styleId="82">
    <w:name w:val="Table 11"/>
    <w:basedOn w:val="23"/>
    <w:qFormat/>
    <w:uiPriority w:val="5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3">
    <w:name w:val="Table 12"/>
    <w:basedOn w:val="23"/>
    <w:qFormat/>
    <w:uiPriority w:val="5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84">
    <w:name w:val="+正文 Char Char"/>
    <w:link w:val="85"/>
    <w:qFormat/>
    <w:uiPriority w:val="0"/>
    <w:rPr>
      <w:rFonts w:eastAsia="宋体"/>
      <w:sz w:val="24"/>
      <w:szCs w:val="28"/>
    </w:rPr>
  </w:style>
  <w:style w:type="paragraph" w:customStyle="1" w:styleId="85">
    <w:name w:val="+正文"/>
    <w:basedOn w:val="1"/>
    <w:link w:val="84"/>
    <w:qFormat/>
    <w:uiPriority w:val="0"/>
    <w:pPr>
      <w:spacing w:line="360" w:lineRule="auto"/>
      <w:ind w:firstLine="200" w:firstLineChars="200"/>
    </w:pPr>
    <w:rPr>
      <w:rFonts w:ascii="Calibri" w:hAnsi="Calibri" w:cs="Times New Roman"/>
      <w:szCs w:val="28"/>
    </w:rPr>
  </w:style>
  <w:style w:type="paragraph" w:customStyle="1" w:styleId="86">
    <w:name w:val="表格文字"/>
    <w:basedOn w:val="1"/>
    <w:next w:val="1"/>
    <w:qFormat/>
    <w:uiPriority w:val="0"/>
    <w:pPr>
      <w:jc w:val="center"/>
    </w:pPr>
    <w:rPr>
      <w:rFonts w:ascii="Times New Roman" w:hAnsi="Times New Roman" w:cs="Times New Roman"/>
      <w:position w:val="-10"/>
      <w:szCs w:val="21"/>
    </w:rPr>
  </w:style>
  <w:style w:type="paragraph" w:customStyle="1" w:styleId="87">
    <w:name w:val="4表格内正文"/>
    <w:basedOn w:val="1"/>
    <w:qFormat/>
    <w:uiPriority w:val="0"/>
    <w:pPr>
      <w:widowControl w:val="0"/>
      <w:jc w:val="center"/>
    </w:pPr>
    <w:rPr>
      <w:rFonts w:ascii="Times New Roman" w:hAnsi="Times New Roman" w:cs="Times New Roman"/>
      <w:kern w:val="2"/>
      <w:sz w:val="21"/>
    </w:rPr>
  </w:style>
  <w:style w:type="character" w:customStyle="1" w:styleId="88">
    <w:name w:val="ask-title"/>
    <w:basedOn w:val="25"/>
    <w:qFormat/>
    <w:uiPriority w:val="0"/>
  </w:style>
  <w:style w:type="paragraph" w:customStyle="1" w:styleId="8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90">
    <w:name w:val="paragraph"/>
    <w:basedOn w:val="1"/>
    <w:semiHidden/>
    <w:qFormat/>
    <w:uiPriority w:val="0"/>
    <w:pPr>
      <w:spacing w:before="100" w:beforeAutospacing="1" w:after="100" w:afterAutospacing="1"/>
    </w:pPr>
    <w:rPr>
      <w:rFonts w:ascii="等线" w:hAnsi="等线" w:eastAsia="等线" w:cs="Times New Roman"/>
    </w:rPr>
  </w:style>
  <w:style w:type="paragraph" w:customStyle="1" w:styleId="91">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92">
    <w:name w:val="样式2"/>
    <w:basedOn w:val="1"/>
    <w:qFormat/>
    <w:uiPriority w:val="0"/>
    <w:pPr>
      <w:widowControl w:val="0"/>
      <w:tabs>
        <w:tab w:val="right" w:leader="dot" w:pos="8607"/>
        <w:tab w:val="right" w:leader="dot" w:pos="8891"/>
      </w:tabs>
      <w:spacing w:before="100" w:beforeAutospacing="1" w:after="100" w:afterAutospacing="1" w:line="360" w:lineRule="auto"/>
      <w:ind w:left="105" w:leftChars="50"/>
    </w:pPr>
    <w:rPr>
      <w:rFonts w:ascii="Times New Roman" w:hAnsi="Times New Roman" w:cs="Times New Roman"/>
      <w:b/>
      <w:kern w:val="2"/>
    </w:rPr>
  </w:style>
  <w:style w:type="paragraph" w:customStyle="1" w:styleId="93">
    <w:name w:val="样式3"/>
    <w:basedOn w:val="1"/>
    <w:qFormat/>
    <w:uiPriority w:val="0"/>
    <w:pPr>
      <w:widowControl w:val="0"/>
      <w:tabs>
        <w:tab w:val="right" w:leader="dot" w:pos="8607"/>
        <w:tab w:val="right" w:leader="dot" w:pos="8891"/>
      </w:tabs>
      <w:spacing w:line="360" w:lineRule="auto"/>
      <w:jc w:val="center"/>
    </w:pPr>
    <w:rPr>
      <w:rFonts w:ascii="Times New Roman" w:hAnsi="Times New Roman" w:cs="Times New Roman"/>
      <w:b/>
      <w:kern w:val="2"/>
      <w:sz w:val="21"/>
      <w:szCs w:val="21"/>
    </w:rPr>
  </w:style>
  <w:style w:type="paragraph" w:customStyle="1" w:styleId="94">
    <w:name w:val="样式1"/>
    <w:basedOn w:val="5"/>
    <w:next w:val="1"/>
    <w:qFormat/>
    <w:uiPriority w:val="0"/>
    <w:pPr>
      <w:widowControl w:val="0"/>
      <w:tabs>
        <w:tab w:val="right" w:leader="dot" w:pos="8607"/>
        <w:tab w:val="right" w:leader="dot" w:pos="8891"/>
      </w:tabs>
      <w:spacing w:line="360" w:lineRule="auto"/>
      <w:ind w:firstLine="482"/>
    </w:pPr>
    <w:rPr>
      <w:rFonts w:ascii="Times New Roman" w:hAnsi="Times New Roman" w:cs="Times New Roman"/>
      <w:kern w:val="2"/>
    </w:rPr>
  </w:style>
  <w:style w:type="paragraph" w:customStyle="1" w:styleId="95">
    <w:name w:val="什么3"/>
    <w:basedOn w:val="1"/>
    <w:qFormat/>
    <w:uiPriority w:val="0"/>
    <w:pPr>
      <w:tabs>
        <w:tab w:val="left" w:pos="794"/>
        <w:tab w:val="left" w:pos="1304"/>
      </w:tabs>
      <w:spacing w:line="360" w:lineRule="auto"/>
      <w:ind w:firstLine="480" w:firstLineChars="200"/>
    </w:pPr>
    <w:rPr>
      <w:rFonts w:ascii="Times New Roman" w:hAnsi="Times New Roman"/>
    </w:rPr>
  </w:style>
  <w:style w:type="paragraph" w:customStyle="1" w:styleId="96">
    <w:name w:val="Table Text"/>
    <w:basedOn w:val="1"/>
    <w:semiHidden/>
    <w:qFormat/>
    <w:uiPriority w:val="0"/>
    <w:rPr>
      <w:lang w:eastAsia="en-US"/>
    </w:rPr>
  </w:style>
  <w:style w:type="table" w:customStyle="1" w:styleId="97">
    <w:name w:val="Table Normal"/>
    <w:semiHidden/>
    <w:unhideWhenUsed/>
    <w:qFormat/>
    <w:uiPriority w:val="0"/>
    <w:tblPr>
      <w:tblCellMar>
        <w:top w:w="0" w:type="dxa"/>
        <w:left w:w="0" w:type="dxa"/>
        <w:bottom w:w="0" w:type="dxa"/>
        <w:right w:w="0" w:type="dxa"/>
      </w:tblCellMar>
    </w:tblPr>
  </w:style>
  <w:style w:type="table" w:customStyle="1" w:styleId="98">
    <w:name w:val="样式4"/>
    <w:basedOn w:val="23"/>
    <w:qFormat/>
    <w:uiPriority w:val="0"/>
    <w:rPr>
      <w:sz w:val="21"/>
    </w:rPr>
    <w:tblPr>
      <w:tblBorders>
        <w:top w:val="single" w:color="auto" w:sz="12" w:space="0"/>
        <w:bottom w:val="single" w:color="auto" w:sz="12" w:space="0"/>
        <w:insideH w:val="single" w:color="auto" w:sz="4" w:space="0"/>
        <w:insideV w:val="single" w:color="auto" w:sz="4" w:space="0"/>
      </w:tblBorders>
      <w:tblCellMar>
        <w:top w:w="0" w:type="dxa"/>
        <w:left w:w="108" w:type="dxa"/>
        <w:bottom w:w="0" w:type="dxa"/>
        <w:right w:w="108" w:type="dxa"/>
      </w:tblCellMar>
    </w:tblPr>
    <w:tcPr>
      <w:tcBorders>
        <w:top w:val="single" w:color="auto" w:sz="12" w:space="0"/>
        <w:left w:val="nil"/>
        <w:bottom w:val="single" w:color="auto" w:sz="12" w:space="0"/>
        <w:right w:val="nil"/>
      </w:tcBorders>
      <w:vAlign w:val="center"/>
    </w:tcPr>
  </w:style>
  <w:style w:type="table" w:customStyle="1" w:styleId="99">
    <w:name w:val="w1.5"/>
    <w:basedOn w:val="23"/>
    <w:qFormat/>
    <w:uiPriority w:val="99"/>
    <w:tblPr>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
    <w:trPr>
      <w:jc w:val="center"/>
    </w:trPr>
    <w:tcPr>
      <w:vAlign w:val="center"/>
    </w:tcPr>
  </w:style>
  <w:style w:type="paragraph" w:customStyle="1" w:styleId="100">
    <w:name w:val="4表头、图头格式"/>
    <w:basedOn w:val="1"/>
    <w:qFormat/>
    <w:uiPriority w:val="0"/>
    <w:pPr>
      <w:widowControl w:val="0"/>
      <w:jc w:val="center"/>
    </w:pPr>
    <w:rPr>
      <w:rFonts w:ascii="Times New Roman" w:hAnsi="Times New Roman" w:cs="Calibri"/>
      <w:b/>
      <w:sz w:val="21"/>
      <w:szCs w:val="21"/>
    </w:rPr>
  </w:style>
  <w:style w:type="paragraph" w:customStyle="1" w:styleId="101">
    <w:name w:val="24磅正文"/>
    <w:basedOn w:val="1"/>
    <w:qFormat/>
    <w:uiPriority w:val="0"/>
    <w:pPr>
      <w:widowControl w:val="0"/>
      <w:topLinePunct/>
      <w:autoSpaceDE w:val="0"/>
      <w:spacing w:line="480" w:lineRule="exact"/>
      <w:ind w:firstLine="480" w:firstLineChars="200"/>
      <w:jc w:val="both"/>
    </w:pPr>
    <w:rPr>
      <w:rFonts w:ascii="Times New Roman" w:hAnsi="Times New Roman" w:cs="Times New Roman"/>
      <w:kern w:val="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microsoft.com/office/2011/relationships/people" Target="people.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657119C-6982-421D-8BA7-E74DEB70A7D9-1">
      <extobjdata type="E657119C-6982-421D-8BA7-E74DEB70A7D9" data="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tVnJZVTFHY0ZkUlVHdzNNVGMwT0RJbE1qSWxOMFFsTWtNbE4wSWxNakp1WVcxbEpUSXlKVE5CSlRJeUpVVTFKVGt3SlRoRUpVVTNKVUUzSlVJd0pUSXlKVEpESlRJeWRIbHdaU1V5TWlVelFTVXlNbk4wY21sdVp5VXlNaVV5UXlVeU1uWmhiSFZsSlRJeUpUTkJKVEl5SlRJeUpUSkRKVEl5WTJGMFpXZHZjbmtsTWpJbE0wRWxNakprWldaaGRXeDBKVEl5SlRKREpUSXlhV1FsTWpJbE0wRWxNakpIZFVaa1IyRnBRVUpPTVRreE56UTB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ZbTlzWkNVeU1pVXpRWFJ5ZFdVbE1rTWxNakp6YVhwbEpUSXlKVE5CTVRnbE4wUWxNa01sTWpKMFpYaDBRbXh2WTJzbE1qSWxNMEVsTlVJbE4wSWxNakp3YjNOcGRHbHZiaVV5TWlVelFTVTNRaVV5TW5nbE1qSWxNMEV4TUNVeVF5VXlNbmtsTWpJbE0wRXdKVEpESlRJeWR5VXlNaVV6UVNVeU1uY3RNakFsTWpJbE1rTWxNakpvSlRJeUpUTkJKVEl5YUNVeU1pVTNSQ1V5UXlVeU1uUmxlSFFsTWpJbE0wRWxNaklsUlRVbE9FWWxPVGdsUlRVbFFUTWxRak1sUlRVbE9EZ2xPRFlsUlRnbFFUTWxPRFV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lJWMUZKZEVseVowUkRPREE0TWpVMUpUSXlKVE5CSlRkQ0pUSXlhV1FsTWpJbE0wRWxNakpSVjFGSmRFbHlaMFJET0RBNE1qVTF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tOVRZbFJZY2toaWNWUTFNek14T0RrbE1qSWxOMFFsTWtNbE4wSWxNakp1WVcxbEpUSXlKVE5CSlRJeUpVVTFKVGt3SlRoRUpVVTNKVUUzSlVJd0pUSXlKVEpESlRJeWRIbHdaU1V5TWlVelFTVXlNbk4wY21sdVp5VXlNaVV5UXlVeU1uWmhiSFZsSlRJeUpUTkJKVEl5SlRJeUpUSkRKVEl5WTJGMFpXZHZjbmtsTWpJbE0wRWxNakprWldaaGRXeDBKVEl5SlRKREpUSXlhV1FsTWpJbE0wRWxNakpOZG14TVdHcFFjVUZVTkRrNU1qRTV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ZbTlzWkNVeU1pVXpRWFJ5ZFdVbE1rTWxNakp6YVhwbEpUSXlKVE5CTVRnbE4wUWxNa01sTWpKMFpYaDBRbXh2WTJzbE1qSWxNMEVsTlVJbE4wSWxNakp3YjNOcGRHbHZiaVV5TWlVelFTVTNRaVV5TW5nbE1qSWxNMEV4TUNVeVF5VXlNbmtsTWpJbE0wRXdKVEpESlRJeWR5VXlNaVV6UVNVeU1uY3RNakFsTWpJbE1rTWxNakpvSlRJeUpUTkJKVEl5YUNVeU1pVTNSQ1V5UXlVeU1uUmxlSFFsTWpJbE0wRWxNaklsUlRVbE9FWWxPVGdsUlRVbFFUTWxRak1sUlRRbFFqZ2xPRUVsUlRjbFFrRWxRa1l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nZaa3g2YkhCMGJuZE9NelkzTnpJNUpUSXlKVE5CSlRkQ0pUSXlhV1FsTWpJbE0wRWxNakp2Wmt4NmJIQjBibmRPTXpZM056STV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rTldibEZIZWxacGNIbzFPVFkyTURRbE1qSWxOMFFsTWtNbE4wSWxNakp1WVcxbEpUSXlKVE5CSlRJeUpVVTFKVGt3SlRoRUpVVTNKVUUzSlVJd0pUSXlKVEpESlRJeWRIbHdaU1V5TWlVelFTVXlNbk4wY21sdVp5VXlNaVV5UXlVeU1uWmhiSFZsSlRJeUpUTkJKVEl5SlRJeUpUSkRKVEl5WTJGMFpXZHZjbmtsTWpJbE0wRWxNakprWldaaGRXeDBKVEl5SlRKREpUSXlhV1FsTWpJbE0wRWxNakp5Y1UxUVdsbHZZa2x0TnpjNE9USTR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ZbTlzWkNVeU1pVXpRWFJ5ZFdVbE1rTWxNakp6YVhwbEpUSXlKVE5CTVRnbE4wUWxNa01sTWpKMFpYaDBRbXh2WTJzbE1qSWxNMEVsTlVJbE4wSWxNakp3YjNOcGRHbHZiaVV5TWlVelFTVTNRaVV5TW5nbE1qSWxNMEV4TUNVeVF5VXlNbmtsTWpJbE0wRXdKVEpESlRJeWR5VXlNaVV6UVNVeU1uY3RNakFsTWpJbE1rTWxNakpvSlRJeUpUTkJKVEl5YUNVeU1pVTNSQ1V5UXlVeU1uUmxlSFFsTWpJbE0wRWxNaklsUlRrbFFVSWxPVGdsUlRVbE9FVWxPRUlsUlRnbFFrWWxPVVVsUlRZbE9FVWxRVFVsUlRVbE9Ua2xRVGdsUlRnbFFUTWxPRFVsUlRrbE9EVWxPRVF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nRSbEJOZFVGSFYxZE5NREkxTnpJNUpUSXlKVE5CSlRkQ0pUSXlhV1FsTWpJbE0wRWxNakp0UmxCTmRVRkhWMWROTURJMU56STV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raHlRWGRpY21GVlpGZ3lNVFUwT0RZbE1qSWxOMFFsTWtNbE4wSWxNakp1WVcxbEpUSXlKVE5CSlRJeUpVVTFKVGt3SlRoRUpVVTNKVUUzSlVJd0pUSXlKVEpESlRJeWRIbHdaU1V5TWlVelFTVXlNbk4wY21sdVp5VXlNaVV5UXlVeU1uWmhiSFZsSlRJeUpUTkJKVEl5SlRJeUpUSkRKVEl5WTJGMFpXZHZjbmtsTWpJbE0wRWxNakprWldaaGRXeDBKVEl5SlRKREpUSXlhV1FsTWpJbE0wRWxNakoyYzNGR1MySk5aMDVXTnpjd01qYzF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NakppYjJ4a0pUSXlKVE5CZEhKMVpTVXlReVV5TW5OcGVtVWxNaklsTTBFeE9DVTNSQ1V5UXlVeU1uUmxlSFJDYkc5amF5VXlNaVV6UVNVMVFpVTNRaVV5TW5CdmMybDBhVzl1SlRJeUpUTkJKVGRDSlRJeWVDVXlNaVV6UVRFd0pUSkRKVEl5ZVNVeU1pVXpRVEFsTWtNbE1qSjNKVEl5SlROQkpUSXlkeTB5TUNVeU1pVXlReVV5TW1nbE1qSWxNMEVsTWpKb0pUSXlKVGRFSlRKREpUSXlkR1Y0ZENVeU1pVXpRU1V5TWtWTk1TVkZOU1ZCUlNVNVFTVkZOU1ZCUkNVNU1DVkZPQ1ZCTXlVNE5TVkZPU1U0TlNVNFJD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xwVVpuRm9WMjE2UjFFNE9ETTROalFsTWpJbE0wRWxOMElsTWpKcFpDVXlNaVV6UVNVeU1scFVabkZvVjIxNlIxRTRPRE00TmpRbE1qSWxNa01sTWpKdVlXMWxKVEl5SlROQkpUSXljbVZqZEdGdVoyeGxKVEl5SlRKREpUSXlkR2wwYkdVbE1qSWxNMEVsTWp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VkhKSlNsZFpWWFJZWWpjNU5EUTJOeVV5TWlVM1JDVXlReVUzUWlVeU1tNWhiV1VsTWpJbE0wRWxNaklsUlRVbE9UQWxPRVFsUlRjbFFUY2xRakFsTWpJbE1rTWxNakowZVhCbEpUSXlKVE5CSlRJeWMzUnlhVzVuSlRJeUpUSkRKVEl5ZG1Gc2RXVWxNaklsTTBFbE1qSWxNaklsTWtNbE1qSmpZWFJsWjI5eWVTVXlNaVV6UVNVeU1tUmxabUYxYkhRbE1qSWxNa01sTWpKcFpDVXlNaVV6UVNVeU1ubFhkMUJ4WjJSSVVuWTFOakF6TnpJ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eU1tSnZiR1FsTWpJbE0wRjBjblZsSlRKREpUSXljMmw2WlNVeU1pVXpRVEU0SlRkRUpUSkRKVEl5ZEdWNGRFSnNiMk5ySlRJeUpUTkJKVFZDSlRkQ0pUSXljRzl6YVhScGIyNGxNaklsTTBFbE4wSWxNako0SlRJeUpUTkJNVEFsTWtNbE1qSjVKVEl5SlROQk1DVXlReVV5TW5jbE1qSWxNMEVsTWpKM0xUSXdKVEl5SlRKREpUSXlhQ1V5TWlVelFTVXlNbWdsTWpJbE4wUWxNa01sTWpKMFpYaDBKVEl5SlROQkpUSXlSVTB4UlUweUpVVTFKVGcySlVJM0pVVTFKVGhFSlVJMEpVVTJKVUl5SlVJNUpVVTNKVUZGSlVFeEpVVTRKVUV6SlRnMUpVVTVKVGcxSlRoRU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ZGsxTVlVZHRjMGRvY2pJNU1qQXlOaVV5TWlVelFTVTNRaVV5TW1sa0pUSXlKVE5CSlRJeWRrMU1ZVWR0YzBkb2NqSTVNakF5TmlVeU1pVXlReVV5TW01aGJXVWxNaklsTTBFbE1qSnlaV04wWVc1bmJHVWxNaklsTWtNbE1qSjBhWFJzWlNVeU1pVXpRU1V5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5VWt4VlNubFRiRTFMTmpReU9EQXdKVEl5SlRkRUpUSkRKVGRDSlRJeWJtRnRaU1V5TWlVelFTVXlNaVZGTlNVNU1DVTRSQ1ZGTnlWQk55VkNNQ1V5TWlVeVF5VXlNblI1Y0dVbE1qSWxNMEVsTWpKemRISnBibWNsTWpJbE1rTWxNakoyWVd4MVpTVXlNaVV6UVNVeU1pVXlNaVV5UXlVeU1tTmhkR1ZuYjNKNUpUSXlKVE5CSlRJeVpHVm1ZWFZzZENVeU1pVXlReVV5TW1sa0pUSXlKVE5CSlRJeVdYVnBWbkIzZFhoWVN6YzBOemt6TXl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JeVltOXNaQ1V5TWlVelFYUnlkV1VsTWtNbE1qSnphWHBsSlRJeUpUTkJNVGdsTjBRbE1rTWxNakowWlhoMFFteHZZMnNsTWpJbE0wRWxOVUlsTjBJbE1qSndiM05wZEdsdmJpVXlNaVV6UVNVM1FpVXlNbmdsTWpJbE0wRXhNQ1V5UXlVeU1ua2xNaklsTTBFd0pUSkRKVEl5ZHlVeU1pVXpRU1V5TW5jdE1qQWxNaklsTWtNbE1qSm9KVEl5SlROQkpUSXlhQ1V5TWlVM1JDVXlReVV5TW5SbGVIUWxNaklsTTBFbE1qSWxSVFlsUWpZbE9ESWxSVGdsT0RNbFFqW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VFNWZDZUbFZaUzAxRU5UWTRNamcwSlRJeUpUTkJKVGRDSlRJeWFXUWxNaklsTTBFbE1qSlRTVmQ2VGxWWlMwMUVOVFk0TWpnMEpUSXlKVEpESlRJeWJtRnRaU1V5TWlVelFTVXlNbkpsWTNSaGJtZHNaU1V5TWlVeVF5VXlNblJwZEd4bEpUSXlKVE5CSlRJ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xwVlVuQmFkMlpZWjFFek9UZ3dNRElsTWpJbE4wUWxNa01sTjBJbE1qSnVZVzFsSlRJeUpUTkJKVEl5SlVVMUpUa3dKVGhFSlVVM0pVRTNKVUl3SlRJeUpUSkRKVEl5ZEhsd1pTVXlNaVV6UVNVeU1uTjBjbWx1WnlVeU1pVXlReVV5TW5aaGJIVmxKVEl5SlROQkpUSXlKVEl5SlRKREpUSXlZMkYwWldkdmNua2xNaklsTTBFbE1qSmtaV1poZFd4MEpUSXlKVEpESlRJeWFXUWxNaklsTTBFbE1qSllTazVGYm5ONlRYTnhNalEzT1Rrd0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ZbTlzWkNVeU1pVXpRWFJ5ZFdVbE1rTWxNakp6YVhwbEpUSXlKVE5CTVRnbE4wUWxNa01sTWpKMFpYaDBRbXh2WTJzbE1qSWxNMEVsTlVJbE4wSWxNakp3YjNOcGRHbHZiaVV5TWlVelFTVTNRaVV5TW5nbE1qSWxNMEV4TUNVeVF5VXlNbmtsTWpJbE0wRXdKVEpESlRJeWR5VXlNaVV6UVNVeU1uY3RNakFsTWpJbE1rTWxNakpvSlRJeUpUTkJKVEl5YUNVeU1pVTNSQ1V5UXlVeU1uUmxlSFFsTWpJbE0wRWxNaklsUlRnbFFrUWxRVU1sUlRVbFFVUWxPVEFsUlRVbE9USWxPRU1sUlRVbE9UQWxPRVVsUlRjbE9VSWxPVFlsUlRnbE9EY2xRVUVsUlRVbE9FRWxRVGdsUlRVbE9UQWxPRGdsUlRjbFFVVWxRakV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lphR3h3ZW5OMVlXNUxOVFF3TlRNeEpUSXlKVE5CSlRkQ0pUSXlhV1FsTWpJbE0wRWxNakpaYUd4d2VuTjFZVzVMTlRRd05UTXh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sZEpWM0pzWmxKVGRHd3dPVEl3TXpjbE1qSWxOMFFsTWtNbE4wSWxNakp1WVcxbEpUSXlKVE5CSlRJeUpVVTFKVGt3SlRoRUpVVTNKVUUzSlVJd0pUSXlKVEpESlRJeWRIbHdaU1V5TWlVelFTVXlNbk4wY21sdVp5VXlNaVV5UXlVeU1uWmhiSFZsSlRJeUpUTkJKVEl5SlRJeUpUSkRKVEl5WTJGMFpXZHZjbmtsTWpJbE0wRWxNakprWldaaGRXeDBKVEl5SlRKREpUSXlhV1FsTWpJbE0wRWxNakpvWTBwdWVVRjVjV1o2TURrMk5USTF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NakppYjJ4a0pUSXlKVE5CZEhKMVpTVXlReVV5TW5OcGVtVWxNaklsTTBFeE9DVTNSQ1V5UXlVeU1uUmxlSFJDYkc5amF5VXlNaVV6UVNVMVFpVTNRaVV5TW5CdmMybDBhVzl1SlRJeUpUTkJKVGRDSlRJeWVDVXlNaVV6UVRFd0pUSkRKVEl5ZVNVeU1pVXpRVEFsTWtNbE1qSjNKVEl5SlROQkpUSXlkeTB5TUNVeU1pVXlReVV5TW1nbE1qSWxNMEVsTWpKb0pUSXlKVGRFSlRKREpUSXlkR1Y0ZENVeU1pVXpRU1V5TWlWRk5TVTVNQ1U0UlNWRk55VTVRaVU1TmlWRk5TVTRPQ1U0TmlWRk9DVkJNeVU0TlN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azFhVUVGbmRtVnVZVXc1TlRNd01UQWxNaklsTTBFbE4wSWxNakpwWkNVeU1pVXpRU1V5TWsxYVVFRm5kbVZ1WVV3NU5UTXdNVEFsTWpJbE1rTWxNakp1WVcxbEpUSXlKVE5CSlRJeWNtVmpkR0Z1WjJ4bEpUSXlKVEpESlRJeWRHbDBiR1VsTWpJbE0wRWxNaklsUlRjbE9VWWxRVGtsUlRVbFFrUWxRVEl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jWHBHWVVod1lXZERiVE0wTWpFNU9DVXlNaVUzUkNVeVF5VTNRaVV5TW01aGJXVWxNaklsTTBFbE1qSWxSVFVsT1RBbE9FUWxSVGNsUVRjbFFqQWxNaklsTWtNbE1qSjBlWEJsSlRJeUpUTkJKVEl5YzNSeWFXNW5KVEl5SlRKREpUSXlkbUZzZFdVbE1qSWxNMEVsTWpJbE1qSWxNa01sTWpKallYUmxaMjl5ZVNVeU1pVXpRU1V5TW1SbFptRjFiSFFsTWpJbE1rTWxNakpwWkNVeU1pVXpRU1V5TW5kM2FsSm9TbkZDUWt3MU56WTNORGN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V5TW1KdmJHUWxNaklsTTBGMGNuVmxKVEpESlRJeWMybDZaU1V5TWlVelFURTRKVGRFSlRKREpUSXlkR1Y0ZEVKc2IyTnJKVEl5SlROQkpUVkNKVGRDSlRJeWNHOXphWFJwYjI0bE1qSWxNMEVsTjBJbE1qSjRKVEl5SlROQk1UQWxNa01sTWpKNUpUSXlKVE5CTUNVeVF5VXlNbmNsTWpJbE0wRWxNakozTFRJd0pUSXlKVEpESlRJeWFDVXlNaVV6UVNVeU1tZ2xNaklsTjBRbE1rTWxNakowWlhoMEpUSXlKVE5CSlRJeVJVMHhKVVU0SlVKRUpVRkRKVVUxSlVGRUpUa3dKVVUxSlRnNEpUZzJKVVU0SlVFekpUZzF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VYwcG1UWFpRYUhwcmFqSXdNemt3TnlVeU1pVXpRU1UzUWlVeU1tbGtKVEl5SlROQkpUSXlWMHBtVFhaUWFIcHJhakl3TXprd055VXlNaVV5UXlVeU1tNWhiV1VsTWpJbE0wRWxNakp5WldOMFlXNW5iR1VsTWpJbE1rTWxNakowYVhSc1pTVXlNaVV6UVNVeU1pVkZOeVU1UmlWQk9TVkZOU1ZDUkNWQk1p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R2RIbFZRa2wyY0ZCSU1qTTFNVEkzSlRJeUpUZEVKVEpESlRkQ0pUSXlibUZ0WlNVeU1pVXpRU1V5TWlWRk5TVTVNQ1U0UkNWRk55VkJOeVZDTUNVeU1pVXlReVV5TW5SNWNHVWxNaklsTTBFbE1qSnpkSEpwYm1jbE1qSWxNa01sTWpKMllXeDFaU1V5TWlVelFTVXlNaVV5TWlVeVF5VXlNbU5oZEdWbmIzSjVKVEl5SlROQkpUSXlaR1ZtWVhWc2RDVXlNaVV5UXlVeU1tbGtKVEl5SlROQkpUSXlTVWhyY1hWcWFHRlpSamt5TnpBeE9D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ZbTlzWkNVeU1pVXpRWFJ5ZFdVbE1rTWxNakp6YVhwbEpUSXlKVE5CTVRnbE4wUWxNa01sTWpKMFpYaDBRbXh2WTJzbE1qSWxNMEVsTlVJbE4wSWxNakp3YjNOcGRHbHZiaVV5TWlVelFTVTNRaVV5TW5nbE1qSWxNMEV4TUNVeVF5VXlNbmtsTWpJbE0wRXdKVEpESlRJeWR5VXlNaVV6UVNVeU1uY3RNakFsTWpJbE1rTWxNakpvSlRJeUpUTkJKVEl5YUNVeU1pVTNSQ1V5UXlVeU1uUmxlSFFsTWpJbE0wRWxNakpGVFRJbFJUZ2xRa1FsUVVNbFJUVWxRVVFsT1RBbFJUVWxPRGdsT0RZbFJUZ2xRVE1sT0RV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TYkZwVlQwSk5Ta1I2TWpJeU56UTJKVEl5SlROQkpUZENKVEl5YVdRbE1qSWxNMEVsTWpKU2JGcFZUMEpOU2tSNk1qSXlOelEySlRJeUpUSkRKVEl5Ym1GdFpTVXlNaVV6UVNVeU1uSmxZM1JoYm1kc1pTVXlNaVV5UXlVeU1uUnBkR3hsSlRJeUpUTkJKVEl5SlVVM0pUbEdKVUU1SlVVMUpVSkVKVUV5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EpVVlVoNlRHcDRhbkE0T1RBeE56a2xNaklsTjBRbE1rTWxOMElsTWpKdVlXMWxKVEl5SlROQkpUSXlKVVUxSlRrd0pUaEVKVVUzSlVFM0pVSXdKVEl5SlRKREpUSXlkSGx3WlNVeU1pVXpRU1V5TW5OMGNtbHVaeVV5TWlVeVF5VXlNblpoYkhWbEpUSXlKVE5CSlRJeUpUSXlKVEpESlRJeVkyRjBaV2R2Y25rbE1qSWxNMEVsTWpKa1pXWmhkV3gwSlRJeUpUSkRKVEl5YVdRbE1qSWxNMEVsTWpKTlFXdDRkbGhMVFdKc016RXhPVFl5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aWIyeGtKVEl5SlROQmRISjFaU1V5UXlVeU1uTnBlbVVsTWpJbE0wRXhPQ1UzUkNVeVF5VXlNblJsZUhSQ2JHOWpheVV5TWlVelFTVTFRaVUzUWlVeU1uQnZjMmwwYVc5dUpUSXlKVE5CSlRkQ0pUSXllQ1V5TWlVelFURXdKVEpESlRJeWVTVXlNaVV6UVRBbE1rTWxNakozSlRJeUpUTkJKVEl5ZHkweU1DVXlNaVV5UXlVeU1tZ2xNaklsTTBFbE1qSm9KVEl5SlRkRUpUSkRKVEl5ZEdWNGRDVXlNaVV6UVNVeU1pVkZOU1U1TUNVNE9DVkZOeVZCUlNWQ01TVkZPQ1U1UlNWQ1FTVkZOaVZCTUNVNU15VkZOaVU0UWlWQk55VkZOeVZDTkNWQk55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0xTlQzbEVWblJYUVZnd01UWXlPVGNsTWpJbE0wRWxOMElsTWpKcFpDVXlNaVV6UVNVeU1tMU5UM2xFVm5SWFFWZ3dNVFl5T1RjbE1qSWxNa01sTWpKdVlXMWxKVEl5SlROQkpUSXljbVZqZEdGdVoyeGxKVEl5SlRKREpUSXlkR2wwYkdVbE1qSWxNMEVsTWp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Y2tWdVNuRlpZVTltZFRBMU56UTJOaVV5TWlVM1JDVXlReVUzUWlVeU1tNWhiV1VsTWpJbE0wRWxNaklsUlRVbE9UQWxPRVFsUlRjbFFUY2xRakFsTWpJbE1rTWxNakowZVhCbEpUSXlKVE5CSlRJeWMzUnlhVzVuSlRJeUpUSkRKVEl5ZG1Gc2RXVWxNaklsTTBFbE1qSWxNaklsTWtNbE1qSmpZWFJsWjI5eWVTVXlNaVV6UVNVeU1tUmxabUYxYkhRbE1qSWxNa01sTWpKcFpDVXlNaVV6UVNVeU1ubHVia3gyYUcxRlUwVXpOakkzTkRV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ZbTlzWkNVeU1pVXpRWFJ5ZFdVbE1rTWxNakp6YVhwbEpUSXlKVE5CTVRnbE4wUWxNa01sTWpKMFpYaDBRbXh2WTJzbE1qSWxNMEVsTlVJbE4wSWxNakp3YjNOcGRHbHZiaVV5TWlVelFTVTNRaVV5TW5nbE1qSWxNMEV4TUNVeVF5VXlNbmtsTWpJbE0wRXdKVEpESlRJeWR5VXlNaVV6UVNVeU1uY3RNakFsTWpJbE1rTWxNakpvSlRJeUpUTkJKVEl5YUNVeU1pVTNSQ1V5UXlVeU1uUmxlSFFsTWpJbE0wRWxNaklsUlRjbE9UUWxRalVsUlRVbE9FRWxRVGdsUlRZbFFqSWxRamtsUlRZbFFqTWxRalVsUlRnbFFUTWxPRFVsUlRrbE9EVWxPRVF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k5UMDlUUzIxWlZYWkZNVEF3T0RnMkpUSXlKVE5CSlRkQ0pUSXlhV1FsTWpJbE0wRWxNakpOVDA5VFMyMVpWWFpGTVRBd09EZzJ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rbG9ja1pIU1doc1pYZzRNREkzTkRnbE1qSWxOMFFsTWtNbE4wSWxNakp1WVcxbEpUSXlKVE5CSlRJeUpVVTFKVGt3SlRoRUpVVTNKVUUzSlVJd0pUSXlKVEpESlRJeWRIbHdaU1V5TWlVelFTVXlNbk4wY21sdVp5VXlNaVV5UXlVeU1uWmhiSFZsSlRJeUpUTkJKVEl5SlRJeUpUSkRKVEl5WTJGMFpXZHZjbmtsTWpJbE0wRWxNakprWldaaGRXeDBKVEl5SlRKREpUSXlhV1FsTWpJbE0wRWxNakpNUjNOMlpGWlNaMFpDTWpZMU5EWTF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JeVltOXNaQ1V5TWlVelFYUnlkV1VsTWtNbE1qSnphWHBsSlRJeUpUTkJNVGdsTjBRbE1rTWxNakowWlhoMFFteHZZMnNsTWpJbE0wRWxOVUlsTjBJbE1qSndiM05wZEdsdmJpVXlNaVV6UVNVM1FpVXlNbmdsTWpJbE0wRXhNQ1V5UXlVeU1ua2xNaklsTTBFd0pUSkRKVEl5ZHlVeU1pVXpRU1V5TW5jdE1qQWxNaklsTWtNbE1qSm9KVEl5SlROQkpUSXlhQ1V5TWlVM1JDVXlReVV5TW5SbGVIUWxNaklsTTBFbE1qSWxSVGdsUWtRbFFqUWxSVGNsUWpNbFFrSWxSVGdsUVRNbE9EVWxSVGtsT0RVbE9FUWxSVFVsT0RnbFFqQWxSVFVsT0VZbE9UZ2xSVFVsUVRNbFFqTWxSVFFsUWpnbE9FR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RVVWSnZWM0pvWTB0Qk9EWTBORGs0SlRJeUpUTkJKVGRDSlRJeWFXUWxNaklsTTBFbE1qSkVVVkp2VjNKb1kwdEJPRFkwTkRrNEpUSXlKVEpESlRJeWJtRnRaU1V5TWlVelFTVXlNbkpsWTNSaGJtZHNaU1V5TWlVeVF5VXlNblJwZEd4bEpUSXlKVE5CSlRJ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05blIyUmxUMUJEUVhVM09EQXpNVEFsTWpJbE4wUWxNa01sTjBJbE1qSnVZVzFsSlRJeUpUTkJKVEl5SlVVMUpUa3dKVGhFSlVVM0pVRTNKVUl3SlRJeUpUSkRKVEl5ZEhsd1pTVXlNaVV6UVNVeU1uTjBjbWx1WnlVeU1pVXlReVV5TW5aaGJIVmxKVEl5SlROQkpUSXlKVEl5SlRKREpUSXlZMkYwWldkdmNua2xNaklsTTBFbE1qSmtaV1poZFd4MEpUSXlKVEpESlRJeWFXUWxNaklsTTBFbE1qSlNWbFpEYkZKbGMxaDJNelF5T1RReE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XlNbUp2YkdRbE1qSWxNMEYwY25WbEpUSkRKVEl5YzJsNlpTVXlNaVV6UVRFNEpUZEVKVEpESlRJeWRHVjRkRUpzYjJOckpUSXlKVE5CSlRWQ0pUZENKVEl5Y0c5emFYUnBiMjRsTWpJbE0wRWxOMElsTWpKNEpUSXlKVE5CTVRBbE1rTWxNako1SlRJeUpUTkJNQ1V5UXlVeU1uY2xNaklsTTBFbE1qSjNMVEl3SlRJeUpUSkRKVEl5YUNVeU1pVXpRU1V5TW1nbE1qSWxOMFFsTWtNbE1qSjBaWGgwSlRJeUpUTkJKVEl5UlUweUpVVTFKVUZGSlRsQkpVVTFKVUZFSlRrd0pVVTRKVUV6SlRnMUpVVTVKVGcxSlRoRU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YUU1Q1oxVm9hR2hZYWpNd05UTTVOaVV5TWlVelFTVTNRaVV5TW1sa0pUSXlKVE5CSlRJeWFFNUNaMVZvYUdoWWFqTXdOVE01TmlVeU1pVXlReVV5TW01aGJXVWxNaklsTTBFbE1qSnlaV04wWVc1bmJHVWxNaklsTWtNbE1qSjBhWFJzWlNVeU1pVXpRU1V5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FZG5GVWVXRk1kbloxTlRrMk9EVTRKVEl5SlRkRUpUSkRKVGRDSlRJeWJtRnRaU1V5TWlVelFTVXlNaVZGTlNVNU1DVTRSQ1ZGTnlWQk55VkNNQ1V5TWlVeVF5VXlNblI1Y0dVbE1qSWxNMEVsTWpKemRISnBibWNsTWpJbE1rTWxNakoyWVd4MVpTVXlNaVV6UVNVeU1pVXlNaVV5UXlVeU1tTmhkR1ZuYjNKNUpUSXlKVE5CSlRJeVpHVm1ZWFZzZENVeU1pVXlReVV5TW1sa0pUSXlKVE5CSlRJeWIybE1RMlJhVGtsSmJ6QTJOVFEyTWl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aWIyeGtKVEl5SlROQmRISjFaU1V5UXlVeU1uTnBlbVVsTWpJbE0wRXhPQ1UzUkNVeVF5VXlNblJsZUhSQ2JHOWpheVV5TWlVelFTVTFRaVUzUWlVeU1uQnZjMmwwYVc5dUpUSXlKVE5CSlRkQ0pUSXllQ1V5TWlVelFURXdKVEpESlRJeWVTVXlNaVV6UVRBbE1rTWxNakozSlRJeUpUTkJKVEl5ZHkweU1DVXlNaVV5UXlVeU1tZ2xNaklsTTBFbE1qSm9KVEl5SlRkRUpUSkRKVEl5ZEdWNGRDVXlNaVV6UVNVeU1pVkZOaVZDTmlVNE1pVkZPQ1U0TXlWQ05p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tOb2FsaG9URWxJVkhjek1EQTRNamtsTWpJbE0wRWxOMElsTWpKcFpDVXlNaVV6UVNVeU1rTm9hbGhvVEVsSVZIY3pNREE0TWprbE1qSWxNa01sTWpKdVlXMWxKVEl5SlROQkpUSXljbVZqZEdGdVoyeGxKVEl5SlRKREpUSXlkR2wwYkdVbE1qSWxNMEVsTWp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WTI5YVozSndVa051VXpreE5EVXdOU1V5TWlVM1JDVXlReVUzUWlVeU1tNWhiV1VsTWpJbE0wRWxNaklsUlRVbE9UQWxPRVFsUlRjbFFUY2xRakFsTWpJbE1rTWxNakowZVhCbEpUSXlKVE5CSlRJeWMzUnlhVzVuSlRJeUpUSkRKVEl5ZG1Gc2RXVWxNaklsTTBFbE1qSWxNaklsTWtNbE1qSmpZWFJsWjI5eWVTVXlNaVV6UVNVeU1tUmxabUYxYkhRbE1qSWxNa01sTWpKcFpDVXlNaVV6UVNVeU1rdHZhMUIwYm5saWVXdzVORFEzTWpV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JeVltOXNaQ1V5TWlVelFYUnlkV1VsTWtNbE1qSnphWHBsSlRJeUpUTkJNVGdsTjBRbE1rTWxNakowWlhoMFFteHZZMnNsTWpJbE0wRWxOVUlsTjBJbE1qSndiM05wZEdsdmJpVXlNaVV6UVNVM1FpVXlNbmdsTWpJbE0wRXhNQ1V5UXlVeU1ua2xNaklsTTBFd0pUSkRKVEl5ZHlVeU1pVXpRU1V5TW5jdE1qQWxNaklsTWtNbE1qSm9KVEl5SlROQkpUSXlhQ1V5TWlVM1JDVXlReVV5TW5SbGVIUWxNaklsTTBFbE1qSWxSVFVsT1RBbE9EZ2xSVGNsUVVVbFFqR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SFZtbDJSbVpQZDJSYU5UTTROREE1SlRJeUpUTkJKVGRDSlRJeWFXUWxNaklsTTBFbE1qSkhWbWwyUm1aUGQyUmFOVE00TkRBNUpUSXlKVEpESlRJeWJtRnRaU1V5TWlVelFTVXlNbkpsWTNSaGJtZHNaU1V5TWlVeVF5VXlNblJwZEd4bEpUSXlKVE5CSlRJ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s5WFEwOVRVbE5MV2tJMU9UZzFNRGdsTWpJbE4wUWxNa01sTjBJbE1qSnVZVzFsSlRJeUpUTkJKVEl5SlVVMUpUa3dKVGhFSlVVM0pVRTNKVUl3SlRJeUpUSkRKVEl5ZEhsd1pTVXlNaVV6UVNVeU1uTjBjbWx1WnlVeU1pVXlReVV5TW5aaGJIVmxKVEl5SlROQkpUSXlKVEl5SlRKREpUSXlZMkYwWldkdmNua2xNaklsTTBFbE1qSmtaV1poZFd4MEpUSXlKVEpESlRJeWFXUWxNaklsTTBFbE1qSkpkV1ZMU0hsdlltTndNakE1TWpBNE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eU1tSnZiR1FsTWpJbE0wRjBjblZsSlRKREpUSXljMmw2WlNVeU1pVXpRVEU0SlRkRUpUSkRKVEl5ZEdWNGRFSnNiMk5ySlRJeUpUTkJKVFZDSlRkQ0pUSXljRzl6YVhScGIyNGxNaklsTTBFbE4wSWxNako0SlRJeUpUTkJNVEFsTWtNbE1qSjVKVEl5SlROQk1DVXlReVV5TW5jbE1qSWxNMEVsTWpKM0xUSXdKVEl5SlRKREpUSXlhQ1V5TWlVelFTVXlNbWdsTWpJbE4wUWxNa01sTWpKMFpYaDBKVEl5SlROQkpUSXlKVVUySlVJeUpVSTVKVVUxSlRnMkpVSTNKVVUxSlRrNUpVRTRKVVU0SlVFekpUZzFKVVU1SlRnMUpUaEV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VpWcHZVWFZWVms1TlFqWXdNRGMwTVNVeU1pVXpRU1UzUWlVeU1tbGtKVEl5SlROQkpUSXlaVnB2VVhWVlZrNU5Rall3TURjME1TVXlNaVV5UXlVeU1tNWhiV1VsTWpJbE0wRWxNakp5WldOMFlXNW5iR1VsTWpJbE1rTWxNakowYVhSc1pTVXlNaVV6UVNVeU1pVkZOeVU1UmlWQk9TVkZOU1ZDUkNWQk1p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MGFrVjBTMGxVUkVwT01UQXpOREE0SlRJeUpUZEVKVEpESlRkQ0pUSXlibUZ0WlNVeU1pVXpRU1V5TWlWRk5TVTVNQ1U0UkNWRk55VkJOeVZDTUNVeU1pVXlReVV5TW5SNWNHVWxNaklsTTBFbE1qSnpkSEpwYm1jbE1qSWxNa01sTWpKMllXeDFaU1V5TWlVelFTVXlNaVV5TWlVeVF5VXlNbU5oZEdWbmIzSjVKVEl5SlROQkpUSXlaR1ZtWVhWc2RDVXlNaVV5UXlVeU1tbGtKVEl5SlROQkpUSXlhMmRpY0hWVVdWVkllVGsxTmpJNE1D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1qSmliMnhrSlRJeUpUTkJkSEoxWlNVeVF5VXlNbk5wZW1VbE1qSWxNMEV4T0NVM1JDVXlReVV5TW5SbGVIUkNiRzlqYXlVeU1pVXpRU1UxUWlVM1FpVXlNbkJ2YzJsMGFXOXVKVEl5SlROQkpUZENKVEl5ZUNVeU1pVXpRVEV3SlRKREpUSXllU1V5TWlVelFUQWxNa01sTWpKM0pUSXlKVE5CSlRJeWR5MHlNQ1V5TWlVeVF5VXlNbWdsTWpJbE0wRWxNakpvSlRJeUpUZEVKVEpESlRJeWRHVjRkQ1V5TWlVelFTVXlNaVZGTlNWQlJTVTRPU1ZGT0NWQk55VTROQ1ZGTmlWQ05TVTRRaVZGT0NWQlJpVTVOU1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tVk5ZbkZWUzAxaWJHMDVOemsyT0RVbE1qSWxNMEVsTjBJbE1qSnBaQ1V5TWlVelFTVXlNbVZOWW5GVlMwMWliRzA1TnprMk9EVWxNaklsTWtNbE1qSnVZVzFsSlRJeUpUTkJKVEl5Y21WamRHRnVaMnhsSlRJeUpUSkRKVEl5ZEdsMGJHVWxNaklsTTBFbE1q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NGaDRRbTlWUW1kR2R6azJORGczT0NVeU1pVTNSQ1V5UXlVM1FpVXlNbTVoYldVbE1qSWxNMEVsTWpJbFJUVWxPVEFsT0VRbFJUY2xRVGNsUWpBbE1qSWxNa01sTWpKMGVYQmxKVEl5SlROQkpUSXljM1J5YVc1bkpUSXlKVEpESlRJeWRtRnNkV1VsTWpJbE0wRWxNaklsTWpJbE1rTWxNakpqWVhSbFoyOXllU1V5TWlVelFTVXlNbVJsWm1GMWJIUWxNaklsTWtNbE1qSnBaQ1V5TWlVelFTVXlNa2hPUWtOblpVOXJUMDR6TmpjNU5Ea2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ZbTlzWkNVeU1pVXpRWFJ5ZFdVbE1rTWxNakp6YVhwbEpUSXlKVE5CTVRnbE4wUWxNa01sTWpKMFpYaDBRbXh2WTJzbE1qSWxNMEVsTlVJbE4wSWxNakp3YjNOcGRHbHZiaVV5TWlVelFTVTNRaVV5TW5nbE1qSWxNMEV4TUNVeVF5VXlNbmtsTWpJbE0wRXdKVEpESlRJeWR5VXlNaVV6UVNVeU1uY3RNakFsTWpJbE1rTWxNakpvSlRJeUpUTkJKVEl5YUNVeU1pVTNSQ1V5UXlVeU1uUmxlSFFsTWpJbE0wRWxNaklsUlRZbFFqQWxPVFFsUlRVbFFVWWxPRFlsUlRZbE9EQWxRVGNsUlRZbFFUTWxPREFsUlRZbFFqVWxPRUl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kJhMjlZWm1aNVdtcGFPVEkyTURVMEpUSXlKVE5CSlRkQ0pUSXlhV1FsTWpJbE0wRWxNakpCYTI5WVptWjVXbXBhT1RJMk1EVTB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ucHJVMHB2YjBwVmNFWTFOREkzTWpJbE1qSWxOMFFsTWtNbE4wSWxNakp1WVcxbEpUSXlKVE5CSlRJeUpVVTFKVGt3SlRoRUpVVTNKVUUzSlVJd0pUSXlKVEpESlRJeWRIbHdaU1V5TWlVelFTVXlNbk4wY21sdVp5VXlNaVV5UXlVeU1uWmhiSFZsSlRJeUpUTkJKVEl5SlRJeUpUSkRKVEl5WTJGMFpXZHZjbmtsTWpJbE0wRWxNakprWldaaGRXeDBKVEl5SlRKREpUSXlhV1FsTWpJbE0wRWxNakpQYTNaUWVITlBkRzF1TlRRek16RTJ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XlNbUp2YkdRbE1qSWxNMEYwY25WbEpUSkRKVEl5YzJsNlpTVXlNaVV6UVRFNEpUZEVKVEpESlRJeWRHVjRkRUpzYjJOckpUSXlKVE5CSlRWQ0pUZENKVEl5Y0c5emFYUnBiMjRsTWpJbE0wRWxOMElsTWpKNEpUSXlKVE5CTVRBbE1rTWxNako1SlRJeUpUTkJNQ1V5UXlVeU1uY2xNaklsTTBFbE1qSjNMVEl3SlRJeUpUSkRKVEl5YUNVeU1pVXpRU1V5TW1nbE1qSWxOMFFsTWtNbE1qSjBaWGgwSlRJeUpUTkJKVEl5VFVOVkpVVTRKVUV6SlRnMUpVVTVKVGcxSlRoRU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YjFWQ1pWcFJSM1ZFUlRNME9UUTBOU1V5TWlVelFTVTNRaVV5TW1sa0pUSXlKVE5CSlRJeWIxVkNaVnBSUjNWRVJUTTBPVFEwTlNVeU1pVXlReVV5TW01aGJXVWxNaklsTTBFbE1qSnlaV04wWVc1bmJHVWxNaklsTWtNbE1qSjBhWFJzWlNVeU1pVXpRU1V5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3Y0daUmIyaGhjblIzTVRVME56SXpKVEl5SlRkRUpUSkRKVGRDSlRJeWJtRnRaU1V5TWlVelFTVXlNaVZGTlNVNU1DVTRSQ1ZGTnlWQk55VkNNQ1V5TWlVeVF5VXlNblI1Y0dVbE1qSWxNMEVsTWpKemRISnBibWNsTWpJbE1rTWxNakoyWVd4MVpTVXlNaVV6UVNVeU1pVXlNaVV5UXlVeU1tTmhkR1ZuYjNKNUpUSXlKVE5CSlRJeVpHVm1ZWFZzZENVeU1pVXlReVV5TW1sa0pUSXlKVE5CSlRJeVpYTjZiSFp5V1ZKSmRUa3hNRGM1TlN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aWIyeGtKVEl5SlROQmRISjFaU1V5UXlVeU1uTnBlbVVsTWpJbE0wRXhPQ1UzUkNVeVF5VXlNblJsZUhSQ2JHOWpheVV5TWlVelFTVTFRaVUzUWlVeU1uQnZjMmwwYVc5dUpUSXlKVE5CSlRkQ0pUSXllQ1V5TWlVelFURXdKVEpESlRJeWVTVXlNaVV6UVRBbE1rTWxNakozSlRJeUpUTkJKVEl5ZHkweU1DVXlNaVV5UXlVeU1tZ2xNaklsTTBFbE1qSm9KVEl5SlRkRUpUSkRKVEl5ZEdWNGRDVXlNaVV6UVNVeU1pVkZOeVZCTmlWQ1FpVkZOU1ZCTXlWQ015VkZOU1U0T0NVNE5pVkZPQ1ZCTXlVNE5T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s5eVJXSnFjSFY0UW1vek5qazNPRElsTWpJbE0wRWxOMElsTWpKcFpDVXlNaVV6UVNVeU1rOXlSV0pxY0hWNFFtb3pOamszT0RJbE1qSWxNa01sTWpKdVlXMWxKVEl5SlROQkpUSXljbVZqZEdGdVoyeGxKVEl5SlRKREpUSXlkR2wwYkdVbE1qSWxNMEVsTWp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VDNkcVNYRnhia2xLZFRreU1qVXhOQ1V5TWlVM1JDVXlReVUzUWlVeU1tNWhiV1VsTWpJbE0wRWxNaklsUlRVbE9UQWxPRVFsUlRjbFFUY2xRakFsTWpJbE1rTWxNakowZVhCbEpUSXlKVE5CSlRJeWMzUnlhVzVuSlRJeUpUSkRKVEl5ZG1Gc2RXVWxNaklsTTBFbE1qSWxNaklsTWtNbE1qSmpZWFJsWjI5eWVTVXlNaVV6UVNVeU1tUmxabUYxYkhRbE1qSWxNa01sTWpKcFpDVXlNaVV6UVNVeU1uRnJSbHAwWkZsTWFGUXpNak0yTURr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ZbTlzWkNVeU1pVXpRWFJ5ZFdVbE1rTWxNakp6YVhwbEpUSXlKVE5CTVRnbE4wUWxNa01sTWpKMFpYaDBRbXh2WTJzbE1qSWxNMEVsTlVJbE4wSWxNakp3YjNOcGRHbHZiaVV5TWlVelFTVTNRaVV5TW5nbE1qSWxNMEV4TUNVeVF5VXlNbmtsTWpJbE0wRXdKVEpESlRJeWR5VXlNaVV6UVNVeU1uY3RNakFsTWpJbE1rTWxNakpvSlRJeUpUTkJKVEl5YUNVeU1pVTNSQ1V5UXlVeU1uUmxlSFFsTWpJbE0wRWxNakpGVFRFbFJUa2xRVGtsUWpFbFJUVWxPRUVsUVRnbFJUZ2xRa1FsUWpRbFJUVWxPRGdsT0RZbFJUZ2xRVE1sT0RV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zWldKM2QxcFhiRVpuTURFeU5qTXlKVEl5SlROQkpUZENKVEl5YVdRbE1qSWxNMEVsTWpKc1pXSjNkMXBYYkVabk1ERXlOak15SlRJeUpUSkRKVEl5Ym1GdFpTVXlNaVV6UVNVeU1uSmxZM1JoYm1kc1pTVXlNaVV5UXlVeU1uUnBkR3hsSlRJeUpUTkJKVEl5SlVVM0pUbEdKVUU1SlVVMUpVSkVKVUV5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TF5ZFVsWFNHUjZTMUF4TWpjMU9UUWxNaklsTjBRbE1rTWxOMElsTWpKdVlXMWxKVEl5SlROQkpUSXlKVVUxSlRrd0pUaEVKVVUzSlVFM0pVSXdKVEl5SlRKREpUSXlkSGx3WlNVeU1pVXpRU1V5TW5OMGNtbHVaeVV5TWlVeVF5VXlNblpoYkhWbEpUSXlKVE5CSlRJeUpUSXlKVEpESlRJeVkyRjBaV2R2Y25rbE1qSWxNMEVsTWpKa1pXWmhkV3gwSlRJeUpUSkRKVEl5YVdRbE1qSWxNMEVsTWpKV1dHTjFWMHQ2ZFVoMU16Y3dNRFl5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eU1tSnZiR1FsTWpJbE0wRjBjblZsSlRKREpUSXljMmw2WlNVeU1pVXpRVEU0SlRkRUpUSkRKVEl5ZEdWNGRFSnNiMk5ySlRJeUpUTkJKVFZDSlRkQ0pUSXljRzl6YVhScGIyNGxNaklsTTBFbE4wSWxNako0SlRJeUpUTkJNVEFsTWtNbE1qSjVKVEl5SlROQk1DVXlReVV5TW5jbE1qSWxNMEVsTWpKM0xUSXdKVEl5SlRKREpUSXlhQ1V5TWlVelFTVXlNbWdsTWpJbE4wUWxNa01sTWpKMFpYaDBKVEl5SlROQkpUSXlKVVU0SlVKRkpUa3pKVVUxSlRnMUpVRTFKVVU0SlVKRUpVSTBKVVUxSlRnNEpUZzJKVVU0SlVFekpUZzF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VlteHFlRzExY2tGYVZ6QXdOamN3TUNVeU1pVXpRU1UzUWlVeU1tbGtKVEl5SlROQkpUSXlZbXhxZUcxMWNrRmFWekF3Tmpjd01DVXlNaVV5UXlVeU1tNWhiV1VsTWpJbE0wRWxNakp5WldOMFlXNW5iR1VsTWpJbE1rTWxNakowYVhSc1pTVXlNaVV6UVNVeU1pVkZOeVU1UmlWQk9TVkZOU1ZDUkNWQk1p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NmFXdE9iRVJ5V0VwQ09URXdPVFEzSlRJeUpUZEVKVEpESlRkQ0pUSXlibUZ0WlNVeU1pVXpRU1V5TWlWRk5TVTVNQ1U0UkNWRk55VkJOeVZDTUNVeU1pVXlReVV5TW5SNWNHVWxNaklsTTBFbE1qSnpkSEpwYm1jbE1qSWxNa01sTWpKMllXeDFaU1V5TWlVelFTVXlNaVV5TWlVeVF5VXlNbU5oZEdWbmIzSjVKVEl5SlROQkpUSXlaR1ZtWVhWc2RDVXlNaVV5UXlVeU1tbGtKVEl5SlROQkpUSXljSFZYVjFSNVJFaDNlRGcxT1RBME5p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V5TW1KdmJHUWxNaklsTTBGMGNuVmxKVEpESlRJeWMybDZaU1V5TWlVelFURTRKVGRFSlRKREpUSXlkR1Y0ZEVKc2IyTnJKVEl5SlROQkpUVkNKVGRDSlRJeWNHOXphWFJwYjI0bE1qSWxNMEVsTjBJbE1qSjRKVEl5SlROQk1UQWxNa01sTWpKNUpUSXlKVE5CTUNVeVF5VXlNbmNsTWpJbE0wRWxNakozTFRJd0pUSXlKVEpESlRJeWFDVXlNaVV6UVNVeU1tZ2xNaklsTjBRbE1rTWxNakowWlhoMEpUSXlKVE5CSlRJeUpVVTFKVUkzSlVGRkpVVTVKVGd3SlRsR0pVVTFKVGs1SlVFNEpVVTFKVGc0SlRnMkpVVTRKVUV6SlRnMU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UVZoTWJrcHNXWE5hVWprd01EQXhOeVV5TWlVelFTVTNRaVV5TW1sa0pUSXlKVE5CSlRJeVFWaE1ia3BzV1hOYVVqa3dNREF4TnlVeU1pVXlReVV5TW01aGJXVWxNaklsTTBFbE1qSnlaV04wWVc1bmJHVWxNaklsTWtNbE1qSjBhWFJzWlNVeU1pVXpRU1V5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YVW1sQlRWbEZiSEpWTnpVek9ESTRKVEl5SlRkRUpUSkRKVGRDSlRJeWJtRnRaU1V5TWlVelFTVXlNaVZGTlNVNU1DVTRSQ1ZGTnlWQk55VkNNQ1V5TWlVeVF5VXlNblI1Y0dVbE1qSWxNMEVsTWpKemRISnBibWNsTWpJbE1rTWxNakoyWVd4MVpTVXlNaVV6UVNVeU1pVXlNaVV5UXlVeU1tTmhkR1ZuYjNKNUpUSXlKVE5CSlRJeVpHVm1ZWFZzZENVeU1pVXlReVV5TW1sa0pUSXlKVE5CSlRJeWIwUjBTVXhxUW1kdGF6UXdNREl3TVN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NakppYjJ4a0pUSXlKVE5CZEhKMVpTVXlReVV5TW5OcGVtVWxNaklsTTBFeE9DVTNSQ1V5UXlVeU1uUmxlSFJDYkc5amF5VXlNaVV6UVNVMVFpVTNRaVV5TW5CdmMybDBhVzl1SlRJeUpUTkJKVGRDSlRJeWVDVXlNaVV6UVRFd0pUSkRKVEl5ZVNVeU1pVXpRVEFsTWtNbE1qSjNKVEl5SlROQkpUSXlkeTB5TUNVeU1pVXlReVV5TW1nbE1qSWxNMEVsTWpKb0pUSXlKVGRFSlRKREpUSXlkR1Y0ZENVeU1pVXpRU1V5TWlWRk55VTVOQ1ZDTlNWRk9TVkJPU1ZDTVNWRk5TVTRRU1ZCT0NWRk9DVkNSU1U1TXlWRk5TVTROeVZDUVNWRk9DVkNSQ1ZDTkNWRk5TVTRPQ1U0TmlWRk9DVkJNeVU0TlN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bkJzV1hCYVFXSmljWGcwTURFeU5EY2xNaklsTTBFbE4wSWxNakpwWkNVeU1pVXpRU1V5TW5Cc1dYQmFRV0ppY1hnME1ERXlORGNsTWpJbE1rTWxNakp1WVcxbEpUSXlKVE5CSlRJeWNtVmpkR0Z1WjJ4bEpUSXlKVEpESlRJeWRHbDBiR1VsTWpJbE0wRWxNaklsUlRjbE9VWWxRVGtsUlRVbFFrUWxRVEl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RM1pxWTNWMWNWcGtaRFV4TVRjd05DVXlNaVUzUkNVeVF5VTNRaVV5TW01aGJXVWxNaklsTTBFbE1qSWxSVFVsT1RBbE9FUWxSVGNsUVRjbFFqQWxNaklsTWtNbE1qSjBlWEJsSlRJeUpUTkJKVEl5YzNSeWFXNW5KVEl5SlRKREpUSXlkbUZzZFdVbE1qSWxNMEVsTWpJbE1qSWxNa01sTWpKallYUmxaMjl5ZVNVeU1pVXpRU1V5TW1SbFptRjFiSFFsTWpJbE1rTWxNakpwWkNVeU1pVXpRU1V5TW1kWmIyMURWSFZDYUhNM01EZ3hNRFF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JeVltOXNaQ1V5TWlVelFYUnlkV1VsTWtNbE1qSnphWHBsSlRJeUpUTkJNVGdsTjBRbE1rTWxNakowWlhoMFFteHZZMnNsTWpJbE0wRWxOVUlsTjBJbE1qSndiM05wZEdsdmJpVXlNaVV6UVNVM1FpVXlNbmdsTWpJbE0wRXhNQ1V5UXlVeU1ua2xNaklsTTBFd0pUSkRKVEl5ZHlVeU1pVXpRU1V5TW5jdE1qQWxNaklsTWtNbE1qSm9KVEl5SlROQkpUSXlhQ1V5TWlVM1JDVXlReVV5TW5SbGVIUWxNaklsTTBFbE1qSkZUVElsUlRrbFFUa2xRakVsUlRVbE9FRWxRVGdsUlRnbFFrUWxRalFsUlRVbE9EZ2xPRFlsUlRnbFFUTWxPRFV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lVlbTVPYVVsT1UzbFhOelk0TXpnNEpUSXlKVE5CSlRkQ0pUSXlhV1FsTWpJbE0wRWxNakpVZW01T2FVbE9VM2xYTnpZNE16ZzR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rbDNiRXQyU0ZOaVUyMDNORFF3T0RNbE1qSWxOMFFsTWtNbE4wSWxNakp1WVcxbEpUSXlKVE5CSlRJeUpVVTFKVGt3SlRoRUpVVTNKVUUzSlVJd0pUSXlKVEpESlRJeWRIbHdaU1V5TWlVelFTVXlNbk4wY21sdVp5VXlNaVV5UXlVeU1uWmhiSFZsSlRJeUpUTkJKVEl5SlRJeUpUSkRKVEl5WTJGMFpXZHZjbmtsTWpJbE0wRWxNakprWldaaGRXeDBKVEl5SlRKREpUSXlhV1FsTWpJbE0wRWxNakp0WWxCa2RIVmliMlpSTURZMk9EZ3l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El5WW05c1pDVXlNaVV6UVhSeWRXVWxNa01sTWpKemFYcGxKVEl5SlROQk1UZ2xOMFFsTWtNbE1qSjBaWGgwUW14dlkyc2xNaklsTTBFbE5VSWxOMElsTWpKd2IzTnBkR2x2YmlVeU1pVXpRU1UzUWlVeU1uZ2xNaklsTTBFeE1DVXlReVV5TW5rbE1qSWxNMEV3SlRKREpUSXlkeVV5TWlVelFTVXlNbmN0TWpBbE1qSWxNa01sTWpKb0pUSXlKVE5CSlRJeWFDVXlNaVUzUkNVeVF5VXlNblJsZUhRbE1qSWxNMEVsTWpJbFJUVWxPRVlsT1RnbFJUa2xPREFsT1VZbFJUY2xRVVVsUWpFbFJUVWxPRUVsUVRBbFJUWWxRaklsUWpr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ozWTJ0alltaE9USFp5TURJek5UVTBKVEl5SlROQkpUZENKVEl5YVdRbE1qSWxNMEVsTWpKM1kydGpZbWhPVEhaeU1ESXpOVFUwSlRJeUpUSkRKVEl5Ym1GdFpTVXlNaVV6UVNVeU1uSmxZM1JoYm1kc1pTVXlNaVV5UXlVeU1uUnBkR3hsSlRJeUpUTkJKVEl5SlVVM0pUbEdKVUU1SlVVMUpVSkVKVUV5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FJHVFZGRlowRkVVM2szTURZeU5qZ2xNaklsTjBRbE1rTWxOMElsTWpKdVlXMWxKVEl5SlROQkpUSXlKVVUxSlRrd0pUaEVKVVUzSlVFM0pVSXdKVEl5SlRKREpUSXlkSGx3WlNVeU1pVXpRU1V5TW5OMGNtbHVaeVV5TWlVeVF5VXlNblpoYkhWbEpUSXlKVE5CSlRJeUpUSXlKVEpESlRJeVkyRjBaV2R2Y25rbE1qSWxNMEVsTWpKa1pXWmhkV3gwSlRJeUpUSkRKVEl5YVdRbE1qSWxNMEVsTWpKQlQwVlhaM2x6VG01ak5EY3dOVE0x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eU1tSnZiR1FsTWpJbE0wRjBjblZsSlRKREpUSXljMmw2WlNVeU1pVXpRVEU0SlRkRUpUSkRKVEl5ZEdWNGRFSnNiMk5ySlRJeUpUTkJKVFZDSlRkQ0pUSXljRzl6YVhScGIyNGxNaklsTTBFbE4wSWxNako0SlRJeUpUTkJNVEFsTWtNbE1qSjVKVEl5SlROQk1DVXlReVV5TW5jbE1qSWxNMEVsTWpKM0xUSXdKVEl5SlRKREpUSXlhQ1V5TWlVelFTVXlNbWdsTWpJbE4wUWxNa01sTWpKMFpYaDBKVEl5SlROQkpUSXlSVTlNSlVVMkpVSTFKVGhDSlVVNEpVRkdKVGsx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WMXBHUW1wVWFFaFhkalEzTkRFNU1pVXlNaVV6UVNVM1FpVXlNbWxrSlRJeUpUTkJKVEl5VjFwR1FtcFVhRWhYZGpRM05ERTVNaVV5TWlVeVF5VXlNbTVoYldVbE1qSWxNMEVsTWpKeVpXTjBZVzVuYkdVbE1qSWxNa01sTWpKMGFYUnNaU1V5TWlVelFTVXlNaVZGTnlVNVJpVkJPU1ZGTlNWQ1JDVkJNa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mlkbGhNY2t0TVZIUnZNVGMyTkRNNEpUSXlKVGRFSlRKREpUZENKVEl5Ym1GdFpTVXlNaVV6UVNVeU1pVkZOU1U1TUNVNFJDVkZOeVZCTnlWQ01DVXlNaVV5UXlVeU1uUjVjR1VsTWpJbE0wRWxNakp6ZEhKcGJtY2xNaklsTWtNbE1qSjJZV3gxWlNVeU1pVXpRU1V5TWlVeU1pVXlReVV5TW1OaGRHVm5iM0o1SlRJeUpUTkJKVEl5WkdWbVlYVnNkQ1V5TWlVeVF5VXlNbWxrSlRJeUpUTkJKVEl5Y21kaVRHRnFjRlppVXpFMk16RTJPQ1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El5WW05c1pDVXlNaVV6UVhSeWRXVWxNa01sTWpKemFYcGxKVEl5SlROQk1UZ2xOMFFsTWtNbE1qSjBaWGgwUW14dlkyc2xNaklsTTBFbE5VSWxOMElsTWpKd2IzTnBkR2x2YmlVeU1pVXpRU1UzUWlVeU1uZ2xNaklsTTBFeE1DVXlReVV5TW5rbE1qSWxNMEV3SlRKREpUSXlkeVV5TWlVelFTVXlNbmN0TWpBbE1qSWxNa01sTWpKb0pUSXlKVE5CSlRJeWFDVXlNaVUzUkNVeVF5VXlNblJsZUhRbE1qSWxNMEVsTWpJbFJUZ2xRVGNsT0RZbFJUZ2xRVGNsT0RrbFJUWWxRVE1sT0RBbFJUWWxRalVsT0VJ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RYjBaMGVteE5RbmxZTURBMU1USXpKVEl5SlROQkpUZENKVEl5YVdRbE1qSWxNMEVsTWpKUWIwWjBlbXhOUW5sWU1EQTFNVEl6SlRJeUpUSkRKVEl5Ym1GdFpTVXlNaVV6UVNVeU1uSmxZM1JoYm1kc1pTVXlNaVV5UXlVeU1uUnBkR3hsSlRJeUpUTkJKVEl5SlVVM0pUbEdKVUU1SlVVMUpVSkVKVUV5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nBWVFdsSVpXdEtaMjR5TURjNU9UUWxNaklsTjBRbE1rTWxOMElsTWpKdVlXMWxKVEl5SlROQkpUSXlKVVUxSlRrd0pUaEVKVVUzSlVFM0pVSXdKVEl5SlRKREpUSXlkSGx3WlNVeU1pVXpRU1V5TW5OMGNtbHVaeVV5TWlVeVF5VXlNblpoYkhWbEpUSXlKVE5CSlRJeUpUSXlKVEpESlRJeVkyRjBaV2R2Y25rbE1qSWxNMEVsTWpKa1pXWmhkV3gwSlRJeUpUSkRKVEl5YVdRbE1qSWxNMEVsTWpKS2FWbDRUa1JSVG1sQk9ESXdPRFl5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aWIyeGtKVEl5SlROQmRISjFaU1V5UXlVeU1uTnBlbVVsTWpJbE0wRXhPQ1UzUkNVeVF5VXlNblJsZUhSQ2JHOWpheVV5TWlVelFTVTFRaVUzUWlVeU1uQnZjMmwwYVc5dUpUSXlKVE5CSlRkQ0pUSXllQ1V5TWlVelFURXdKVEpESlRJeWVTVXlNaVV6UVRBbE1rTWxNakozSlRJeUpUTkJKVEl5ZHkweU1DVXlNaVV5UXlVeU1tZ2xNaklsTTBFbE1qSm9KVEl5SlRkRUpUSkRKVEl5ZEdWNGRDVXlNaVV6UVNVeU1pVkZOaVU0TUNWQ1FpVkZOaVU0T0NVNU1DVkZOQ1ZDT0NVNFFpVkZOeVZDUVNWQ1Jp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xWbGVFeExlRzlJYzNZNU1qVTNNRElsTWpJbE0wRWxOMElsTWpKcFpDVXlNaVV6UVNVeU1sVmxlRXhMZUc5SWMzWTVNalUzTURJbE1qSWxNa01sTWpKdVlXMWxKVEl5SlROQkpUSXljbVZqZEdGdVoyeGxKVEl5SlRKREpUSXlkR2wwYkdVbE1qSWxNMEVsTWp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WTNCdFUxWk1ZVVZxZFRJME5qVTFPQ1V5TWlVM1JDVXlReVUzUWlVeU1tNWhiV1VsTWpJbE0wRWxNaklsUlRVbE9UQWxPRVFsUlRjbFFUY2xRakFsTWpJbE1rTWxNakowZVhCbEpUSXlKVE5CSlRJeWMzUnlhVzVuSlRJeUpUSkRKVEl5ZG1Gc2RXVWxNaklsTTBFbE1qSWxNaklsTWtNbE1qSmpZWFJsWjI5eWVTVXlNaVV6UVNVeU1tUmxabUYxYkhRbE1qSWxNa01sTWpKcFpDVXlNaVV6UVNVeU1scE9hbGw0V1hoWGMwMHdNakF6TXpj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jMmw2WlNVeU1pVXpRVEl3SlRkRUpUSkRKVEl5ZEdWNGRFSnNiMk5ySlRJeUpUTkJKVFZDSlRkQ0pUSXljRzl6YVhScGIyNGxNaklsTTBFbE4wSWxNako0SlRJeUpUTkJNVEFsTWtNbE1qSjVKVEl5SlROQk1DVXlReVV5TW5jbE1qSWxNMEVsTWpKM0xUSXdKVEl5SlRKREpUSXlhQ1V5TWlVelFTVXlNbWdsTWpJbE4wUWxNa01sTWpKMFpYaDBKVEl5SlROQkpUSXlSeklsUlRVbFFrRWxPVVlsUlRZbFFqQWxPVFF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nVaVlpPY0VGWmRHVklORFE1TkRRNEpUSXlKVE5CSlRkQ0pUSXlhV1FsTWpJbE0wRWxNakp1WlZaT2NFRlpkR1ZJTkRRNU5EUTR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tZDRkMHhXUTJKNVVGSTVOekF6T1RRbE1qSWxOMFFsTWtNbE4wSWxNakp1WVcxbEpUSXlKVE5CSlRJeUpVVTFKVGt3SlRoRUpVVTNKVUUzSlVJd0pUSXlKVEpESlRJeWRIbHdaU1V5TWlVelFTVXlNbk4wY21sdVp5VXlNaVV5UXlVeU1uWmhiSFZsSlRJeUpUTkJKVEl5SlRJeUpUSkRKVEl5WTJGMFpXZHZjbmtsTWpJbE0wRWxNakprWldaaGRXeDBKVEl5SlRKREpUSXlhV1FsTWpJbE0wRWxNakowV0hSc1NXcERhMmRyT1RJek56ZzJ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Nakp6YVhwbEpUSXlKVE5CTWpBbE4wUWxNa01sTWpKMFpYaDBRbXh2WTJzbE1qSWxNMEVsTlVJbE4wSWxNakp3YjNOcGRHbHZiaVV5TWlVelFTVTNRaVV5TW5nbE1qSWxNMEV4TUNVeVF5VXlNbmtsTWpJbE0wRXdKVEpESlRJeWR5VXlNaVV6UVNVeU1uY3RNakFsTWpJbE1rTWxNakpvSlRJeUpUTkJKVEl5YUNVeU1pVTNSQ1V5UXlVeU1uUmxlSFFsTWpJbE0wRWxNakpITVNWRk5TVkNRU1U1UmlWRk5pVkNNQ1U1TkN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a2wxVEZweFVuQk1kVTAxTVRFNE5EUWxNaklsTTBFbE4wSWxNakpwWkNVeU1pVXpRU1V5TWtsMVRGcHhVbkJNZFUwMU1URTRORFFsTWpJbE1rTWxNakp1WVcxbEpUSXlKVE5CSlRJeWNtVmpkR0Z1WjJ4bEpUSXlKVEpESlRJeWRHbDBiR1VsTWpJbE0wRWxNaklsUlRjbE9VWWxRVGtsUlRVbFFrUWxRVEl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UV05tYVVaRFJHSnlUVGczTkRBME15VXlNaVUzUkNVeVF5VTNRaVV5TW01aGJXVWxNaklsTTBFbE1qSWxSVFVsT1RBbE9FUWxSVGNsUVRjbFFqQWxNaklsTWtNbE1qSjBlWEJsSlRJeUpUTkJKVEl5YzNSeWFXNW5KVEl5SlRKREpUSXlkbUZzZFdVbE1qSWxNMEVsTWpJbE1qSWxNa01sTWpKallYUmxaMjl5ZVNVeU1pVXpRU1V5TW1SbFptRjFiSFFsTWpJbE1rTWxNakpwWkNVeU1pVXpRU1V5TWt0VGRsSkthSE40VVdNNE9EZzFORFF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emFYcGxKVEl5SlROQk1qQWxOMFFsTWtNbE1qSjBaWGgwUW14dlkyc2xNaklsTTBFbE5VSWxOMElsTWpKd2IzTnBkR2x2YmlVeU1pVXpRU1UzUWlVeU1uZ2xNaklsTTBFeE1DVXlReVV5TW5rbE1qSWxNMEV3SlRKREpUSXlkeVV5TWlVelFTVXlNbmN0TWpBbE1qSWxNa01sTWpKb0pUSXlKVE5CSlRJeWFDVXlNaVUzUkNVeVF5VXlNblJsZUhRbE1qSWxNMEVsTWpKSE1TVkZOU1ZDUVNVNVJpVkZOaVZDTUNVNU5D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1sNFJXUm9hMlozUmtjME1ETTJNakFsTWpJbE0wRWxOMElsTWpKcFpDVXlNaVV6UVNVeU1tbDRSV1JvYTJaM1JrYzBNRE0yTWpBbE1qSWxNa01sTWpKdVlXMWxKVEl5SlROQkpUSXlkR1Y0ZENVeU1pVXlReVV5TW5ScGRHeGxKVEl5SlROQkpUSXlKVVUySlRrMkpUZzNKVVUySlRsREpVRkR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uaGtlSGxQVUZkTVNXWTFPREkzTkRNbE1qSWxOMFFsTWtNbE4wSWxNakp1WVcxbEpUSXlKVE5CSlRJeUpVVTFKVGt3SlRoRUpVVTNKVUUzSlVJd0pUSXlKVEpESlRJeWRIbHdaU1V5TWlVelFTVXlNbk4wY21sdVp5VXlNaVV5UXlVeU1uWmhiSFZsSlRJeUpUTkJKVEl5SlRJeUpUSkRKVEl5WTJGMFpXZHZjbmtsTWpJbE0wRWxNakprWldaaGRXeDBKVEl5SlRKREpUSXlhV1FsTWpJbE0wRWxNakprVmxSWGJuRkNaMEZtTVRRM01qazV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iR2x1WlZOMGVXeGxKVEl5SlROQkpUZENKVEl5YkdsdVpWZHBaSFJvSlRJeUpUTkJNQ1UzUkNVeVF5VXlNbVpwYkd4VGRIbHNaU1V5TWlVelFTVTNRaVV5TW5SNWNHVWxNaklsTTBFbE1qSnViMjVsSlRJeUpUZEVKVEpE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1qSmpiMnh2Y2lVeU1pVXpRU1V5TWpJek1TVXlRemM1SlRKRE56WWxNaklsTWtNbE1qSnphWHBsSlRJeUpUTkJNakFsTjBRbE1rTWxNakowWlhoMFFteHZZMnNsTWpJbE0wRWxOVUlsTjBJbE1qSndiM05wZEdsdmJpVXlNaVV6UVNVM1FpVXlNbmdsTWpJbE0wRXdKVEpESlRJeWVTVXlNaVV6UVRBbE1rTWxNakozSlRJeUpUTkJKVEl5ZHlVeU1pVXlReVV5TW1nbE1qSWxNMEVsTWpKb0pUSXlKVGRFSlRKREpUSXlkR1Y0ZENVeU1pVXpRU1V5TWxNeEpVVkdKVUpESlRsQkpVVTBKVUk0SlRoRUpVVTFKVGt3SlRnNEpVVTJKVUV3SlVKREpVVTBKVUpCSlVFM0pVVTFKVGt6SlRneE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ZUdwdmRrOUtXbk5sU3pJd09UYzJOeVV5TWlVelFTVTNRaVV5TW1sa0pUSXlKVE5CSlRJeWVHcHZkazlLV25ObFN6SXdPVGMyTnlVeU1pVXlReVV5TW01aGJXVWxNaklsTTBFbE1qSjBaWGgwSlRJeUpUSkRKVEl5ZEdsMGJHVWxNaklsTTBFbE1qSWxSVFlsT1RZbE9EY2xSVFlsT1VNbFFVT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FVUm5jMnR0ZG01RGFEY3pNakV6TXlVeU1pVTNSQ1V5UXlVM1FpVXlNbTVoYldVbE1qSWxNMEVsTWpJbFJUVWxPVEFsT0VRbFJUY2xRVGNsUWpBbE1qSWxNa01sTWpKMGVYQmxKVEl5SlROQkpUSXljM1J5YVc1bkpUSXlKVEpESlRJeWRtRnNkV1VsTWpJbE0wRWxNaklsTWpJbE1rTWxNakpqWVhSbFoyOXllU1V5TWlVelFTVXlNbVJsWm1GMWJIUWxNaklsTWtNbE1qSnBaQ1V5TWlVelFTVXlNbWxZUzFSaVpHeFhjMjB3TWpVM09EV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XlNbU52Ykc5eUpUSXlKVE5CSlRJeU1qTXhKVEpETnprbE1rTTNOaVV5TWlVeVF5VXlNbk5wZW1VbE1qSWxNMEV5TUNVM1JDVXlReVV5TW5SbGVIUkNiRzlqYXlVeU1pVXpRU1UxUWlVM1FpVXlNbkJ2YzJsMGFXOXVKVEl5SlROQkpUZENKVEl5ZUNVeU1pVXpRVEFsTWtNbE1qSjVKVEl5SlROQk1DVXlReVV5TW5jbE1qSWxNMEVsTWpKM0pUSXlKVEpESlRJeWFDVXlNaVV6UVNVeU1tZ2xNaklsTjBRbE1rTWxNakowWlhoMEpUSXlKVE5CSlRJeVV6RWxSVVlsUWtNbE9VRWxSVFFsUWpnbE9FUWxSVFVsT1RBbE9EZ2xSVFlsUVRBbFFrTWxSVFFsUWtFbFFUY2xSVFVsT1RNbE9ER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SWJrUnlXVnBhZEVka01EUTROemMzSlRJeUpUTkJKVGRDSlRJeWFXUWxNaklsTTBFbE1qSklia1J5V1ZwYWRFZGtNRFE0TnpjM0pUSXlKVEpESlRJeWJtRnRaU1V5TWlVelFTVXlNblJsZUhRbE1qSWxNa01sTWpKMGFYUnNaU1V5TWlVelFTVXlNaVZGTmlVNU5pVTROeVZGTmlVNVF5VkJRe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m5aMWh4UmxacFdHeEtNemN3TlRVNUpUSXlKVGRFSlRKREpUZENKVEl5Ym1GdFpTVXlNaVV6UVNVeU1pVkZOU1U1TUNVNFJDVkZOeVZCTnlWQ01DVXlNaVV5UXlVeU1uUjVjR1VsTWpJbE0wRWxNakp6ZEhKcGJtY2xNaklsTWtNbE1qSjJZV3gxWlNVeU1pVXpRU1V5TWlVeU1pVXlReVV5TW1OaGRHVm5iM0o1SlRJeUpUTkJKVEl5WkdWbVlYVnNkQ1V5TWlVeVF5VXlNbWxrSlRJeUpUTkJKVEl5YTJKMFZFRjBXVmR5UnpjNE5UQTFOU1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XlNbU52Ykc5eUpUSXlKVE5CSlRJeU1qTXhKVEpETnprbE1rTTNOaVV5TWlVeVF5VXlNbk5wZW1VbE1qSWxNMEV5TUNVM1JDVXlReVV5TW5SbGVIUkNiRzlqYXlVeU1pVXpRU1UxUWlVM1FpVXlNbkJ2YzJsMGFXOXVKVEl5SlROQkpUZENKVEl5ZUNVeU1pVXpRVEFsTWtNbE1qSjVKVEl5SlROQk1DVXlReVV5TW5jbE1qSWxNMEVsTWpKM0pUSXlKVEpESlRJeWFDVXlNaVV6UVNVeU1tZ2xNaklsTjBRbE1rTWxNakowWlhoMEpUSXlKVE5CSlRJeVV6RWxSVVlsUWtNbE9VRWxSVFFsUWpnbE9FUWxSVFVsT1RBbE9EZ2xSVFlsUVRBbFFrTWxSVFFsUWtFbFFUY2xSVFVsT1RNbE9ER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bGExaFdWbWxTYkZOWU5EVTFPVGt4SlRJeUpUTkJKVGRDSlRJeWFXUWxNaklsTTBFbE1qSmxhMWhXVm1sU2JGTllORFUxT1RreEpUSXlKVEpESlRJeWJtRnRaU1V5TWlVelFTVXlNbkpsWTNSaGJtZHNaU1V5TWlVeVF5VXlNblJwZEd4bEpUSXlKVE5CSlRJ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5kR1UzVmhXV0pVVFZFeE5ERXhPVEVsTWpJbE4wUWxNa01sTjBJbE1qSnVZVzFsSlRJeUpUTkJKVEl5SlVVMUpUa3dKVGhFSlVVM0pVRTNKVUl3SlRJeUpUSkRKVEl5ZEhsd1pTVXlNaVV6UVNVeU1uTjBjbWx1WnlVeU1pVXlReVV5TW5aaGJIVmxKVEl5SlROQkpUSXlKVEl5SlRKREpUSXlZMkYwWldkdmNua2xNaklsTTBFbE1qSmtaV1poZFd4MEpUSXlKVEpESlRJeWFXUWxNaklsTTBFbE1qSlJWa0pFUkVaRVNFWlVPRFl3T1RZeU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kRUpUSkRKVEl5ZEdWNGRFSnNiMk5ySlRJeUpUTkJKVFZDSlRkQ0pUSXljRzl6YVhScGIyNGxNaklsTTBFbE4wSWxNako0SlRJeUpUTkJNVEFsTWtNbE1qSjVKVEl5SlROQk1DVXlReVV5TW5jbE1qSWxNMEVsTWpKM0xUSXdKVEl5SlRKREpUSXlhQ1V5TWlVelFTVXlNbWdsTWpJbE4wUWxNa01sTWpKMFpYaDBKVEl5SlROQkpUSXl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WNtcDVRbmhRUkVOSlJqSTROVGs0T1NVeU1pVXpRU1UzUWlVeU1tbGtKVEl5SlROQkpUSXljbXA1UW5oUVJFTkpSakk0TlRrNE9TVXlNaVV5UXlVeU1tNWhiV1VsTWpJbE0wRWxNakp5WldOMFlXNW5iR1VsTWpJbE1rTWxNakowYVhSc1pTVXlNaVV6UVNVeU1pVkZOeVU1UmlWQk9TVkZOU1ZDUkNWQk1p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aFRuaFFTR3htUTBGNU5qTTRORGM0SlRJeUpUZEVKVEpESlRkQ0pUSXlibUZ0WlNVeU1pVXpRU1V5TWlWRk5TVTVNQ1U0UkNWRk55VkJOeVZDTUNVeU1pVXlReVV5TW5SNWNHVWxNaklsTTBFbE1qSnpkSEpwYm1jbE1qSWxNa01sTWpKMllXeDFaU1V5TWlVelFTVXlNaVV5TWlVeVF5VXlNbU5oZEdWbmIzSjVKVEl5SlROQkpUSXlaR1ZtWVhWc2RDVXlNaVV5UXlVeU1tbGtKVEl5SlROQkpUSXlWWEJLZW10c1ZtOW5VRGd6TXpZME1D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kRUpUSkRKVEl5ZEdWNGRFSnNiMk5ySlRJeUpUTkJKVFZDSlRkQ0pUSXljRzl6YVhScGIyNGxNaklsTTBFbE4wSWxNako0SlRJeUpUTkJNVEFsTWtNbE1qSjVKVEl5SlROQk1DVXlReVV5TW5jbE1qSWxNMEVsTWpKM0xUSXdKVEl5SlRKREpUSXlhQ1V5TWlVelFTVXlNbWdsTWpJbE4wUWxNa01sTWpKMFpYaDBKVEl5SlROQkpUSXl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WRtOURTMjV4Y2tkbVF6azRNRGt5TUNVeU1pVXpRU1UzUWlVeU1tbGtKVEl5SlROQkpUSXlkbTlEUzI1eGNrZG1Rems0TURreU1DVXlNaVV5UXlVeU1tNWhiV1VsTWpJbE0wRWxNakp5WldOMFlXNW5iR1VsTWpJbE1rTWxNakowYVhSc1pTVXlNaVV6UVNVeU1pVkZOeVU1UmlWQk9TVkZOU1ZDUkNWQk1p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UlluTlpabkpWVlZCSk56ZzJPVE00SlRJeUpUZEVKVEpESlRkQ0pUSXlibUZ0WlNVeU1pVXpRU1V5TWlWRk5TVTVNQ1U0UkNWRk55VkJOeVZDTUNVeU1pVXlReVV5TW5SNWNHVWxNaklsTTBFbE1qSnpkSEpwYm1jbE1qSWxNa01sTWpKMllXeDFaU1V5TWlVelFTVXlNaVV5TWlVeVF5VXlNbU5oZEdWbmIzSjVKVEl5SlROQkpUSXlaR1ZtWVhWc2RDVXlNaVV5UXlVeU1tbGtKVEl5SlROQkpUSXlhM1JoWWs1aFZVcGtkemsxTlRreE1p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M1JDVXlReVV5TW5SbGVIUkNiRzlqYXlVeU1pVXpRU1UxUWlVM1FpVXlNbkJ2YzJsMGFXOXVKVEl5SlROQkpUZENKVEl5ZUNVeU1pVXpRVEV3SlRKREpUSXllU1V5TWlVelFUQWxNa01sTWpKM0pUSXlKVE5CSlRJeWR5MHlNQ1V5TWlVeVF5VXlNbWdsTWpJbE0wRWxNakpvSlRJeUpUZEVKVEpESlRJeWRHVjRkQ1V5TWlVelFTVXlNaV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taHNRWEZJYTJ0SVZHUTFNRGM1TkRFbE1qSWxNMEVsTjBJbE1qSnBaQ1V5TWlVelFTVXlNbWhzUVhGSWEydElWR1ExTURjNU5ERWxNaklsTWtNbE1qSnVZVzFsSlRJeUpUTkJKVEl5Y21WamRHRnVaMnhsSlRJeUpUSkRKVEl5ZEdsMGJHVWxNaklsTTBFbE1q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lXdFRaazlhUlVSYVVUazBOVFkyTUNVeU1pVTNSQ1V5UXlVM1FpVXlNbTVoYldVbE1qSWxNMEVsTWpJbFJUVWxPVEFsT0VRbFJUY2xRVGNsUWpBbE1qSWxNa01sTWpKMGVYQmxKVEl5SlROQkpUSXljM1J5YVc1bkpUSXlKVEpESlRJeWRtRnNkV1VsTWpJbE0wRWxNaklsTWpJbE1rTWxNakpqWVhSbFoyOXllU1V5TWlVelFTVXlNbVJsWm1GMWJIUWxNaklsTWtNbE1qSnBaQ1V5TWlVelFTVXlNblpvWW1SWGRHWldRM0kyTkRRME56a2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M1JDVXlReVV5TW5SbGVIUkNiRzlqYXlVeU1pVXpRU1UxUWlVM1FpVXlNbkJ2YzJsMGFXOXVKVEl5SlROQkpUZENKVEl5ZUNVeU1pVXpRVEV3SlRKREpUSXllU1V5TWlVelFUQWxNa01sTWpKM0pUSXlKVE5CSlRJeWR5MHlNQ1V5TWlVeVF5VXlNbWdsTWpJbE0wRWxNakpvSlRJeUpUZEVKVEpESlRJeWRHVjRkQ1V5TWlVelFTVXlNaV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uVk9UbXh1Wm5WRlVXUTRNVFU0TkRNbE1qSWxNMEVsTjBJbE1qSnBaQ1V5TWlVelFTVXlNblZPVG14dVpuVkZVV1E0TVRVNE5ETWxNaklsTWtNbE1qSnVZVzFsSlRJeUpUTkJKVEl5ZEdWNGRDVXlNaVV5UXlVeU1uUnBkR3hsSlRJeUpUTkJKVEl5SlVVMkpUazJKVGczSlVVMkpUbERKVUZE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k5VYUdaa2RsQm1TVU0yTnpReU5qVWxNaklsTjBRbE1rTWxOMElsTWpKdVlXMWxKVEl5SlROQkpUSXlKVVUxSlRrd0pUaEVKVVUzSlVFM0pVSXdKVEl5SlRKREpUSXlkSGx3WlNVeU1pVXpRU1V5TW5OMGNtbHVaeVV5TWlVeVF5VXlNblpoYkhWbEpUSXlKVE5CSlRJeUpUSXlKVEpESlRJeVkyRjBaV2R2Y25rbE1qSWxNMEVsTWpKa1pXWmhkV3gwSlRJeUpUSkRKVEl5YVdRbE1qSWxNMEVsTWpKV1RuVnpkSEZXY210UU5qWXpORGN5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XlNbk5wZW1VbE1qSWxNMEV4TlNVeVF5VXlNbUp2YkdRbE1qSWxNMEYwY25WbEpUZEVKVEpESlRJeWRHVjRkRUpzYjJOckpUSXlKVE5CSlRWQ0pUZENKVEl5Y0c5emFYUnBiMjRsTWpJbE0wRWxOMElsTWpKNEpUSXlKVE5CTUNVeVF5VXlNbmtsTWpJbE0wRXdKVEpESlRJeWR5VXlNaVV6UVNVeU1uY2xNaklsTWtNbE1qSm9KVEl5SlROQkpUSXlhQ1V5TWlVM1JDVXlReVV5TW5SbGVIUWxNaklsTTBFbE1qSWxSVFVsT0RnbE9EWWxSVGdsUVRNbE9EVWxSVGNsUWtFbFFrW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VFdYbHdkMGRUVjFwbE5USTJNekF4SlRJeUpUTkJKVGRDSlRJeWFXUWxNaklsTTBFbE1qSlRXWGx3ZDBkVFYxcGxOVEkyTXpBeEpUSXlKVEpESlRJeWJtRnRaU1V5TWlVelFTVXlNblJsZUhRbE1qSWxNa01sTWpKMGFYUnNaU1V5TWlVelFTVXlNaVZGTmlVNU5pVTROeVZGTmlVNVF5VkJRe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jBURXB4Wm1sRVYzWkdOamd6TlRJeEpUSXlKVGRFSlRKREpUZENKVEl5Ym1GdFpTVXlNaVV6UVNVeU1pVkZOU1U1TUNVNFJDVkZOeVZCTnlWQ01DVXlNaVV5UXlVeU1uUjVjR1VsTWpJbE0wRWxNakp6ZEhKcGJtY2xNaklsTWtNbE1qSjJZV3gxWlNVeU1pVXpRU1V5TWlVeU1pVXlReVV5TW1OaGRHVm5iM0o1SlRJeUpUTkJKVEl5WkdWbVlYVnNkQ1V5TWlVeVF5VXlNbWxrSlRJeUpUTkJKVEl5ZFhWT1ZVaGxaRkJ6YmpJeE16ZzNNeV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iR2x1WlZOMGVXeGxKVEl5SlROQkpUZENKVEl5YkdsdVpWZHBaSFJvSlRJeUpUTkJNQ1UzUkNVeVF5VXlNbVpwYkd4VGRIbHNaU1V5TWlVelFTVTNRaVV5TW5SNWNHVWxNaklsTTBFbE1qSnViMjVsSlRJeUpUZEVKVEpE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1qSnphWHBsSlRJeUpUTkJNVFVsTWtNbE1qSmliMnhrSlRJeUpUTkJkSEoxWlNVM1JDVXlReVV5TW5SbGVIUkNiRzlqYXlVeU1pVXpRU1UxUWlVM1FpVXlNbkJ2YzJsMGFXOXVKVEl5SlROQkpUZENKVEl5ZUNVeU1pVXpRVEFsTWtNbE1qSjVKVEl5SlROQk1DVXlReVV5TW5jbE1qSWxNMEVsTWpKM0pUSXlKVEpESlRJeWFDVXlNaVV6UVNVeU1tZ2xNaklsTjBRbE1rTWxNakowWlhoMEpUSXlKVE5CSlRJeUpVVTJKVGd3SlVKQ0pVVTRKVUV6SlRnMUpVVTNKVUpCSlVKR0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UVVOalpsRkhSbXQwYWpJME1qUXdOaVV5TWlVelFTVTNRaVV5TW1sa0pUSXlKVE5CSlRJeVFVTmpabEZIUm10MGFqSTBNalF3TmlVeU1pVXlReVV5TW01aGJXVWxNaklsTTBFbE1qSjBaWGgwSlRJeUpUSkRKVEl5ZEdsMGJHVWxNaklsTTBFbE1qSWxSVFlsT1RZbE9EY2xSVFlsT1VNbFFVT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ozZGpVSGh2Y0c1V1ZUa3pPVFUxTVNVeU1pVTNSQ1V5UXlVM1FpVXlNbTVoYldVbE1qSWxNMEVsTWpJbFJUVWxPVEFsT0VRbFJUY2xRVGNsUWpBbE1qSWxNa01sTWpKMGVYQmxKVEl5SlROQkpUSXljM1J5YVc1bkpUSXlKVEpESlRJeWRtRnNkV1VsTWpJbE0wRWxNaklsTWpJbE1rTWxNakpqWVhSbFoyOXllU1V5TWlVelFTVXlNbVJsWm1GMWJIUWxNaklsTWtNbE1qSnBaQ1V5TWlVelFTVXlNblJXZFdsMVJtTlRSVlk0TnpVek5US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eHBibVZUZEhsc1pTVXlNaVV6UVNVM1FpVXlNbXhwYm1WWGFXUjBhQ1V5TWlVelFUQWxOMFFsTWtNbE1qSm1hV3hzVTNSNWJHVWxNaklsTTBFbE4wSWxNakowZVhCbEpUSXlKVE5CSlRJeWJtOXVaU1V5TWlVM1JDVXlRe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JeWMybDZaU1V5TWlVelFURTFKVEpESlRJeVltOXNaQ1V5TWlVelFYUnlkV1VsTjBRbE1rTWxNakowWlhoMFFteHZZMnNsTWpJbE0wRWxOVUlsTjBJbE1qSndiM05wZEdsdmJpVXlNaVV6UVNVM1FpVXlNbmdsTWpJbE0wRXdKVEpESlRJeWVTVXlNaVV6UVRBbE1rTWxNakozSlRJeUpUTkJKVEl5ZHlVeU1pVXlReVV5TW1nbE1qSWxNMEVsTWpKb0pUSXlKVGRFSlRKREpUSXlkR1Y0ZENVeU1pVXpRU1V5TWlWRk5TVTRPQ1U0TmlWRk9DVkJNeVU0TlNWRk55VkNRU1ZDUml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bkJtUTNGd1FVaHJUazgyTlRRME1Ua2xNaklsTTBFbE4wSWxNakpwWkNVeU1pVXpRU1V5TW5CbVEzRndRVWhyVGs4Mk5UUTBNVGtsTWpJbE1rTWxNakp1WVcxbEpUSXlKVE5CSlRJeWRHVjRkQ1V5TWlVeVF5VXlNblJwZEd4bEpUSXlKVE5CSlRJeUpVVTJKVGsySlRnM0pVVTJKVGxESlVGRE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1KWmEydFNWbHBvUmtnME5EZzFOREVsTWpJbE4wUWxNa01sTjBJbE1qSnVZVzFsSlRJeUpUTkJKVEl5SlVVMUpUa3dKVGhFSlVVM0pVRTNKVUl3SlRJeUpUSkRKVEl5ZEhsd1pTVXlNaVV6UVNVeU1uTjBjbWx1WnlVeU1pVXlReVV5TW5aaGJIVmxKVEl5SlROQkpUSXlKVEl5SlRKREpUSXlZMkYwWldkdmNua2xNaklsTTBFbE1qSmtaV1poZFd4MEpUSXlKVEpESlRJeWFXUWxNaklsTTBFbE1qSk5XRkJGZVdkRlpHZFBNREUzT0RJeU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eHBibVZUZEhsc1pTVXlNaVV6UVNVM1FpVXlNbXhwYm1WWGFXUjBhQ1V5TWlVelFUQWxOMFFsTWtNbE1qSm1hV3hzVTNSNWJHVWxNaklsTTBFbE4wSWxNakowZVhCbEpUSXlKVE5CSlRJeWJtOXVaU1V5TWlVM1JDVXlRe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JeWMybDZaU1V5TWlVelFURTFKVEpESlRJeVltOXNaQ1V5TWlVelFYUnlkV1VsTjBRbE1rTWxNakowWlhoMFFteHZZMnNsTWpJbE0wRWxOVUlsTjBJbE1qSndiM05wZEdsdmJpVXlNaVV6UVNVM1FpVXlNbmdsTWpJbE0wRXdKVEpESlRJeWVTVXlNaVV6UVRBbE1rTWxNakozSlRJeUpUTkJKVEl5ZHlVeU1pVXlReVV5TW1nbE1qSWxNMEVsTWpKb0pUSXlKVGRFSlRKREpUSXlkR1Y0ZENVeU1pVXpRU1V5TWlWRk5pVkNOU1U0UWlWRk9DVkJSaVU1TlNWRk55VkNRU1ZDUml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WEycHRiSE5QVm10MGNqQTROamd6TlNVeU1pVTNSQ1V5UXlVM1FpVXlNbTVoYldVbE1qSWxNMEVsTWpJbFJUVWxPVEFsT0VRbFJUY2xRVGNsUWpBbE1qSWxNa01sTWpKMGVYQmxKVEl5SlROQkpUSXljM1J5YVc1bkpUSXlKVEpESlRJeWRtRnNkV1VsTWpJbE0wRWxNaklsTWpJbE1rTWxNakpqWVhSbFoyOXllU1V5TWlVelFTVXlNbVJsWm1GMWJIUWxNaklsTWtNbE1qSnBaQ1V5TWlVelFTVXlNa3hUUW5acmMyaFNkWEU1TkRjNE1qa2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eU1tTnZiRzl5SlRJeUpUTkJKVEl5TWpNeEpUSkROemtsTWtNM05pVXlNaVV5UXlVeU1uTnBlbVVsTWpJbE0wRXlNQ1UzUkNVeVF5VXlNblJsZUhSQ2JHOWpheVV5TWlVelFTVTFRaVUzUWlVeU1uQnZjMmwwYVc5dUpUSXlKVE5CSlRkQ0pUSXllQ1V5TWlVelFUQWxNa01sTWpKNUpUSXlKVE5CTUNVeVF5VXlNbmNsTWpJbE0wRWxNakozSlRJeUpUSkRKVEl5YUNVeU1pVXpRU1V5TW1nbE1qSWxOMFFsTWtNbE1qSjBaWGgwSlRJeUpUTkJKVEl5VXpJbFJVWWxRa01sT1VFbFJUVWxRa0VsT1VZbFJUZ2xPRE1sUWpZbFJUY2xRVVVsUVRF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rYTIxTlJHSjNWV2xKTVRVME1qZ3lKVEl5SlROQkpUZENKVEl5YVdRbE1qSWxNMEVsTWpKa2EyMU5SR0ozVldsSk1UVTBNamd5SlRJeUpUSkRKVEl5Ym1GdFpTVXlNaVV6UVNVeU1uUmxlSFFsTWpJbE1rTWxNakowYVhSc1pTVXlNaVV6UVNVeU1pVkZOaVU1TmlVNE55VkZOaVU1UXlWQlF5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bWRHVlRZbTlsWjJ4dU1UUXlPVEV6SlRJeUpUZEVKVEpESlRkQ0pUSXlibUZ0WlNVeU1pVXpRU1V5TWlWRk5TVTVNQ1U0UkNWRk55VkJOeVZDTUNVeU1pVXlReVV5TW5SNWNHVWxNaklsTTBFbE1qSnpkSEpwYm1jbE1qSWxNa01sTWpKMllXeDFaU1V5TWlVelFTVXlNaVV5TWlVeVF5VXlNbU5oZEdWbmIzSjVKVEl5SlROQkpUSXlaR1ZtWVhWc2RDVXlNaVV5UXlVeU1tbGtKVEl5SlROQkpUSXljMEZsVTFSelZXRmlTekl3TXpVeU1T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eU1tTnZiRzl5SlRJeUpUTkJKVEl5TWpNeEpUSkROemtsTWtNM05pVXlNaVV5UXlVeU1uTnBlbVVsTWpJbE0wRXlNQ1UzUkNVeVF5VXlNblJsZUhSQ2JHOWpheVV5TWlVelFTVTFRaVUzUWlVeU1uQnZjMmwwYVc5dUpUSXlKVE5CSlRkQ0pUSXllQ1V5TWlVelFUQWxNa01sTWpKNUpUSXlKVE5CTUNVeVF5VXlNbmNsTWpJbE0wRWxNakozSlRJeUpUSkRKVEl5YUNVeU1pVXpRU1V5TW1nbE1qSWxOMFFsTWtNbE1qSjBaWGgwSlRJeUpUTkJKVEl5VXpJbFJVWWxRa01sT1VFbFJUVWxRa0VsT1VZbFJUZ2xPRE1sUWpZbFJUY2xRVVVsUVRF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"/>
    </extobj>
    <extobj name="E657119C-6982-421D-8BA7-E74DEB70A7D9-2">
      <extobjdata type="E657119C-6982-421D-8BA7-E74DEB70A7D9" data="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VJHVDJWcmJHNWtWRzQxTXpJd056QWxNaklsTjBRbE1rTWxOMElsTWpKdVlXMWxKVEl5SlROQkpUSXlKVVUxSlRrd0pUaEVKVVUzSlVFM0pVSXdKVEl5SlRKREpUSXlkSGx3WlNVeU1pVXpRU1V5TW5OMGNtbHVaeVV5TWlVeVF5VXlNblpoYkhWbEpUSXlKVE5CSlRJeUpUSXlKVEpESlRJeVkyRjBaV2R2Y25rbE1qSWxNMEVsTWpKa1pXWmhkV3gwSlRJeUpUSkRKVEl5YVdRbE1qSWxNMEVsTWpKTVFubGlRMUpQY1VGR05UQTROak14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XhwYm1WVGRIbHNaU1V5TWlVelFTVTNRaVV5TW14cGJtVlhhV1IwYUNVeU1pVXpRVEFsTjBRbE1rTWxNakptYVd4c1UzUjViR1VsTWpJbE0wRWxOMElsTWpKMGVYQmxKVEl5SlROQkpUSXlibTl1WlNVeU1pVTNSQ1V5UX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jMmw2WlNVeU1pVXpRVEUwSlRKREpUSXlZbTlzWkNVeU1pVXpRV1poYkhObEpUZEVKVEpESlRJeWRHVjRkRUpzYjJOckpUSXlKVE5CSlRWQ0pUZENKVEl5Y0c5emFYUnBiMjRsTWpJbE0wRWxOMElsTWpKNEpUSXlKVE5CTUNVeVF5VXlNbmtsTWpJbE0wRXdKVEpESlRJeWR5VXlNaVV6UVNVeU1uY2xNaklsTWtNbE1qSm9KVEl5SlROQkpUSXlhQ1V5TWlVM1JDVXlReVV5TW5SbGVIUWxNaklsTTBFbE1qSWxSVFFsUWpnbE9FRWxSVFlsT1RZbE9Ua2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eVlrVlVla3BxYVVkQk56SXpOelF6SlRJeUpUTkJKVGRDSlRJeWFXUWxNaklsTTBFbE1qSnlZa1ZVZWtwcWFVZEJOekl6TnpRekpUSXlKVEpESlRJeWJtRnRaU1V5TWlVelFTVXlNbkpsWTNSaGJtZHNaU1V5TWlVeVF5VXlNblJwZEd4bEpUSXlKVE5CSlRJ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10MmRsRk5RVXBKYVdrNU9EZ3hOemtsTWpJbE4wUWxNa01sTjBJbE1qSnVZVzFsSlRJeUpUTkJKVEl5SlVVMUpUa3dKVGhFSlVVM0pVRTNKVUl3SlRJeUpUSkRKVEl5ZEhsd1pTVXlNaVV6UVNVeU1uTjBjbWx1WnlVeU1pVXlReVV5TW5aaGJIVmxKVEl5SlROQkpUSXlKVEl5SlRKREpUSXlZMkYwWldkdmNua2xNaklsTTBFbE1qSmtaV1poZFd4MEpUSXlKVEpESlRJeWFXUWxNaklsTTBFbE1qSkxTWGhrWld0MVJGcGFNemd4TVRBek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El5YzJsNlpTVXlNaVV6UVRFMEpUSkRKVEl5WW05c1pDVXlNaVV6UVdaaGJITmxKVGRFSlRKREpUSXlkR1Y0ZEVKc2IyTnJKVEl5SlROQkpUVkNKVGRDSlRJeWNHOXphWFJwYjI0bE1qSWxNMEVsTjBJbE1qSjRKVEl5SlROQk1UQWxNa01sTWpKNUpUSXlKVE5CTUNVeVF5VXlNbmNsTWpJbE0wRWxNakozTFRJd0pUSXlKVEpESlRJeWFDVXlNaVV6UVNVeU1tZ2xNaklsTjBRbE1rTWxNakowWlhoMEpUSXlKVE5CSlRJeUpVVTNKVGxESlRsR0pVVTNKVUU1SlVKQkpVVTJKVUkxSlVJNEpVVTJKVUl6SlVFeEpVVTJKVUk0SlRnMUpVVTJKVUkwSlRrM01T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tOT2FubFZXVWhhWVdzd09EVXpOamtsTWpJbE0wRWxOMElsTWpKcFpDVXlNaVV6UVNVeU1rTk9hbmxWV1VoYVlXc3dPRFV6TmprbE1qSWxNa01sTWpKdVlXMWxKVEl5SlROQkpUSXljbVZqZEdGdVoyeGxKVEl5SlRKREpUSXlkR2wwYkdVbE1qSWxNMEVsTWp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YTJGd2FIUjBWVWxqY2pJeU9UZ3dOaVV5TWlVM1JDVXlReVUzUWlVeU1tNWhiV1VsTWpJbE0wRWxNaklsUlRVbE9UQWxPRVFsUlRjbFFUY2xRakFsTWpJbE1rTWxNakowZVhCbEpUSXlKVE5CSlRJeWMzUnlhVzVuSlRJeUpUSkRKVEl5ZG1Gc2RXVWxNaklsTTBFbE1qSWxNaklsTWtNbE1qSmpZWFJsWjI5eWVTVXlNaVV6UVNVeU1tUmxabUYxYkhRbE1qSWxNa01sTWpKcFpDVXlNaVV6UVNVeU1tNW5Wa0ZGVlVoSFFrMDROakk1TURJ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El5YzJsNlpTVXlNaVV6UVRFMEpUSkRKVEl5WW05c1pDVXlNaVV6UVdaaGJITmxKVGRFSlRKREpUSXlkR1Y0ZEVKc2IyTnJKVEl5SlROQkpUVkNKVGRDSlRJeWNHOXphWFJwYjI0bE1qSWxNMEVsTjBJbE1qSjRKVEl5SlROQk1UQWxNa01sTWpKNUpUSXlKVE5CTUNVeVF5VXlNbmNsTWpJbE0wRWxNakozTFRJd0pUSXlKVEpESlRJeWFDVXlNaVV6UVNVeU1tZ2xNaklsTjBRbE1rTWxNakowWlhoMEpUSXlKVE5CSlRJeUpVVTNKVGxESlRsR0pVVTNKVUU1SlVKQkpVVTRKVUkySlRnMUpVVTFKVUV6SlVJd0pVVTJKVUl6SlVFeUpVVTJKVUkxSlVJNEpVVTJKVUl6SlVFeEpVVTJKVUk0SlRnMUpVVTJKVUkwSlRrM01p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xscGRGVkNVR1ZOVDJrMk1UQTBOVGtsTWpJbE0wRWxOMElsTWpKcFpDVXlNaVV6UVNVeU1sbHBkRlZDVUdWTlQyazJNVEEwTlRrbE1qSWxNa01sTWpKdVlXMWxKVEl5SlROQkpUSXljbVZqZEdGdVoyeGxKVEl5SlRKREpUSXlkR2wwYkdVbE1qSWxNMEVsTWp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V0U5bVMwWlhjVUpVVnprM05EYzROaVV5TWlVM1JDVXlReVUzUWlVeU1tNWhiV1VsTWpJbE0wRWxNaklsUlRVbE9UQWxPRVFsUlRjbFFUY2xRakFsTWpJbE1rTWxNakowZVhCbEpUSXlKVE5CSlRJeWMzUnlhVzVuSlRJeUpUSkRKVEl5ZG1Gc2RXVWxNaklsTTBFbE1qSWxNaklsTWtNbE1qSmpZWFJsWjI5eWVTVXlNaVV6UVNVeU1tUmxabUYxYkhRbE1qSWxNa01sTWpKcFpDVXlNaVV6UVNVeU1tUkRWbWQ0VjJGV1FXZzVPVFF3TVRZ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Nakp6YVhwbEpUSXlKVE5CTVRRbE1rTWxNakppYjJ4a0pUSXlKVE5CWm1Gc2MyVWxOMFFsTWtNbE1qSjBaWGgwUW14dlkyc2xNaklsTTBFbE5VSWxOMElsTWpKd2IzTnBkR2x2YmlVeU1pVXpRU1UzUWlVeU1uZ2xNaklsTTBFeE1DVXlReVV5TW5rbE1qSWxNMEV3SlRKREpUSXlkeVV5TWlVelFTVXlNbmN0TWpBbE1qSWxNa01sTWpKb0pUSXlKVE5CSlRJeWFDVXlNaVUzUkNVeVF5VXlNblJsZUhRbE1qSWxNMEVsTWpJbFJUY2xPVU1sT1VZbFJUY2xRVGtsUWtFbFJUZ2xRallsT0RVbFJUVWxRVE1sUWpBbFJUWWxRak1sUVRJbFJUWWxRalVsUWpnbFJUWWxRak1sUVRFbFJUWWxRamdsT0RVbFJUWWxRalFsT1Rjek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VUdkT2JVSmFjbWhoV2pVME56VTJOQ1V5TWlVelFTVTNRaVV5TW1sa0pUSXlKVE5CSlRJeVVHZE9iVUphY21oaFdqVTBOelUyTkNVeU1pVXlReVV5TW01aGJXVWxNaklsTTBFbE1qSnlaV04wWVc1bmJHVWxNaklsTWtNbE1qSjBhWFJzWlNVeU1pVXpRU1V5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0ZEZKWFVuTlpXbUpLT1RVeU5USTRKVEl5SlRkRUpUSkRKVGRDSlRJeWJtRnRaU1V5TWlVelFTVXlNaVZGTlNVNU1DVTRSQ1ZGTnlWQk55VkNNQ1V5TWlVeVF5VXlNblI1Y0dVbE1qSWxNMEVsTWpKemRISnBibWNsTWpJbE1rTWxNakoyWVd4MVpTVXlNaVV6UVNVeU1pVXlNaVV5UXlVeU1tTmhkR1ZuYjNKNUpUSXlKVE5CSlRJeVpHVm1ZWFZzZENVeU1pVXlReVV5TW1sa0pUSXlKVE5CSlRJeWFVeEhZbTluZDBKQlp6TTJNVEl6T0N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eU1uTnBlbVVsTWpJbE0wRXhOQ1V5UXlVeU1tSnZiR1FsTWpJbE0wRm1ZV3h6WlNVM1JDVXlReVV5TW5SbGVIUkNiRzlqYXlVeU1pVXpRU1UxUWlVM1FpVXlNbkJ2YzJsMGFXOXVKVEl5SlROQkpUZENKVEl5ZUNVeU1pVXpRVEV3SlRKREpUSXllU1V5TWlVelFUQWxNa01sTWpKM0pUSXlKVE5CSlRJeWR5MHlNQ1V5TWlVeVF5VXlNbWdsTWpJbE0wRWxNakpvSlRJeUpUZEVKVEpESlRJeWRHVjRkQ1V5TWlVelFTVXlNaVZGTnlVNVF5VTVSaVZGTnlWQk9TVkNRU1ZGTlNWQ09TVkNNaVZGTnlVNE55VkJOVEV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lJWM1J0UkhOV2VXaElORFF4TnpZd0pUSXlKVE5CSlRkQ0pUSXlhV1FsTWpJbE0wRWxNakpSVjNSdFJITldlV2hJTkRReE56WXd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reFNiM05LYWxWTWEzQXlOREkwTlRJbE1qSWxOMFFsTWtNbE4wSWxNakp1WVcxbEpUSXlKVE5CSlRJeUpVVTFKVGt3SlRoRUpVVTNKVUUzSlVJd0pUSXlKVEpESlRJeWRIbHdaU1V5TWlVelFTVXlNbk4wY21sdVp5VXlNaVV5UXlVeU1uWmhiSFZsSlRJeUpUTkJKVEl5SlRJeUpUSkRKVEl5WTJGMFpXZHZjbmtsTWpJbE0wRWxNakprWldaaGRXeDBKVEl5SlRKREpUSXlhV1FsTWpJbE0wRWxNakpwYjAxSGJIaHVWRkpvTXpNd01qRTB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El5YzJsNlpTVXlNaVV6UVRFMEpUSkRKVEl5WW05c1pDVXlNaVV6UVdaaGJITmxKVGRFSlRKREpUSXlkR1Y0ZEVKc2IyTnJKVEl5SlROQkpUVkNKVGRDSlRJeWNHOXphWFJwYjI0bE1qSWxNMEVsTjBJbE1qSjRKVEl5SlROQk1UQWxNa01sTWpKNUpUSXlKVE5CTUNVeVF5VXlNbmNsTWpJbE0wRWxNakozTFRJd0pUSXlKVEpESlRJeWFDVXlNaVV6UVNVeU1tZ2xNaklsTjBRbE1rTWxNakowWlhoMEpUSXlKVE5CSlRJeUpVVTNKVGxESlRsR0pVVTNKVUU1SlVKQkpVVTFKVUk1SlVJeUpVVTNKVGczSlVFMU1p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1odVpsRkdTbGxKYlU4ek1qWTNORGNsTWpJbE0wRWxOMElsTWpKcFpDVXlNaVV6UVNVeU1taHVabEZHU2xsSmJVOHpNalkzTkRjbE1qSWxNa01sTWpKdVlXMWxKVEl5SlROQkpUSXlkR1Y0ZENVeU1pVXlReVV5TW5ScGRHeGxKVEl5SlROQkpUSXlKVVUySlRrMkpUZzNKVVUySlRsREpVRkR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tcGhiVTkzY0ZkbFZHZ3pPVFkyTWpFbE1qSWxOMFFsTWtNbE4wSWxNakp1WVcxbEpUSXlKVE5CSlRJeUpVVTFKVGt3SlRoRUpVVTNKVUUzSlVJd0pUSXlKVEpESlRJeWRIbHdaU1V5TWlVelFTVXlNbk4wY21sdVp5VXlNaVV5UXlVeU1uWmhiSFZsSlRJeUpUTkJKVEl5SlRJeUpUSkRKVEl5WTJGMFpXZHZjbmtsTWpJbE0wRWxNakprWldaaGRXeDBKVEl5SlRKREpUSXlhV1FsTWpJbE0wRWxNakozVW5KWVpHVlFVVlJPTkRrNU5qQTV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c2FXNWxVM1I1YkdVbE1qSWxNMEVsTjBJbE1qSnNhVzVsVjJsa2RHZ2xNaklsTTBFd0pUZEVKVEpESlRJeVptbHNiRk4wZVd4bEpUSXlKVE5CSlRkQ0pUSXlkSGx3WlNVeU1pVXpRU1V5TW01dmJtVWxNaklsTjBRbE1rT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V5TW5OcGVtVWxNaklsTTBFeE5DVXlReVV5TW1KdmJHUWxNaklsTTBGMGNuVmxKVGRFSlRKREpUSXlkR1Y0ZEVKc2IyTnJKVEl5SlROQkpUVkNKVGRDSlRJeWNHOXphWFJwYjI0bE1qSWxNMEVsTjBJbE1qSjRKVEl5SlROQk1DVXlReVV5TW5rbE1qSWxNMEV3SlRKREpUSXlkeVV5TWlVelFTVXlNbmNsTWpJbE1rTWxNakpvSlRJeUpUTkJKVEl5YUNVeU1pVTNSQ1V5UXlVeU1uUmxlSFFsTWpJbE0wRWxNaklsUlRVbE9EY2xRa0VsUlRZbE9UWWxPVGt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klVR3BWUkhaV1MyUmhNakUzTlRZekpUSXlKVE5CSlRkQ0pUSXlhV1FsTWpJbE0wRWxNakpJVUdwVlJIWldTMlJoTWpFM05UWXpKVEl5SlRKREpUSXlibUZ0WlNVeU1pVXpRU1V5TW5SbGVIUWxNaklsTWtNbE1qSjBhWFJzWlNVeU1pVXpRU1V5TWlWRk5pVTVOaVU0TnlWRk5pVTVReVZCUX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vYW1adGJtNVlSSFp4TWpJME9EY3dKVEl5SlRkRUpUSkRKVGRDSlRJeWJtRnRaU1V5TWlVelFTVXlNaVZGTlNVNU1DVTRSQ1ZGTnlWQk55VkNNQ1V5TWlVeVF5VXlNblI1Y0dVbE1qSWxNMEVsTWpKemRISnBibWNsTWpJbE1rTWxNakoyWVd4MVpTVXlNaVV6UVNVeU1pVXlNaVV5UXlVeU1tTmhkR1ZuYjNKNUpUSXlKVE5CSlRJeVpHVm1ZWFZzZENVeU1pVXlReVV5TW1sa0pUSXlKVE5CSlRJeWFFUllka0YyYWxwNlREZ3dOVEF5TVN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iR2x1WlZOMGVXeGxKVEl5SlROQkpUZENKVEl5YkdsdVpWZHBaSFJvSlRJeUpUTkJNQ1UzUkNVeVF5VXlNbVpwYkd4VGRIbHNaU1V5TWlVelFTVTNRaVV5TW5SNWNHVWxNaklsTTBFbE1qSnViMjVsSlRJeUpUZEVKVEpE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1qSnphWHBsSlRJeUpUTkJNVFFsTWtNbE1qSmliMnhrSlRJeUpUTkJabUZzYzJVbE4wUWxNa01sTWpKMFpYaDBRbXh2WTJzbE1qSWxNMEVsTlVJbE4wSWxNakp3YjNOcGRHbHZiaVV5TWlVelFTVTNRaVV5TW5nbE1qSWxNMEV3SlRKREpUSXllU1V5TWlVelFUQWxNa01sTWpKM0pUSXlKVE5CSlRJeWR5VXlNaVV5UXlVeU1tZ2xNaklsTTBFbE1qSm9KVEl5SlRkRUpUSkRKVEl5ZEdWNGRDVXlNaVV6UVNVeU1pVkZOeVZCTWlWQ015VkZOU1U1UmlWQ1FTVkZOaVZDT0NVNE5TVkZOaVZDTkNVNU55VkZOU1U0T1NVNE1p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xoT1MzcEpaRWhaVkVrNE5UVXhNRGNsTWpJbE0wRWxOMElsTWpKcFpDVXlNaVV6UVNVeU1saE9TM3BKWkVoWlZFazROVFV4TURjbE1qSWxNa01sTWpKdVlXMWxKVEl5SlROQkpUSXlkR1Y0ZENVeU1pVXlReVV5TW5ScGRHeGxKVEl5SlROQkpUSXlKVVUySlRrMkpUZzNKVVUySlRsREpVRkR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uaHljMnRZU0hCS2JsQTBNalF5TlRJbE1qSWxOMFFsTWtNbE4wSWxNakp1WVcxbEpUSXlKVE5CSlRJeUpVVTFKVGt3SlRoRUpVVTNKVUUzSlVJd0pUSXlKVEpESlRJeWRIbHdaU1V5TWlVelFTVXlNbk4wY21sdVp5VXlNaVV5UXlVeU1uWmhiSFZsSlRJeUpUTkJKVEl5SlRJeUpUSkRKVEl5WTJGMFpXZHZjbmtsTWpJbE0wRWxNakprWldaaGRXeDBKVEl5SlRKREpUSXlhV1FsTWpJbE0wRWxNakpVY0ZSUVJGTkdlbGw2TmpFMk1EQTV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c2FXNWxVM1I1YkdVbE1qSWxNMEVsTjBJbE1qSnNhVzVsVjJsa2RHZ2xNaklsTTBFd0pUZEVKVEpESlRJeVptbHNiRk4wZVd4bEpUSXlKVE5CSlRkQ0pUSXlkSGx3WlNVeU1pVXpRU1V5TW01dmJtVWxNaklsTjBRbE1rT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V5TW5OcGVtVWxNaklsTTBFeE5DVXlReVV5TW1KdmJHUWxNaklsTTBGbVlXeHpaU1UzUkNVeVF5VXlNblJsZUhSQ2JHOWpheVV5TWlVelFTVTFRaVUzUWlVeU1uQnZjMmwwYVc5dUpUSXlKVE5CSlRkQ0pUSXllQ1V5TWlVelFUQWxNa01sTWpKNUpUSXlKVE5CTUNVeVF5VXlNbmNsTWpJbE0wRWxNakozSlRJeUpUSkRKVEl5YUNVeU1pVXpRU1V5TW1nbE1qSWxOMFFsTWtNbE1qSjBaWGgwSlRJeUpUTkJKVEl5SlVVM0pVRXlKVUl6SlVVMUpUbEdKVUpCSlVVMkpVSTRKVGcxSlVVMkpVSTBKVGszSlVVMUpUZzVKVGd5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RM2h3Y1haNlNWbEZlVEEwTXpRNE1TVXlNaVV6UVNVM1FpVXlNbWxrSlRJeUpUTkJKVEl5UTNod2NYWjZTVmxGZVRBME16UTRNU1V5TWlVeVF5VXlNbTVoYldVbE1qSWxNMEVsTWpKMFpYaDBKVEl5SlRKREpUSXlkR2wwYkdVbE1qSWxNMEVsTWpJbFJUWWxPVFlsT0RjbFJUWWxPVU1sUVVN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VjFwUFZHdDVlSGgyVXpnNU9URTFNaVV5TWlVM1JDVXlReVUzUWlVeU1tNWhiV1VsTWpJbE0wRWxNaklsUlRVbE9UQWxPRVFsUlRjbFFUY2xRakFsTWpJbE1rTWxNakowZVhCbEpUSXlKVE5CSlRJeWMzUnlhVzVuSlRJeUpUSkRKVEl5ZG1Gc2RXVWxNaklsTTBFbE1qSWxNaklsTWtNbE1qSmpZWFJsWjI5eWVTVXlNaVV6UVNVeU1tUmxabUYxYkhRbE1qSWxNa01sTWpKcFpDVXlNaVV6UVNVeU1tRmxWM1pTYkZkYVpYTTNPVEU0T1RJ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XhwYm1WVGRIbHNaU1V5TWlVelFTVTNRaVV5TW14cGJtVlhhV1IwYUNVeU1pVXpRVEFsTjBRbE1rTWxNakptYVd4c1UzUjViR1VsTWpJbE0wRWxOMElsTWpKMGVYQmxKVEl5SlROQkpUSXlibTl1WlNVeU1pVTNSQ1V5UX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jMmw2WlNVeU1pVXpRVEUwSlRKREpUSXlZbTlzWkNVeU1pVXpRV1poYkhObEpUZEVKVEpESlRJeWRHVjRkRUpzYjJOckpUSXlKVE5CSlRWQ0pUZENKVEl5Y0c5emFYUnBiMjRsTWpJbE0wRWxOMElsTWpKNEpUSXlKVE5CTUNVeVF5VXlNbmtsTWpJbE0wRXdKVEpESlRJeWR5VXlNaVV6UVNVeU1uY2xNaklsTWtNbE1qSm9KVEl5SlROQkpUSXlhQ1V5TWlVM1JDVXlReVV5TW5SbGVIUWxNaklsTTBFbE1qSWxSVGNsUVRJbFFqTWxSVFVsT1VZbFFrRWxSVFlsUWpnbE9EVWxSVFlsUWpRbE9UY2xSVFVsT0RrbE9ES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UmQwVllXbGREY0dwMU1UTTBNamsxSlRJeUpUTkJKVGRDSlRJeWFXUWxNaklsTTBFbE1qSlJkMFZZV2xkRGNHcDFNVE0wTWprMUpUSXlKVEpESlRJeWJtRnRaU1V5TWlVelFTVXlNblJsZUhRbE1qSWxNa01sTWpKMGFYUnNaU1V5TWlVelFTVXlNaVZGTmlVNU5pVTROeVZGTmlVNVF5VkJRe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lJWMGxvVUVGUVoydEhPRFUyTlRnd0pUSXlKVGRFSlRKREpUZENKVEl5Ym1GdFpTVXlNaVV6UVNVeU1pVkZOU1U1TUNVNFJDVkZOeVZCTnlWQ01DVXlNaVV5UXlVeU1uUjVjR1VsTWpJbE0wRWxNakp6ZEhKcGJtY2xNaklsTWtNbE1qSjJZV3gxWlNVeU1pVXpRU1V5TWlVeU1pVXlReVV5TW1OaGRHVm5iM0o1SlRJeUpUTkJKVEl5WkdWbVlYVnNkQ1V5TWlVeVF5VXlNbWxrSlRJeUpUTkJKVEl5YTBwUlJHTldjbEprYVRjeE56YzNPU1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WJHbHVaVk4wZVd4bEpUSXlKVE5CSlRkQ0pUSXliR2x1WlZkcFpIUm9KVEl5SlROQk1DVTNSQ1V5UXlVeU1tWnBiR3hUZEhsc1pTVXlNaVV6UVNVM1FpVXlNblI1Y0dVbE1qSWxNMEVsTWpKdWIyNWxKVEl5SlRkRUpUSkR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WpKemFYcGxKVEl5SlROQk1UUWxNa01sTWpKaWIyeGtKVEl5SlROQlptRnNjMlVsTjBRbE1rTWxNakowWlhoMFFteHZZMnNsTWpJbE0wRWxOVUlsTjBJbE1qSndiM05wZEdsdmJpVXlNaVV6UVNVM1FpVXlNbmdsTWpJbE0wRXdKVEpESlRJeWVTVXlNaVV6UVRBbE1rTWxNakozSlRJeUpUTkJKVEl5ZHlVeU1pVXlReVV5TW1nbE1qSWxNMEVsTWpKb0pUSXlKVGRFSlRKREpUSXlkR1Y0ZENVeU1pVXpRU1V5TWlWRk55VkJNaVZDTXlWRk5TVTVSaVZDUVNWRk5pVkNPQ1U0TlNWRk5pVkNOQ1U1TnlWRk5TVTRPU1U0TWl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azFKZEZONFUxTnJUbFEzTXpJMk56Z2xNaklsTTBFbE4wSWxNakpwWkNVeU1pVXpRU1V5TWsxSmRGTjRVMU5yVGxRM016STJOemdsTWpJbE1rTWxNakp1WVcxbEpUSXlKVE5CSlRJeWRHVjRkQ1V5TWlVeVF5VXlNblJwZEd4bEpUSXlKVE5CSlRJeUpVVTJKVGsySlRnM0pVVTJKVGxESlVGRE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tGSFduZEhkSFJSU1dFeU9UY3dNRFlsTWpJbE4wUWxNa01sTjBJbE1qSnVZVzFsSlRJeUpUTkJKVEl5SlVVMUpUa3dKVGhFSlVVM0pVRTNKVUl3SlRJeUpUSkRKVEl5ZEhsd1pTVXlNaVV6UVNVeU1uTjBjbWx1WnlVeU1pVXlReVV5TW5aaGJIVmxKVEl5SlROQkpUSXlKVEl5SlRKREpUSXlZMkYwWldkdmNua2xNaklsTTBFbE1qSmtaV1poZFd4MEpUSXlKVEpESlRJeWFXUWxNaklsTTBFbE1qSkdTazVDVFhCbWMxWklNekkzTXpBeE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XhwYm1WVGRIbHNaU1V5TWlVelFTVTNRaVV5TW14cGJtVlhhV1IwYUNVeU1pVXpRVEFsTjBRbE1rTWxNakptYVd4c1UzUjViR1VsTWpJbE0wRWxOMElsTWpKMGVYQmxKVEl5SlROQkpUSXlibTl1WlNVeU1pVTNSQ1V5UX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jMmw2WlNVeU1pVXpRVEUwSlRKREpUSXlZbTlzWkNVeU1pVXpRV1poYkhObEpUZEVKVEpESlRJeWRHVjRkRUpzYjJOckpUSXlKVE5CSlRWQ0pUZENKVEl5Y0c5emFYUnBiMjRsTWpJbE0wRWxOMElsTWpKNEpUSXlKVE5CTUNVeVF5VXlNbmtsTWpJbE0wRXdKVEpESlRJeWR5VXlNaVV6UVNVeU1uY2xNaklsTWtNbE1qSm9KVEl5SlROQkpUSXlhQ1V5TWlVM1JDVXlReVV5TW5SbGVIUWxNaklsTTBFbE1qSWxSVGNsUVRJbFFqTWxSVFVsT1VZbFFrRWxSVFlsUWpnbE9EVWxSVFlsUWpRbE9UY2xSVFVsT0RrbE9ES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SmFXbFhSa3RYY21wRk1qZzROVGsxSlRJeUpUTkJKVGRDSlRJeWFXUWxNaklsTTBFbE1qSkphV2xYUmt0WGNtcEZNamc0TlRrMUpUSXlKVEpESlRJeWJtRnRaU1V5TWlVelFTVXlNblJsZUhRbE1qSWxNa01sTWpKMGFYUnNaU1V5TWlVelFTVXlNaVZGTmlVNU5pVTROeVZGTmlVNVF5VkJRe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lphMlZGYkVoaVZrRlBORFUxTmpjMUpUSXlKVGRFSlRKREpUZENKVEl5Ym1GdFpTVXlNaVV6UVNVeU1pVkZOU1U1TUNVNFJDVkZOeVZCTnlWQ01DVXlNaVV5UXlVeU1uUjVjR1VsTWpJbE0wRWxNakp6ZEhKcGJtY2xNaklsTWtNbE1qSjJZV3gxWlNVeU1pVXpRU1V5TWlVeU1pVXlReVV5TW1OaGRHVm5iM0o1SlRJeUpUTkJKVEl5WkdWbVlYVnNkQ1V5TWlVeVF5VXlNbWxrSlRJeUpUTkJKVEl5Uld4dWJFOUtWMkZFVURFd05qWTJNaV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iR2x1WlZOMGVXeGxKVEl5SlROQkpUZENKVEl5YkdsdVpWZHBaSFJvSlRJeUpUTkJNQ1UzUkNVeVF5VXlNbVpwYkd4VGRIbHNaU1V5TWlVelFTVTNRaVV5TW5SNWNHVWxNaklsTTBFbE1qSnViMjVsSlRJeUpUZEVKVEpE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1qSmpiMnh2Y2lVeU1pVXpRU1V5TWpJek1TVXlRemM1SlRKRE56WWxNaklsTWtNbE1qSnphWHBsSlRJeUpUTkJNVFFsTWtNbE1qSmliMnhrSlRJeUpUTkJabUZzYzJVbE4wUWxNa01sTWpKMFpYaDBRbXh2WTJzbE1qSWxNMEVsTlVJbE4wSWxNakp3YjNOcGRHbHZiaVV5TWlVelFTVTNRaVV5TW5nbE1qSWxNMEV3SlRKREpUSXllU1V5TWlVelFUQWxNa01sTWpKM0pUSXlKVE5CSlRJeWR5VXlNaVV5UXlVeU1tZ2xNaklsTTBFbE1qSm9KVEl5SlRkRUpUSkRKVEl5ZEdWNGRDVXlNaVV6UVNVeU1sTXpKVVUxSlVKQkpUbEdKVVUySlVFM0pVSkVKVVUySlVJMkpVSXl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VVtOVFkMmRzYjB4RWFUY3lOamsyTlNVeU1pVXpRU1UzUWlVeU1tbGtKVEl5SlROQkpUSXlVbTlRZDJkc2IweEVhVGN5TmprMk5TVXlNaVV5UXlVeU1tNWhiV1VsTWpJbE0wRWxNakp5WldOMFlXNW5iR1VsTWpJbE1rTWxNakowYVhSc1pTVXlNaVV6UVNVeU1pVkZOeVU1UmlWQk9TVkZOU1ZDUkNWQk1p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U2NVNTBhR2hMU0hSdU1qa3hPVEE0SlRJeUpUZEVKVEpESlRkQ0pUSXlibUZ0WlNVeU1pVXpRU1V5TWlWRk5TVTVNQ1U0UkNWRk55VkJOeVZDTUNVeU1pVXlReVV5TW5SNWNHVWxNaklsTTBFbE1qSnpkSEpwYm1jbE1qSWxNa01sTWpKMllXeDFaU1V5TWlVelFTVXlNaVV5TWlVeVF5VXlNbU5oZEdWbmIzSjVKVEl5SlROQkpUSXlaR1ZtWVhWc2RDVXlNaVV5UXlVeU1tbGtKVEl5SlROQkpUSXlRMWRpYUhWQ1lWVktaREk0TXpNM09T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El5YzJsNlpTVXlNaVV6UVRFMEpUSkRKVEl5WW05c1pDVXlNaVV6UVdaaGJITmxKVGRFSlRKREpUSXlkR1Y0ZEVKc2IyTnJKVEl5SlROQkpUVkNKVGRDSlRJeWNHOXphWFJwYjI0bE1qSWxNMEVsTjBJbE1qSjRKVEl5SlROQk1UQWxNa01sTWpKNUpUSXlKVE5CTUNVeVF5VXlNbmNsTWpJbE0wRWxNakozTFRJd0pUSXlKVEpESlRJeWFDVXlNaVV6UVNVeU1tZ2xNaklsTjBRbE1rTWxNakowWlhoMEpUSXlKVE5CSlRJeVJ6TWxSVFlsUWpnbE9EVWxSVFlsUWpRbE9UY2xSVFVsUWtFbE9VWWxSVFlsUWpBbE9UU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amMwVm5TblozYTI1R056a3lPRFV6SlRJeUpUTkJKVGRDSlRJeWFXUWxNaklsTTBFbE1qSmpjMFZuU25aM2EyNUdOemt5T0RVekpUSXlKVEpESlRJeWJtRnRaU1V5TWlVelFTVXlNbkpsWTNSaGJtZHNaU1V5TWlVeVF5VXlNblJwZEd4bEpUSXlKVE5CSlRJ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s1NlpYTm9Xa1ZOZEc0d09UQXlOalFsTWpJbE4wUWxNa01sTjBJbE1qSnVZVzFsSlRJeUpUTkJKVEl5SlVVMUpUa3dKVGhFSlVVM0pVRTNKVUl3SlRJeUpUSkRKVEl5ZEhsd1pTVXlNaVV6UVNVeU1uTjBjbWx1WnlVeU1pVXlReVV5TW5aaGJIVmxKVEl5SlROQkpUSXlKVEl5SlRKREpUSXlZMkYwWldkdmNua2xNaklsTTBFbE1qSmtaV1poZFd4MEpUSXlKVEpESlRJeWFXUWxNaklsTTBFbE1qSmpWMFJ2WTFKNFQzRlVOekF3TURrd0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Nakp6YVhwbEpUSXlKVE5CTVRRbE1rTWxNakppYjJ4a0pUSXlKVE5CWm1Gc2MyVWxOMFFsTWtNbE1qSjBaWGgwUW14dlkyc2xNaklsTTBFbE5VSWxOMElsTWpKd2IzTnBkR2x2YmlVeU1pVXpRU1UzUWlVeU1uZ2xNaklsTTBFeE1DVXlReVV5TW5rbE1qSWxNMEV3SlRKREpUSXlkeVV5TWlVelFTVXlNbmN0TWpBbE1qSWxNa01sTWpKb0pUSXlKVE5CSlRJeWFDVXlNaVUzUkNVeVF5VXlNblJsZUhRbE1qSWxNMEVsTWpKSE15VkZOaVZDT0NVNE5TVkZOaVZDTkNVNU55VkZOU1ZDUVNVNVJpVkZOaVZDTUNVNU5D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XlNbk5wZW1VbE1qSWxNMEV4TkNVeVF5VXlNbUp2YkdRbE1qSWxNMEZtWVd4elpTVTNSQ1V5UXlVeU1uUmxlSFJDYkc5amF5VXlNaVV6UVNVMVFpVTNRaVV5TW5CdmMybDBhVzl1SlRJeUpUTkJKVGRDSlRJeWVDVXlNaVV6UVRFd0pUSkRKVEl5ZVNVeU1pVXpRVEFsTWtNbE1qSjNKVEl5SlROQkpUSXlkeTB5TUNVeU1pVXlReVV5TW1nbE1qSWxNMEVsTWpKb0pUSXlKVGRFSlRKREpUSXlkR1Y0ZENVeU1pVXpRU1V5TWtjekpVVTJKVUk0SlRnMUpVVTJKVUkwSlRrM0pVVTFKVUpCSlRsR0pVVTJKVUl3SlRrME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UkZwc1JrZFZlWHB4YlRRME56Y3dNeVV5TWlVelFTVTNRaVV5TW1sa0pUSXlKVE5CSlRJeVJGcHNSa2RWZVhweGJUUTBOemN3TXlVeU1pVXlReVV5TW01aGJXVWxNaklsTTBFbE1qSnlaV04wWVc1bmJHVWxNaklsTWtNbE1qSjBhWFJzWlNVeU1pVXpRU1V5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4WjI5bWVWRm5XR2haTXpZeE5UWTVKVEl5SlRkRUpUSkRKVGRDSlRJeWJtRnRaU1V5TWlVelFTVXlNaVZGTlNVNU1DVTRSQ1ZGTnlWQk55VkNNQ1V5TWlVeVF5VXlNblI1Y0dVbE1qSWxNMEVsTWpKemRISnBibWNsTWpJbE1rTWxNakoyWVd4MVpTVXlNaVV6UVNVeU1pVXlNaVV5UXlVeU1tTmhkR1ZuYjNKNUpUSXlKVE5CSlRJeVpHVm1ZWFZzZENVeU1pVXlReVV5TW1sa0pUSXlKVE5CSlRJeWNIbEliMDFtV0dacVRqTTVPRFkzT1N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SXljMmw2WlNVeU1pVXpRVEUwSlRKREpUSXlZbTlzWkNVeU1pVXpRV1poYkhObEpUZEVKVEpESlRJeWRHVjRkRUpzYjJOckpUSXlKVE5CSlRWQ0pUZENKVEl5Y0c5emFYUnBiMjRsTWpJbE0wRWxOMElsTWpKNEpUSXlKVE5CTVRBbE1rTWxNako1SlRJeUpUTkJNQ1V5UXlVeU1uY2xNaklsTTBFbE1qSjNMVEl3SlRJeUpUSkRKVEl5YUNVeU1pVXpRU1V5TW1nbE1qSWxOMFFsTWtNbE1qSjBaWGgwSlRJeUpUTkJKVEl5UnpNbFJUWWxRamdsT0RVbFJUWWxRalFsT1RjbFJUVWxRa0VsT1VZbFJUWWxRakFsT1RR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MUm1oSVprZE5VSEpJTXpBME1EZzNKVEl5SlROQkpUZENKVEl5YVdRbE1qSWxNMEVsTWpKTFJtaElaa2ROVUhKSU16QTBNRGczSlRJeUpUSkRKVEl5Ym1GdFpTVXlNaVV6UVNVeU1uSmxZM1JoYm1kc1pTVXlNaVV5UXlVeU1uUnBkR3hsSlRJeUpUTkJKVEl5SlVVM0pUbEdKVUU1SlVVMUpVSkVKVUV5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EZtYzBwUWRGVkNjWGN4TnpBd01qSWxNaklsTjBRbE1rTWxOMElsTWpKdVlXMWxKVEl5SlROQkpUSXlKVVUxSlRrd0pUaEVKVVUzSlVFM0pVSXdKVEl5SlRKREpUSXlkSGx3WlNVeU1pVXpRU1V5TW5OMGNtbHVaeVV5TWlVeVF5VXlNblpoYkhWbEpUSXlKVE5CSlRJeUpUSXlKVEpESlRJeVkyRjBaV2R2Y25rbE1qSWxNMEVsTWpKa1pXWmhkV3gwSlRJeUpUSkRKVEl5YVdRbE1qSWxNMEVsTWpKMVVHSlFiV3BuVTJSTU9EWXlOVE0x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1qSnphWHBsSlRJeUpUTkJNVFFsTWtNbE1qSmliMnhrSlRJeUpUTkJabUZzYzJVbE4wUWxNa01sTWpKMFpYaDBRbXh2WTJzbE1qSWxNMEVsTlVJbE4wSWxNakp3YjNOcGRHbHZiaVV5TWlVelFTVTNRaVV5TW5nbE1qSWxNMEV4TUNVeVF5VXlNbmtsTWpJbE0wRXdKVEpESlRJeWR5VXlNaVV6UVNVeU1uY3RNakFsTWpJbE1rTWxNakpvSlRJeUpUTkJKVEl5YUNVeU1pVTNSQ1V5UXlVeU1uUmxlSFFsTWpJbE0wRWxNakpITXlWRk5pVkNPQ1U0TlNWRk5pVkNOQ1U1TnlWRk5TVkNRU1U1UmlWRk5pVkNNQ1U1TkN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"/>
    </extobj>
    <extobj name="E657119C-6982-421D-8BA7-E74DEB70A7D9-3">
      <extobjdata type="E657119C-6982-421D-8BA7-E74DEB70A7D9" data="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QxRlFVV2h3UlU5TVN6RXdPVGcyTUNVeU1pVTNSQ1V5UXlVM1FpVXlNbTVoYldVbE1qSWxNMEVsTWpJbFJUVWxPVEFsT0VRbFJUY2xRVGNsUWpBbE1qSWxNa01sTWpKMGVYQmxKVEl5SlROQkpUSXljM1J5YVc1bkpUSXlKVEpESlRJeWRtRnNkV1VsTWpJbE0wRWxNaklsTWpJbE1rTWxNakpqWVhSbFoyOXllU1V5TWlVelFTVXlNbVJsWm1GMWJIUWxNaklsTWtNbE1qSnBaQ1V5TWlVelFTVXlNa2RRZW1sM1NHSlpjMjB5TURRME56R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4wUWxNa01sTWpKMFpYaDBRbXh2WTJzbE1qSWxNMEVsTlVJbE4wSWxNakp3YjNOcGRHbHZiaVV5TWlVelFTVTNRaVV5TW5nbE1qSWxNMEV4TUNVeVF5VXlNbmtsTWpJbE0wRXdKVEpESlRJeWR5VXlNaVV6UVNVeU1uY3RNakFsTWpJbE1rTWxNakpvSlRJeUpUTkJKVEl5YUNVeU1pVTNSQ1V5UXlVeU1uUmxlSFFsTWpJbE0wRWxNaklsUlRVbE9EWWxRamNsUlRVbE9EY2xPVVFsUlRVbE9VSWxPVVVsUlRZbE9UUWxRallsUlRjbFFqTWxRa0lsUlRjbFFrSWxPVVl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nNkR2hFU0hKWFdsWkhNamN4TVRVMkpUSXlKVE5CSlRkQ0pUSXlhV1FsTWpJbE0wRWxNakpzZEdoRVNISlhXbFpITWpjeE1UVTJ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rUlZlVkZ0VUd0V1RsZzJOelE0TVRRbE1qSWxOMFFsTWtNbE4wSWxNakp1WVcxbEpUSXlKVE5CSlRJeUpVVTFKVGt3SlRoRUpVVTNKVUUzSlVJd0pUSXlKVEpESlRJeWRIbHdaU1V5TWlVelFTVXlNbk4wY21sdVp5VXlNaVV5UXlVeU1uWmhiSFZsSlRJeUpUTkJKVEl5SlRJeUpUSkRKVEl5WTJGMFpXZHZjbmtsTWpJbE0wRWxNakprWldaaGRXeDBKVEl5SlRKREpUSXlhV1FsTWpJbE0wRWxNakp0VjFsQ2FVeFNiMnBsTmprNU16SXh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ZEVKVEpESlRJeWRHVjRkRUpzYjJOckpUSXlKVE5CSlRWQ0pUZENKVEl5Y0c5emFYUnBiMjRsTWpJbE0wRWxOMElsTWpKNEpUSXlKVE5CTVRBbE1rTWxNako1SlRJeUpUTkJNQ1V5UXlVeU1uY2xNaklsTTBFbE1qSjNMVEl3SlRJeUpUSkRKVEl5YUNVeU1pVXpRU1V5TW1nbE1qSWxOMFFsTWtNbE1qSjBaWGgwSlRJeUpUTkJKVEl5SlVVM0pUbERKVGxHSlVVM0pVRTVKVUpCSlVVMUpVSTVKVUl5SlVVM0pUZzNKVUUxSlVVMkpVRTNKVUpF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RWGxzU1ZkMFZXTndUekk0TmpZNU9DVXlNaVV6UVNVM1FpVXlNbWxrSlRJeUpUTkJKVEl5UVhsc1NWZDBWV053VHpJNE5qWTVPQ1V5TWlVeVF5VXlNbTVoYldVbE1qSWxNMEVsTWpKeVpXTjBZVzVuYkdVbE1qSWxNa01sTWpKMGFYUnNaU1V5TWlVelFTVXlNaVZGTnlVNVJpVkJPU1ZGTlNWQ1JDVkJNa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nRXRmxxWlVaWmMycDJNRGMyTlRZNUpUSXlKVGRFSlRKREpUZENKVEl5Ym1GdFpTVXlNaVV6UVNVeU1pVkZOU1U1TUNVNFJDVkZOeVZCTnlWQ01DVXlNaVV5UXlVeU1uUjVjR1VsTWpJbE0wRWxNakp6ZEhKcGJtY2xNaklsTWtNbE1qSjJZV3gxWlNVeU1pVXpRU1V5TWlVeU1pVXlReVV5TW1OaGRHVm5iM0o1SlRJeUpUTkJKVEl5WkdWbVlYVnNkQ1V5TWlVeVF5VXlNbWxrSlRJeUpUTkJKVEl5Ulc1MllWQkdiRmR0V1RVME5UZzFOaV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TNSQ1V5UXlVeU1uUmxlSFJDYkc5amF5VXlNaVV6UVNVMVFpVTNRaVV5TW5CdmMybDBhVzl1SlRJeUpUTkJKVGRDSlRJeWVDVXlNaVV6UVRFd0pUSkRKVEl5ZVNVeU1pVXpRVEFsTWtNbE1qSjNKVEl5SlROQkpUSXlkeTB5TUNVeU1pVXlReVV5TW1nbE1qSWxNMEVsTWpKb0pUSXlKVGRFSlRKREpUSXlkR1Y0ZENVeU1pVXpRU1V5TWlWRk55VkJNaVZDTXlWRk5TVTVSaVZDUVNWRk5pVkNPQ1U0TlNWRk5pVkNOQ1U1TnlWRk5pVkJOeVZDUkN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azlCYld0aFRtZHpSRUl4TmpFeU9UUWxNaklsTTBFbE4wSWxNakpwWkNVeU1pVXpRU1V5TWs5QmJXdGhUbWR6UkVJeE5qRXlPVFFsTWpJbE1rTWxNakp1WVcxbEpUSXlKVE5CSlRJeWNtVmpkR0Z1WjJ4bEpUSXlKVEpESlRJeWRHbDBiR1VsTWpJbE0wRWxNaklsUlRjbE9VWWxRVGtsUlRVbFFrUWxRVEl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RbFJGU0VWYVdFTmlhamMyTXpFME9DVXlNaVUzUkNVeVF5VTNRaVV5TW01aGJXVWxNaklsTTBFbE1qSWxSVFVsT1RBbE9FUWxSVGNsUVRjbFFqQWxNaklsTWtNbE1qSjBlWEJsSlRJeUpUTkJKVEl5YzNSeWFXNW5KVEl5SlRKREpUSXlkbUZzZFdVbE1qSWxNMEVsTWpJbE1qSWxNa01sTWpKallYUmxaMjl5ZVNVeU1pVXpRU1V5TW1SbFptRjFiSFFsTWpJbE1rTWxNakpwWkNVeU1pVXpRU1V5TWxaVWRGSnViRXA0VDJFME5EYzBNVEV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OMFFsTWtNbE1qSjBaWGgwUW14dlkyc2xNaklsTTBFbE5VSWxOMElsTWpKd2IzTnBkR2x2YmlVeU1pVXpRU1UzUWlVeU1uZ2xNaklsTTBFeE1DVXlReVV5TW5rbE1qSWxNMEV3SlRKREpUSXlkeVV5TWlVelFTVXlNbmN0TWpBbE1qSWxNa01sTWpKb0pUSXlKVE5CSlRJeWFDVXlNaVUzUkNVeVF5VXlNblJsZUhRbE1qSWxNMEVsTWpJbFJUWWxPVGNsUVRjbFJUWWxRallsUWpJbFJUVWxPRElsUVRnbFJUVWxRVVFsT1RnbFJUZ2xRVE1sT0RVbFJUY2xRa1FsUVVV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HWjBaYVYzTjNRVWRMTWpRMU9UY3hKVEl5SlROQkpUZENKVEl5YVdRbE1qSWxNMEVsTWpKR1owWmFWM04zUVVkTE1qUTFPVGN4SlRJeUpUSkRKVEl5Ym1GdFpTVXlNaVV6UVNVeU1uSmxZM1JoYm1kc1pTVXlNaVV5UXlVeU1uUnBkR3hsSlRJeUpUTkJKVEl5SlVVM0pUbEdKVUU1SlVVMUpVSkVKVUV5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k52VjBaMVZubHhTMVkyTnpZek9USWxNaklsTjBRbE1rTWxOMElsTWpKdVlXMWxKVEl5SlROQkpUSXlKVVUxSlRrd0pUaEVKVVUzSlVFM0pVSXdKVEl5SlRKREpUSXlkSGx3WlNVeU1pVXpRU1V5TW5OMGNtbHVaeVV5TWlVeVF5VXlNblpoYkhWbEpUSXlKVE5CSlRJeUpUSXlKVEpESlRJeVkyRjBaV2R2Y25rbE1qSWxNMEVsTWpKa1pXWmhkV3gwSlRJeUpUSkRKVEl5YVdRbE1qSWxNMEVsTWpKQ2JYcHhSblJXZDFkSU1UazROVFV4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GRFSlRKREpUSXlkR1Y0ZEVKc2IyTnJKVEl5SlROQkpUVkNKVGRDSlRJeWNHOXphWFJwYjI0bE1qSWxNMEVsTjBJbE1qSjRKVEl5SlROQk1UQWxNa01sTWpKNUpUSXlKVE5CTUNVeVF5VXlNbmNsTWpJbE0wRWxNakozTFRJd0pUSXlKVEpESlRJeWFDVXlNaVV6UVNVeU1tZ2xNaklsTjBRbE1rTWxNakowWlhoMEpUSXlKVE5CSlRJeUpVVTRKVGt5SlVJNEpVVTVKVUUySlRoR0pVVTFKVGcySlRoRUpVVTNKVGswSlRsR0pVVTNKVUl6SlVKQ0pVVTNKVUpDSlRsR0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VkVSTFkxUjFZMHBaUlRrMk5USXhNaVV5TWlVelFTVTNRaVV5TW1sa0pUSXlKVE5CSlRJeVZFUkxZMVIxWTBwWlJUazJOVEl4TWlVeU1pVXlReVV5TW01aGJXVWxNaklsTTBFbE1qSnlaV04wWVc1bmJHVWxNaklsTWtNbE1qSjBhWFJzWlNVeU1pVXpRU1V5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XVG5aTWJtaHNVVWROTlRVMk9UVXdKVEl5SlRkRUpUSkRKVGRDSlRJeWJtRnRaU1V5TWlVelFTVXlNaVZGTlNVNU1DVTRSQ1ZGTnlWQk55VkNNQ1V5TWlVeVF5VXlNblI1Y0dVbE1qSWxNMEVsTWpKemRISnBibWNsTWpJbE1rTWxNakoyWVd4MVpTVXlNaVV6UVNVeU1pVXlNaVV5UXlVeU1tTmhkR1ZuYjNKNUpUSXlKVE5CSlRJeVpHVm1ZWFZzZENVeU1pVXlReVV5TW1sa0pUSXlKVE5CSlRJeWRsRmlWMFZKVUhsQmF6Y3dNelV4TXl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UzUkNVeVF5VXlNblJsZUhSQ2JHOWpheVV5TWlVelFTVTFRaVUzUWlVeU1uQnZjMmwwYVc5dUpUSXlKVE5CSlRkQ0pUSXllQ1V5TWlVelFURXdKVEpESlRJeWVTVXlNaVV6UVRBbE1rTWxNakozSlRJeUpUTkJKVEl5ZHkweU1DVXlNaVV5UXlVeU1tZ2xNaklsTTBFbE1qSm9KVEl5SlRkRUpUSkRKVEl5ZEdWNGRDVXlNaVV6UVNVeU1pVkZOU1U0TWlWQk9DVkZOaVZDTmlWQ01pVkZPQ1ZCTXlVNE5TVkZOeVZDUkNWQlJT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1WTVYxSkhXVXRSVVVneU1Ea3pNemdsTWpJbE0wRWxOMElsTWpKcFpDVXlNaVV6UVNVeU1tVk1WMUpIV1V0UlVVZ3lNRGt6TXpnbE1qSWxNa01sTWpKdVlXMWxKVEl5SlROQkpUSXlkR1Y0ZENVeU1pVXlReVV5TW5ScGRHeGxKVEl5SlROQkpUSXlKVVUySlRrMkpUZzNKVVUySlRsREpVRkR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rMUVSSFp5ZVdaaldVNHpORGM0TVRjbE1qSWxOMFFsTWtNbE4wSWxNakp1WVcxbEpUSXlKVE5CSlRJeUpVVTFKVGt3SlRoRUpVVTNKVUUzSlVJd0pUSXlKVEpESlRJeWRIbHdaU1V5TWlVelFTVXlNbk4wY21sdVp5VXlNaVV5UXlVeU1uWmhiSFZsSlRJeUpUTkJKVEl5SlRJeUpUSkRKVEl5WTJGMFpXZHZjbmtsTWpJbE0wRWxNakprWldaaGRXeDBKVEl5SlRKREpUSXlhV1FsTWpJbE0wRWxNakp5VUhWMFpVZFBWR2RaTURZNE5UVTB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M1JDVXlReVV5TW5SbGVIUkNiRzlqYXlVeU1pVXpRU1UxUWlVM1FpVXlNbkJ2YzJsMGFXOXVKVEl5SlROQkpUZENKVEl5ZUNVeU1pVXpRVEFsTWtNbE1qSjVKVEl5SlROQk1DVXlReVV5TW5jbE1qSWxNMEVsTWpKM0pUSXlKVEpESlRJeWFDVXlNaVV6UVNVeU1tZ2xNaklsTjBRbE1rTWxNakowWlhoMEpUSXlKVE5CSlRJeUpVVTNKVUV5SlVJekpVVTFKVGxHSlVKQkpVVTJKVUk0SlRnMUpVVTJKVUkwSlRrM0pVVTFKVGc1SlRneU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U0VKMWRYaFpaa0YyVkRJNU1EYzNOeVV5TWlVelFTVTNRaVV5TW1sa0pUSXlKVE5CSlRJeVNFSjFkWGhaWmtGMlZESTVNRGMzTnlVeU1pVXlReVV5TW01aGJXVWxNaklsTTBFbE1qSjBaWGgwSlRJeUpUSkRKVEl5ZEdsMGJHVWxNaklsTTBFbE1qSWxSVFlsT1RZbE9EY2xSVFlsT1VNbFFVT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WFHNUlWSGRvZGxwWWR6QXlOVGt5T0NVeU1pVTNSQ1V5UXlVM1FpVXlNbTVoYldVbE1qSWxNMEVsTWpJbFJUVWxPVEFsT0VRbFJUY2xRVGNsUWpBbE1qSWxNa01sTWpKMGVYQmxKVEl5SlROQkpUSXljM1J5YVc1bkpUSXlKVEpESlRJeWRtRnNkV1VsTWpJbE0wRWxNaklsTWpJbE1rTWxNakpqWVhSbFoyOXllU1V5TWlVelFTVXlNbVJsWm1GMWJIUWxNaklsTWtNbE1qSnBaQ1V5TWlVelFTVXlNbGxWVDJSV2MxQjNlWE0zTlRBNE5Ea2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M1JDVXlReVV5TW5SbGVIUkNiRzlqYXlVeU1pVXpRU1UxUWlVM1FpVXlNbkJ2YzJsMGFXOXVKVEl5SlROQkpUZENKVEl5ZUNVeU1pVXpRVEFsTWtNbE1qSjVKVEl5SlROQk1DVXlReVV5TW5jbE1qSWxNMEVsTWpKM0pUSXlKVEpESlRJeWFDVXlNaVV6UVNVeU1tZ2xNaklsTjBRbE1rTWxNakowWlhoMEpUSXlKVE5CSlRJeUpVVTFKVGcySlRoRUpVVTNKVGswSlRsR0pVVTJKVUkySlVJeU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WjJ0VFpHdG5iM2x5VERrd09EQXdOeVV5TWlVelFTVTNRaVV5TW1sa0pUSXlKVE5CSlRJeVoydFRaR3RuYjNseVREa3dPREF3TnlVeU1pVXlReVV5TW01aGJXVWxNaklsTTBFbE1qSjBaWGgwSlRJeUpUSkRKVEl5ZEdsMGJHVWxNaklsTTBFbE1qSWxSVFlsT1RZbE9EY2xSVFlsT1VNbFFVT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puVm9kbnBhUkc1bGVEYzJOVFU1TkNVeU1pVTNSQ1V5UXlVM1FpVXlNbTVoYldVbE1qSWxNMEVsTWpJbFJUVWxPVEFsT0VRbFJUY2xRVGNsUWpBbE1qSWxNa01sTWpKMGVYQmxKVEl5SlROQkpUSXljM1J5YVc1bkpUSXlKVEpESlRJeWRtRnNkV1VsTWpJbE0wRWxNaklsTWpJbE1rTWxNakpqWVhSbFoyOXllU1V5TWlVelFTVXlNbVJsWm1GMWJIUWxNaklsTWtNbE1qSnBaQ1V5TWlVelFTVXlNbGx0YUU1SFNtNVdjRTh3TURNMk5US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M1JDVXlReVV5TW5SbGVIUkNiRzlqYXlVeU1pVXpRU1UxUWlVM1FpVXlNbkJ2YzJsMGFXOXVKVEl5SlROQkpUZENKVEl5ZUNVeU1pVXpRVEFsTWtNbE1qSjVKVEl5SlROQk1DVXlReVV5TW5jbE1qSWxNMEVsTWpKM0pUSXlKVEpESlRJeWFDVXlNaVV6UVNVeU1tZ2xNaklsTjBRbE1rTWxNakowWlhoMEpUSXlKVE5CSlRJeUpVVTRKVGt5SlVJNEpVVTJKVUl4SlVKRU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YzFwNlRsRnBUM1p3ZHpZNE5UZ3dPQ1V5TWlVelFTVTNRaVV5TW1sa0pUSXlKVE5CSlRJeWMxcDZUbEZwVDNad2R6WTROVGd3T0NVeU1pVXlReVV5TW01aGJXVWxNaklsTTBFbE1qSjBaWGgwSlRJeUpUSkRKVEl5ZEdsMGJHVWxNaklsTTBFbE1qSWxSVFlsT1RZbE9EY2xSVFlsT1VNbFFVT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UzaG5aVTkzVjI5a2FqSXhOalUyTWlVeU1pVTNSQ1V5UXlVM1FpVXlNbTVoYldVbE1qSWxNMEVsTWpJbFJUVWxPVEFsT0VRbFJUY2xRVGNsUWpBbE1qSWxNa01sTWpKMGVYQmxKVEl5SlROQkpUSXljM1J5YVc1bkpUSXlKVEpESlRJeWRtRnNkV1VsTWpJbE0wRWxNaklsTWpJbE1rTWxNakpqWVhSbFoyOXllU1V5TWlVelFTVXlNbVJsWm1GMWJIUWxNaklsTWtNbE1qSnBaQ1V5TWlVelFTVXlNbkJNYjJSUWJtRmlUbUkyTURrME9UR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eHBibVZUZEhsc1pTVXlNaVV6UVNVM1FpVXlNbXhwYm1WWGFXUjBhQ1V5TWlVelFUQWxOMFFsTWtNbE1qSm1hV3hzVTNSNWJHVWxNaklsTTBFbE4wSWxNakowZVhCbEpUSXlKVE5CSlRJeWJtOXVaU1V5TWlVM1JDVXlRe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kRUpUSkRKVEl5ZEdWNGRFSnNiMk5ySlRJeUpUTkJKVFZDSlRkQ0pUSXljRzl6YVhScGIyNGxNaklsTTBFbE4wSWxNako0SlRJeUpUTkJNQ1V5UXlVeU1ua2xNaklsTTBFd0pUSkRKVEl5ZHlVeU1pVXpRU1V5TW5jbE1qSWxNa01sTWpKb0pUSXlKVE5CSlRJeWFDVXlNaVUzUkNVeVF5VXlNblJsZUhRbE1qSWxNMEVsTWpJbFJUVWxPRFlsUWpjbFJUVWxPRGNsT1VRbFJUVWxPVUlsT1VVbFJUWWxPVFFsUWpZbFJUWWxRallsUWpJ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o2VlhkWlNFSldkWFppTURrNE5ERTFKVEl5SlROQkpUZENKVEl5YVdRbE1qSWxNMEVsTWpKNlZYZFpTRUpXZFhaaU1EazROREUxSlRJeUpUSkRKVEl5Ym1GdFpTVXlNaVV6UVNVeU1uUmxlSFFsTWpJbE1rTWxNakowYVhSc1pTVXlNaVV6UVNVeU1pVkZOaVU1TmlVNE55VkZOaVU1UXlWQlF5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blNtbHRWR0Y1U2xGU09ESTVNamM1SlRJeUpUZEVKVEpESlRkQ0pUSXlibUZ0WlNVeU1pVXpRU1V5TWlWRk5TVTVNQ1U0UkNWRk55VkJOeVZDTUNVeU1pVXlReVV5TW5SNWNHVWxNaklsTTBFbE1qSnpkSEpwYm1jbE1qSWxNa01sTWpKMllXeDFaU1V5TWlVelFTVXlNaVV5TWlVeVF5VXlNbU5oZEdWbmIzSjVKVEl5SlROQkpUSXlaR1ZtWVhWc2RDVXlNaVV5UXlVeU1tbGtKVEl5SlROQkpUSXlSMjVHYkcxaGIwWkhTemd4TWpjMk9T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eHBibVZUZEhsc1pTVXlNaVV6UVNVM1FpVXlNbXhwYm1WWGFXUjBhQ1V5TWlVelFUQWxOMFFsTWtNbE1qSm1hV3hzVTNSNWJHVWxNaklsTTBFbE4wSWxNakowZVhCbEpUSXlKVE5CSlRJeWJtOXVaU1V5TWlVM1JDVXlRe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kRUpUSkRKVEl5ZEdWNGRFSnNiMk5ySlRJeUpUTkJKVFZDSlRkQ0pUSXljRzl6YVhScGIyNGxNaklsTTBFbE4wSWxNako0SlRJeUpUTkJNQ1V5UXlVeU1ua2xNaklsTTBFd0pUSkRKVEl5ZHlVeU1pVXpRU1V5TW5jbE1qSWxNa01sTWpKb0pUSXlKVE5CSlRJeWFDVXlNaVUzUkNVeVF5VXlNblJsZUhRbE1qSWxNMEVsTWpJbFJUWWxRamdsT0RVbFJUWWxRalFsT1RjbFJUVWxRa0VsT1VZbFJUWWxRallsUWpJ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0VEVwSGVHSlFRbXhPTnpBeU5EYzVKVEl5SlROQkpUZENKVEl5YVdRbE1qSWxNMEVsTWpKdFRFcEhlR0pRUW14T056QXlORGM1SlRJeUpUSkRKVEl5Ym1GdFpTVXlNaVV6UVNVeU1uSmxZM1JoYm1kc1pTVXlNaVV5UXlVeU1uUnBkR3hsSlRJeUpUTkJKVEl5SlVVM0pUbEdKVUU1SlVVMUpVSkVKVUV5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WhGYTI1dFVGSndjbGMzTVRBNU1UZ2xNaklsTjBRbE1rTWxOMElsTWpKdVlXMWxKVEl5SlROQkpUSXlKVVUxSlRrd0pUaEVKVVUzSlVFM0pVSXdKVEl5SlRKREpUSXlkSGx3WlNVeU1pVXpRU1V5TW5OMGNtbHVaeVV5TWlVeVF5VXlNblpoYkhWbEpUSXlKVE5CSlRJeUpUSXlKVEpESlRJeVkyRjBaV2R2Y25rbE1qSWxNMEVsTWpKa1pXWmhkV3gwSlRJeUpUSkRKVEl5YVdRbE1qSWxNMEVsTWpKdlNHRkdkMkZ1Y1dkMk1qa3hNalEx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jBRbE1rTWxNakowWlhoMFFteHZZMnNsTWpJbE0wRWxOVUlsTjBJbE1qSndiM05wZEdsdmJpVXlNaVV6UVNVM1FpVXlNbmdsTWpJbE0wRXhNQ1V5UXlVeU1ua2xNaklsTTBFd0pUSkRKVEl5ZHlVeU1pVXpRU1V5TW5jdE1qQWxNaklsTWtNbE1qSm9KVEl5SlROQkpUSXlhQ1V5TWlVM1JDVXlReVV5TW5SbGVIUWxNaklsTTBFbE1qSkhNeVZGTmlWQ09DVTROU1ZGTmlWQ05DVTVOeVZGTlNWQ1FTVTVSaVZGTmlWQ01DVTVOQ1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uVnJUWEZsYWxKUVEyYzJOVEl3T0RFbE1qSWxNMEVsTjBJbE1qSnBaQ1V5TWlVelFTVXlNblZyVFhGbGFsSlFRMmMyTlRJd09ERWxNaklsTWtNbE1qSnVZVzFsSlRJeUpUTkJKVEl5Y21WamRHRnVaMnhsSlRJeUpUSkRKVEl5ZEdsMGJHVWxNaklsTTBFbE1q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ZYTlNkV1o0VFhGblZqTXpOVFkyTmlVeU1pVTNSQ1V5UXlVM1FpVXlNbTVoYldVbE1qSWxNMEVsTWpJbFJUVWxPVEFsT0VRbFJUY2xRVGNsUWpBbE1qSWxNa01sTWpKMGVYQmxKVEl5SlROQkpUSXljM1J5YVc1bkpUSXlKVEpESlRJeWRtRnNkV1VsTWpJbE0wRWxNaklsTWpJbE1rTWxNakpqWVhSbFoyOXllU1V5TWlVelFTVXlNbVJsWm1GMWJIUWxNaklsTWtNbE1qSnBaQ1V5TWlVelFTVXlNbFp4V210NlEwTmhVa2s0TWprd056Q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OMFFsTWtNbE1qSjBaWGgwUW14dlkyc2xNaklsTTBFbE5VSWxOMElsTWpKd2IzTnBkR2x2YmlVeU1pVXpRU1UzUWlVeU1uZ2xNaklsTTBFeE1DVXlReVV5TW5rbE1qSWxNMEV3SlRKREpUSXlkeVV5TWlVelFTVXlNbmN0TWpBbE1qSWxNa01sTWpKb0pUSXlKVE5CSlRJeWFDVXlNaVUzUkNVeVF5VXlNblJsZUhRbE1qSWxNMEVsTWpKSE5DVkZPQ1U1TWlWQ09DVkZPU1ZCTmlVNFJpVkZOU1U0TmlVNFJDVkZOeVU1TkNVNVJpVkZOU1ZDUVNVNVJpVkZOaVZDTUNVNU5D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xKdFprOWtaazl2UjJVek5USXhOellsTWpJbE0wRWxOMElsTWpKcFpDVXlNaVV6UVNVeU1sSnRaazlrWms5dlIyVXpOVEl4TnpZbE1qSWxNa01sTWpKdVlXMWxKVEl5SlROQkpUSXlkR1Y0ZENVeU1pVXlReVV5TW5ScGRHeGxKVEl5SlROQkpUSXlKVVUySlRrMkpUZzNKVVUySlRsREpVRkR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ucEdRM2xVZDNWaWRtWXpOVEUzTkRBbE1qSWxOMFFsTWtNbE4wSWxNakp1WVcxbEpUSXlKVE5CSlRJeUpVVTFKVGt3SlRoRUpVVTNKVUUzSlVJd0pUSXlKVEpESlRJeWRIbHdaU1V5TWlVelFTVXlNbk4wY21sdVp5VXlNaVV5UXlVeU1uWmhiSFZsSlRJeUpUTkJKVEl5SlRJeUpUSkRKVEl5WTJGMFpXZHZjbmtsTWpJbE0wRWxNakprWldaaGRXeDBKVEl5SlRKREpUSXlhV1FsTWpJbE0wRWxNakpqWVdSUmEzTnZha0pVTVRVME9EZzV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eU1tTnZiRzl5SlRJeUpUTkJKVEl5TWpNeEpUSkROemtsTWtNM05pVXlNaVUzUkNVeVF5VXlNblJsZUhSQ2JHOWpheVV5TWlVelFTVTFRaVUzUWlVeU1uQnZjMmwwYVc5dUpUSXlKVE5CSlRkQ0pUSXllQ1V5TWlVelFUQWxNa01sTWpKNUpUSXlKVE5CTUNVeVF5VXlNbmNsTWpJbE0wRWxNakozSlRJeUpUSkRKVEl5YUNVeU1pVXpRU1V5TW1nbE1qSWxOMFFsTWtNbE1qSjBaWGgwSlRJeUpUTkJKVEl5VXpRbFJUZ2xPVElsUWpnbFJUa2xRVFlsT0VZbFJUVWxRa0VsT1VZbFJUWWxRallsUWpJ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"/>
    </extobj>
    <extobj name="E657119C-6982-421D-8BA7-E74DEB70A7D9-4">
      <extobjdata type="E657119C-6982-421D-8BA7-E74DEB70A7D9" data="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tVjViRU5hZWtKTlluRTROelkzTXprbE1qSWxOMFFsTWtNbE4wSWxNakp1WVcxbEpUSXlKVE5CSlRJeUpVVTFKVGt3SlRoRUpVVTNKVUUzSlVJd0pUSXlKVEpESlRJeWRIbHdaU1V5TWlVelFTVXlNbk4wY21sdVp5VXlNaVV5UXlVeU1uWmhiSFZsSlRJeUpUTkJKVEl5SlRJeUpUSkRKVEl5WTJGMFpXZHZjbmtsTWpJbE0wRWxNakprWldaaGRXeDBKVEl5SlRKREpUSXlhV1FsTWpJbE0wRWxNakpUVUhSd1JIRm1aMkZoTVRVME5EQTV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TNSQ1V5UXlVeU1rZGlVMGgwU0UxeVlXSTVOalF3TURVbE1qSWxNMEVsTjBJbE1qSnBaQ1V5TWlVelFTVXlNa2RpVTBoMFNFMXlZV0k1TmpRd01EVWxNaklsTWtNbE1qSnVZVzFsSlRJeUpUTkJKVEl5Y21WamRHRnVaMnhsSlRJeUpUSkRKVEl5ZEdsMGJHVWxNaklsTTBFbE1qSWxSVGNsT1VZbFFUa2xSVFVsUWtRbFFUS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WRYcDNTVU5KUlcxUWVESXlORFl6TWlVeU1pVTNSQ1V5UXlVM1FpVXlNbTVoYldVbE1qSWxNMEVsTWpJbFJUVWxPVEFsT0VRbFJUY2xRVGNsUWpBbE1qSWxNa01sTWpKMGVYQmxKVEl5SlROQkpUSXljM1J5YVc1bkpUSXlKVEpESlRJeWRtRnNkV1VsTWpJbE0wRWxNaklsTWpJbE1rTWxNakpqWVhSbFoyOXllU1V5TWlVelFTVXlNbVJsWm1GMWJIUWxNaklsTWtNbE1qSnBaQ1V5TWlVelFTVXlNbU5vZUVKWlFWbHZZVzQyTlRNME9EY2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M1JDVXlReVV5TW5SbGVIUkNiRzlqYXlVeU1pVXpRU1UxUWlVM1FpVXlNbkJ2YzJsMGFXOXVKVEl5SlROQkpUZENKVEl5ZUNVeU1pVXpRVEV3SlRKREpUSXllU1V5TWlVelFUQWxNa01sTWpKM0pUSXlKVE5CSlRJeWR5MHlNQ1V5TWlVeVF5VXlNbWdsTWpJbE0wRWxNakpvSlRJeUpUZEVKVEpESlRJeWRHVjRkQ1V5TWlVelFTVXlNaVZGT1NVNVJDVTVSU1ZGTnlVNU5DVkNNaVZGTnlVNE15VkNOeVZGTmlVNE1DVkNRaVZGTnlVNE15VTRNekF1TVRNM2RDVXlSbUV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OMFFsTWtNbE1qSm1RMkpoVUhoRVdGbDBPVFUwTURBd0pUSXlKVE5CSlRkQ0pUSXlhV1FsTWpJbE0wRWxNakptUTJKaFVIaEVXRmwwT1RVME1EQXd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sbDNTRTk1VW1wMWFrNDFOamsxTmpjbE1qSWxOMFFsTWtNbE4wSWxNakp1WVcxbEpUSXlKVE5CSlRJeUpVVTFKVGt3SlRoRUpVVTNKVUUzSlVJd0pUSXlKVEpESlRJeWRIbHdaU1V5TWlVelFTVXlNbk4wY21sdVp5VXlNaVV5UXlVeU1uWmhiSFZsSlRJeUpUTkJKVEl5SlRJeUpUSkRKVEl5WTJGMFpXZHZjbmtsTWpJbE0wRWxNakprWldaaGRXeDBKVEl5SlRKREpUSXlhV1FsTWpJbE0wRWxNakp2YkVkU1UxUmFWV2RNTkRrek9EZ3p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ZEVKVEpESlRJeWRHVjRkRUpzYjJOckpUSXlKVE5CSlRWQ0pUZENKVEl5Y0c5emFYUnBiMjRsTWpJbE0wRWxOMElsTWpKNEpUSXlKVE5CTVRBbE1rTWxNako1SlRJeUpUTkJNQ1V5UXlVeU1uY2xNaklsTTBFbE1qSjNMVEl3SlRJeUpUSkRKVEl5YUNVeU1pVXpRU1V5TW1nbE1qSWxOMFFsTWtNbE1qSjBaWGgwSlRJeUpUTkJKVEl5SlVVMUpVSkJKVGxHSlVVMkpVRTNKVUpFSlVVMkpVSTJKVUl5SlRORFpHbDJKVE5GTVNVelEzTndZVzRsTWpCemRIbHNaU1V6UkNVMVF5VXlNbVp2Ym5RdGMybDZaU1V6UVdsdWFHVnlhWFFsTTBJbE5VTWxNaklsTTBVdU1EVTBkQ1V5Um1FbE0wTWxNa1p6Y0dGdUpUTkZKVE5ESlRKR1pHbDJKVE5G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URXhxYTNadFoxRnJZVFkxTWpZek9DVXlNaVV6UVNVM1FpVXlNbWxrSlRJeUpUTkJKVEl5VEV4cWEzWnRaMUZyWVRZMU1qWXpPQ1V5TWlVeVF5VXlNbTVoYldVbE1qSWxNMEVsTWpKeVpXTjBZVzVuYkdVbE1qSWxNa01sTWpKMGFYUnNaU1V5TWlVelFTVXlNaVZGTnlVNVJpVkJPU1ZGTlNWQ1JDVkJNa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kVRblp0VjBoVVYwNUlORFF3TWpZd0pUSXlKVGRFSlRKREpUZENKVEl5Ym1GdFpTVXlNaVV6UVNVeU1pVkZOU1U1TUNVNFJDVkZOeVZCTnlWQ01DVXlNaVV5UXlVeU1uUjVjR1VsTWpJbE0wRWxNakp6ZEhKcGJtY2xNaklsTWtNbE1qSjJZV3gxWlNVeU1pVXpRU1V5TWlVeU1pVXlReVV5TW1OaGRHVm5iM0o1SlRJeUpUTkJKVEl5WkdWbVlYVnNkQ1V5TWlVeVF5VXlNbWxrSlRJeUpUTkJKVEl5UVhablVHeDJlVkZpVFRRMU16WXpNQ1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TNSQ1V5UXlVeU1uUmxlSFJDYkc5amF5VXlNaVV6UVNVMVFpVTNRaVV5TW5CdmMybDBhVzl1SlRJeUpUTkJKVGRDSlRJeWVDVXlNaVV6UVRFd0pUSkRKVEl5ZVNVeU1pVXpRVEFsTWtNbE1qSjNKVEl5SlROQkpUSXlkeTB5TUNVeU1pVXlReVV5TW1nbE1qSWxNMEVsTWpKb0pUSXlKVGRFSlRKREpUSXlkR1Y0ZENVeU1pVXpRU1V5TWlWRk9TVTVSQ1U1UlNWRk55VTVOQ1ZDTWlWRk55VTRNeVZDTnlWRk5pVTRNQ1ZDUWlWRk55VTRNeVU0TXpBdU1ERTB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4wUWxNa01sTWpKMFpYaDBRbXh2WTJzbE1qSWxNMEVsTlVJbE4wSWxNakp3YjNOcGRHbHZiaVV5TWlVelFTVTNRaVV5TW5nbE1qSWxNMEV4TUNVeVF5VXlNbmtsTWpJbE0wRXdKVEpESlRJeWR5VXlNaVV6UVNVeU1uY3RNakFsTWpJbE1rTWxNakpvSlRJeUpUTkJKVEl5YUNVeU1pVTNSQ1V5UXlVeU1uUmxlSFFsTWpJbE0wRWxNaklsUlRnbFFrWWxPVUlsUlRVbE9EVWxRVFVsUlRZbFFqUWxRa0lsUlRZbE9EQWxRVGNsUlRjbE9ESWxRVVFsUlRVbE9UQWxRamdsUlRrbE9Ua2xPRFFsUlRnbFFUTWxPRFVsUlRjbFFrUWxRVVV3TGpFeU15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1oS1NGaFZSVWhuVWswek9EQXhNREVsTWpJbE0wRWxOMElsTWpKcFpDVXlNaVV6UVNVeU1taEtTRmhWUlVoblVrMHpPREF4TURFbE1qSWxNa01sTWpKdVlXMWxKVEl5SlROQkpUSXlkR1Y0ZENVeU1pVXlReVV5TW5ScGRHeGxKVEl5SlROQkpUSXlKVVUySlRrMkpUZzNKVVUySlRsREpVRkR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uUkdaM0JyYVU5aVdrTTFOamd6TlRJbE1qSWxOMFFsTWtNbE4wSWxNakp1WVcxbEpUSXlKVE5CSlRJeUpVVTFKVGt3SlRoRUpVVTNKVUUzSlVJd0pUSXlKVEpESlRJeWRIbHdaU1V5TWlVelFTVXlNbk4wY21sdVp5VXlNaVV5UXlVeU1uWmhiSFZsSlRJeUpUTkJKVEl5SlRJeUpUSkRKVEl5WTJGMFpXZHZjbmtsTWpJbE0wRWxNakprWldaaGRXeDBKVEl5SlRKREpUSXlhV1FsTWpJbE0wRWxNakpZZWxsMVRraGplRnBtTkRBM01USXd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5VjFwbVUyZDFaVkY2TnprMk1qa3lKVEl5SlROQkpUZENKVEl5YVdRbE1qSWxNMEVsTWpKeVYxcG1VMmQxWlZGNk56azJNamt5SlRJeUpUSkRKVEl5Ym1GdFpTVXlNaVV6UVNVeU1uSmxZM1JoYm1kc1pTVXlNaVV5UXlVeU1uUnBkR3hsSlRJeUpUTkJKVEl5SlVVM0pUbEdKVUU1SlVVMUpVSkVKVUV5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a2xxUmxSYWRVbG1WbU14T0RFeU5EZ2xNaklsTjBRbE1rTWxOMElsTWpKdVlXMWxKVEl5SlROQkpUSXlKVVUxSlRrd0pUaEVKVVUzSlVFM0pVSXdKVEl5SlRKREpUSXlkSGx3WlNVeU1pVXpRU1V5TW5OMGNtbHVaeVV5TWlVeVF5VXlNblpoYkhWbEpUSXlKVE5CSlRJeUpUSXlKVEpESlRJeVkyRjBaV2R2Y25rbE1qSWxNMEVsTWpKa1pXWmhkV3gwSlRJeUpUSkRKVEl5YVdRbE1qSWxNMEVsTWpKSFMxVjVRV0pFUlVGSk56QXpOVGsz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GRFSlRKREpUSXlkR1Y0ZEVKc2IyTnJKVEl5SlROQkpUVkNKVGRDSlRJeWNHOXphWFJwYjI0bE1qSWxNMEVsTjBJbE1qSjRKVEl5SlROQk1UQWxNa01sTWpKNUpUSXlKVE5CTUNVeVF5VXlNbmNsTWpJbE0wRWxNakozTFRJd0pUSXlKVEpESlRJeWFDVXlNaVV6UVNVeU1tZ2xNaklsTjBRbE1rTWxNakowWlhoMEpUSXlKVE5CSlRJeUpVVTFKVUUwSlVFM0pVVTJKVUl3SlRrMEpVVTNKVGhGSlVGR0pVVTFKVUV5SlRnek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VW05SFZWVkNhVU5oYURjeU16RTFOaVV5TWlVelFTVTNRaVV5TW1sa0pUSXlKVE5CSlRJeVVtOUhWVlZDYVVOaGFEY3lNekUxTmlVeU1pVXlReVV5TW01aGJXVWxNaklsTTBFbE1qSjBaWGgwSlRJeUpUSkRKVEl5ZEdsMGJHVWxNaklsTTBFbE1qSWxSVFlsT1RZbE9EY2xSVFlsT1VNbFFVT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dsZFBZMFpCWW5ORFF6YzJNak0wTkNVeU1pVTNSQ1V5UXlVM1FpVXlNbTVoYldVbE1qSWxNMEVsTWpJbFJUVWxPVEFsT0VRbFJUY2xRVGNsUWpBbE1qSWxNa01sTWpKMGVYQmxKVEl5SlROQkpUSXljM1J5YVc1bkpUSXlKVEpESlRJeWRtRnNkV1VsTWpJbE0wRWxNaklsTWpJbE1rTWxNakpqWVhSbFoyOXllU1V5TWlVelFTVXlNbVJsWm1GMWJIUWxNaklsTWtNbE1qSnBaQ1V5TWlVelFTVXlNa1p3Um1WdlJHUlBSbmd6TkRZNU1qZ2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XRXBKY201SlVuTnphalEwTVRRMk55VXlNaVV6UVNVM1FpVXlNbWxrSlRJeUpUTkJKVEl5V0VwSmNtNUpVbk56YWpRME1UUTJOeVV5TWlVeVF5VXlNbTVoYldVbE1qSWxNMEVsTWpKeVpXTjBZVzVuYkdVbE1qSWxNa01sTWpKMGFYUnNaU1V5TWlVelFTVXlNaVZGTnlVNVJpVkJPU1ZGTlNWQ1JDVkJNa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mFaRzVEYTIxc1QwZGxNemt3TlRNeEpUSXlKVGRFSlRKREpUZENKVEl5Ym1GdFpTVXlNaVV6UVNVeU1pVkZOU1U1TUNVNFJDVkZOeVZCTnlWQ01DVXlNaVV5UXlVeU1uUjVjR1VsTWpJbE0wRWxNakp6ZEhKcGJtY2xNaklsTWtNbE1qSjJZV3gxWlNVeU1pVXpRU1V5TWlVeU1pVXlReVV5TW1OaGRHVm5iM0o1SlRJeUpUTkJKVEl5WkdWbVlYVnNkQ1V5TWlVeVF5VXlNbWxrSlRJeUpUTkJKVEl5ZDBSaGFFRlpabTk1U3pNd09UQTRPU1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GRFSlRKREpUSXlkR1Y0ZEVKc2IyTnJKVEl5SlROQkpUVkNKVGRDSlRJeWNHOXphWFJwYjI0bE1qSWxNMEVsTjBJbE1qSjRKVEl5SlROQk1UQWxNa01sTWpKNUpUSXlKVE5CTUNVeVF5VXlNbmNsTWpJbE0wRWxNakozTFRJd0pUSXlKVEpESlRJeWFDVXlNaVV6UVNVeU1tZ2xNaklsTjBRbE1rTWxNakowWlhoMEpUSXlKVE5CSlRJeUpVVTJKVGswSlVJMkpVVTVKVGxDSlRnMkpVVTFKVGt3SlRoRkpVVTFKVUUzSlRrMEpVVTJKVGc1SlRrNEpVVTJKVGxESlRnNUpVVTRKVUkxSlRnMEpVVTRKVUkwSlVFNEpVVTFKVGhFSlRrMUpVVTBKVUpFSlRoRUpVVTFKVUZGSlRsQkpVVTJKVGxESlRsR0pVVTFKVUUwSlRnMEpVVTNKVGt3SlRnMk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HP</Company>
  <Pages>98</Pages>
  <Words>10532</Words>
  <Characters>11510</Characters>
  <Lines>399</Lines>
  <Paragraphs>112</Paragraphs>
  <TotalTime>2</TotalTime>
  <ScaleCrop>false</ScaleCrop>
  <LinksUpToDate>false</LinksUpToDate>
  <CharactersWithSpaces>11532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2025-08-10T11:16:00Z</dcterms:created>
  <dc:creator>L</dc:creator>
  <cp:lastModifiedBy>Administrator</cp:lastModifiedBy>
  <cp:lastPrinted>2025-08-12T03:50:00Z</cp:lastPrinted>
  <dcterms:modified xsi:type="dcterms:W3CDTF">2026-06-03T09:34:27Z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eyJoZGlkIjoiYjk4MTdlNWRmMDY1YmUzMzBkNjM5MTYwYTA5NDliYmQiLCJ1c2VySWQiOiIzMDkxMDk3NTcifQ==</vt:lpwstr>
  </property>
  <property fmtid="{D5CDD505-2E9C-101B-9397-08002B2CF9AE}" pid="3" name="KSOProductBuildVer">
    <vt:lpwstr>2052-12.1.0.26375</vt:lpwstr>
  </property>
  <property fmtid="{D5CDD505-2E9C-101B-9397-08002B2CF9AE}" pid="4" name="ICV">
    <vt:lpwstr>4C599474456B4A5C954F629927674853_13</vt:lpwstr>
  </property>
</Properties>
</file>