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lang w:val="en-US" w:eastAsia="zh-CN"/>
        </w:rPr>
      </w:pPr>
      <w:r>
        <w:rPr>
          <w:rFonts w:hint="eastAsia"/>
          <w:sz w:val="24"/>
          <w:szCs w:val="32"/>
          <w:lang w:val="en-US" w:eastAsia="zh-CN"/>
        </w:rPr>
        <w:t>附件3</w:t>
      </w:r>
    </w:p>
    <w:p>
      <w:pPr>
        <w:jc w:val="center"/>
        <w:rPr>
          <w:rFonts w:hint="eastAsia" w:asciiTheme="majorEastAsia" w:hAnsiTheme="majorEastAsia" w:eastAsiaTheme="majorEastAsia" w:cstheme="majorEastAsia"/>
          <w:b/>
          <w:bCs/>
          <w:sz w:val="40"/>
          <w:szCs w:val="48"/>
          <w:lang w:val="en-US" w:eastAsia="zh-CN"/>
        </w:rPr>
      </w:pPr>
      <w:r>
        <w:rPr>
          <w:rFonts w:hint="eastAsia" w:asciiTheme="majorEastAsia" w:hAnsiTheme="majorEastAsia" w:eastAsiaTheme="majorEastAsia" w:cstheme="majorEastAsia"/>
          <w:b/>
          <w:bCs/>
          <w:sz w:val="40"/>
          <w:szCs w:val="48"/>
          <w:lang w:val="en-US" w:eastAsia="zh-CN"/>
        </w:rPr>
        <w:t>凤台县农业经营主体能力提升资金</w:t>
      </w:r>
    </w:p>
    <w:p>
      <w:pPr>
        <w:jc w:val="center"/>
        <w:rPr>
          <w:rFonts w:hint="eastAsia" w:asciiTheme="majorEastAsia" w:hAnsiTheme="majorEastAsia" w:eastAsiaTheme="majorEastAsia" w:cstheme="majorEastAsia"/>
          <w:b/>
          <w:bCs/>
          <w:sz w:val="40"/>
          <w:szCs w:val="48"/>
          <w:lang w:val="en-US" w:eastAsia="zh-CN"/>
        </w:rPr>
      </w:pPr>
      <w:r>
        <w:rPr>
          <w:rFonts w:hint="eastAsia" w:asciiTheme="majorEastAsia" w:hAnsiTheme="majorEastAsia" w:eastAsiaTheme="majorEastAsia" w:cstheme="majorEastAsia"/>
          <w:b/>
          <w:bCs/>
          <w:sz w:val="40"/>
          <w:szCs w:val="48"/>
          <w:lang w:val="en-US" w:eastAsia="zh-CN"/>
        </w:rPr>
        <w:t>2024年度绩效自评报告</w:t>
      </w:r>
    </w:p>
    <w:p>
      <w:pPr>
        <w:jc w:val="center"/>
        <w:rPr>
          <w:rFonts w:hint="eastAsia" w:asciiTheme="majorEastAsia" w:hAnsiTheme="majorEastAsia" w:eastAsiaTheme="majorEastAsia" w:cstheme="majorEastAsia"/>
          <w:b/>
          <w:bCs/>
          <w:sz w:val="40"/>
          <w:szCs w:val="48"/>
          <w:lang w:val="en-US" w:eastAsia="zh-CN"/>
        </w:rPr>
      </w:pPr>
    </w:p>
    <w:p>
      <w:pPr>
        <w:numPr>
          <w:ilvl w:val="0"/>
          <w:numId w:val="1"/>
        </w:numPr>
        <w:ind w:left="420" w:leftChars="0" w:firstLine="0" w:firstLineChars="0"/>
        <w:jc w:val="both"/>
        <w:rPr>
          <w:rFonts w:hint="eastAsia"/>
          <w:b/>
          <w:bCs/>
          <w:sz w:val="28"/>
          <w:szCs w:val="28"/>
          <w:lang w:val="en-US" w:eastAsia="zh-CN"/>
        </w:rPr>
      </w:pPr>
      <w:r>
        <w:rPr>
          <w:rFonts w:hint="eastAsia"/>
          <w:b/>
          <w:bCs/>
          <w:sz w:val="28"/>
          <w:szCs w:val="28"/>
          <w:lang w:val="en-US" w:eastAsia="zh-CN"/>
        </w:rPr>
        <w:t>绩效目标分解下达情况</w:t>
      </w:r>
    </w:p>
    <w:p>
      <w:pPr>
        <w:numPr>
          <w:ilvl w:val="0"/>
          <w:numId w:val="0"/>
        </w:numPr>
        <w:ind w:firstLine="420"/>
        <w:jc w:val="both"/>
        <w:rPr>
          <w:rFonts w:hint="eastAsia"/>
          <w:sz w:val="28"/>
          <w:szCs w:val="28"/>
          <w:lang w:val="en-US" w:eastAsia="zh-CN"/>
        </w:rPr>
      </w:pPr>
      <w:r>
        <w:rPr>
          <w:rFonts w:hint="eastAsia"/>
          <w:sz w:val="28"/>
          <w:szCs w:val="28"/>
          <w:lang w:val="en-US" w:eastAsia="zh-CN"/>
        </w:rPr>
        <w:t>2024年中央下达本县农业经营主体能力提升资金925万元，地方配套资金18万元。</w:t>
      </w:r>
    </w:p>
    <w:p>
      <w:pPr>
        <w:numPr>
          <w:ilvl w:val="0"/>
          <w:numId w:val="0"/>
        </w:numPr>
        <w:ind w:firstLine="560" w:firstLineChars="200"/>
        <w:jc w:val="both"/>
        <w:rPr>
          <w:rFonts w:hint="eastAsia"/>
          <w:sz w:val="28"/>
          <w:szCs w:val="28"/>
          <w:lang w:val="en-US" w:eastAsia="zh-CN"/>
        </w:rPr>
      </w:pPr>
      <w:r>
        <w:rPr>
          <w:rFonts w:hint="eastAsia"/>
          <w:sz w:val="28"/>
          <w:szCs w:val="28"/>
          <w:lang w:val="en-US" w:eastAsia="zh-CN"/>
        </w:rPr>
        <w:t>其中，1.用于新型农业经营主体培育支出630万元，目标：落实单产提升关键技术面积（万亩次）达到8.28以上，提升规模主体单产提升项目县作物单产水平。</w:t>
      </w:r>
    </w:p>
    <w:p>
      <w:pPr>
        <w:numPr>
          <w:ilvl w:val="0"/>
          <w:numId w:val="2"/>
        </w:numPr>
        <w:ind w:firstLine="560" w:firstLineChars="200"/>
        <w:jc w:val="both"/>
        <w:rPr>
          <w:rFonts w:hint="eastAsia"/>
          <w:sz w:val="28"/>
          <w:szCs w:val="28"/>
          <w:lang w:val="en-US" w:eastAsia="zh-CN"/>
        </w:rPr>
      </w:pPr>
      <w:r>
        <w:rPr>
          <w:rFonts w:hint="eastAsia"/>
          <w:sz w:val="28"/>
          <w:szCs w:val="28"/>
          <w:lang w:val="en-US" w:eastAsia="zh-CN"/>
        </w:rPr>
        <w:t>用于高素质农民培育支出147万元，开展农民素质素养提升培训班 ，培育高素质农民800人。</w:t>
      </w:r>
    </w:p>
    <w:p>
      <w:pPr>
        <w:numPr>
          <w:ilvl w:val="0"/>
          <w:numId w:val="2"/>
        </w:numPr>
        <w:ind w:firstLine="560" w:firstLineChars="200"/>
        <w:jc w:val="both"/>
        <w:rPr>
          <w:rFonts w:hint="default"/>
          <w:sz w:val="28"/>
          <w:szCs w:val="28"/>
          <w:lang w:val="en-US" w:eastAsia="zh-CN"/>
        </w:rPr>
      </w:pPr>
      <w:r>
        <w:rPr>
          <w:rFonts w:hint="eastAsia"/>
          <w:sz w:val="28"/>
          <w:szCs w:val="28"/>
          <w:lang w:val="en-US" w:eastAsia="zh-CN"/>
        </w:rPr>
        <w:t>用于基层农技推广体系改革与建设支出130万元：按照年初凤台县基层农技推广补助项目实施方案要求，农技员开展包村入户工作，联系指导科技示范户；建设农业科技示范展示基地3个以上；开展农技人员能力提升县级培训，完成基层农技人员培训数量69人以上；完成其他相关工作任务。</w:t>
      </w:r>
    </w:p>
    <w:p>
      <w:pPr>
        <w:numPr>
          <w:ilvl w:val="0"/>
          <w:numId w:val="0"/>
        </w:numPr>
        <w:ind w:firstLine="420"/>
        <w:jc w:val="both"/>
        <w:rPr>
          <w:rFonts w:hint="eastAsia"/>
          <w:b/>
          <w:bCs/>
          <w:sz w:val="28"/>
          <w:szCs w:val="28"/>
          <w:lang w:val="en-US" w:eastAsia="zh-CN"/>
        </w:rPr>
      </w:pPr>
      <w:r>
        <w:rPr>
          <w:rFonts w:hint="eastAsia"/>
          <w:b/>
          <w:bCs/>
          <w:sz w:val="28"/>
          <w:szCs w:val="28"/>
          <w:lang w:val="en-US" w:eastAsia="zh-CN"/>
        </w:rPr>
        <w:t>二、绩效情况分析</w:t>
      </w:r>
    </w:p>
    <w:p>
      <w:pPr>
        <w:numPr>
          <w:ilvl w:val="0"/>
          <w:numId w:val="0"/>
        </w:numPr>
        <w:ind w:firstLine="420"/>
        <w:jc w:val="both"/>
        <w:rPr>
          <w:rFonts w:hint="eastAsia"/>
          <w:b/>
          <w:bCs/>
          <w:sz w:val="28"/>
          <w:szCs w:val="28"/>
          <w:lang w:val="en-US" w:eastAsia="zh-CN"/>
        </w:rPr>
      </w:pPr>
      <w:r>
        <w:rPr>
          <w:rFonts w:hint="eastAsia"/>
          <w:b/>
          <w:bCs/>
          <w:sz w:val="28"/>
          <w:szCs w:val="28"/>
          <w:lang w:val="en-US" w:eastAsia="zh-CN"/>
        </w:rPr>
        <w:t>（一）资金投入情况分析。</w:t>
      </w:r>
    </w:p>
    <w:p>
      <w:pPr>
        <w:numPr>
          <w:ilvl w:val="0"/>
          <w:numId w:val="0"/>
        </w:numPr>
        <w:ind w:firstLine="420"/>
        <w:jc w:val="both"/>
        <w:rPr>
          <w:rFonts w:hint="default"/>
          <w:sz w:val="28"/>
          <w:szCs w:val="28"/>
          <w:lang w:val="en-US" w:eastAsia="zh-CN"/>
        </w:rPr>
      </w:pPr>
      <w:r>
        <w:rPr>
          <w:rFonts w:hint="eastAsia"/>
          <w:sz w:val="28"/>
          <w:szCs w:val="28"/>
          <w:lang w:val="en-US" w:eastAsia="zh-CN"/>
        </w:rPr>
        <w:t>我县农业经营主体能力提升资金投入共925万元，全年执行数为745.11万元，预算执行率为80.55%。</w:t>
      </w:r>
    </w:p>
    <w:p>
      <w:pPr>
        <w:numPr>
          <w:ilvl w:val="0"/>
          <w:numId w:val="3"/>
        </w:numPr>
        <w:ind w:firstLine="420"/>
        <w:jc w:val="both"/>
        <w:rPr>
          <w:rFonts w:hint="eastAsia"/>
          <w:sz w:val="28"/>
          <w:szCs w:val="28"/>
          <w:lang w:val="en-US" w:eastAsia="zh-CN"/>
        </w:rPr>
      </w:pPr>
      <w:r>
        <w:rPr>
          <w:rFonts w:hint="eastAsia"/>
          <w:b/>
          <w:bCs/>
          <w:sz w:val="28"/>
          <w:szCs w:val="28"/>
          <w:lang w:val="en-US" w:eastAsia="zh-CN"/>
        </w:rPr>
        <w:t>资金管理情况分析。</w:t>
      </w:r>
    </w:p>
    <w:p>
      <w:pPr>
        <w:numPr>
          <w:ilvl w:val="0"/>
          <w:numId w:val="0"/>
        </w:numPr>
        <w:ind w:firstLine="560" w:firstLineChars="200"/>
        <w:jc w:val="both"/>
        <w:rPr>
          <w:rFonts w:hint="eastAsia"/>
          <w:sz w:val="28"/>
          <w:szCs w:val="28"/>
          <w:lang w:val="en-US" w:eastAsia="zh-CN"/>
        </w:rPr>
      </w:pPr>
      <w:r>
        <w:rPr>
          <w:rFonts w:hint="eastAsia"/>
          <w:sz w:val="28"/>
          <w:szCs w:val="28"/>
          <w:lang w:val="en-US" w:eastAsia="zh-CN"/>
        </w:rPr>
        <w:t>其中，新型农业经营主体培育支出项目投入630万元，资金已支出453.54万元，执行率71.99%；高素质农民培育支出项目投入147万元，已支出147万元，执行率100%；基层农技推广体系改革与建设支出项目投入130万元，已支出129.57万元，执行率99.66%。</w:t>
      </w:r>
    </w:p>
    <w:p>
      <w:pPr>
        <w:numPr>
          <w:ilvl w:val="0"/>
          <w:numId w:val="3"/>
        </w:numPr>
        <w:ind w:left="0" w:leftChars="0" w:firstLine="420" w:firstLineChars="0"/>
        <w:jc w:val="both"/>
        <w:rPr>
          <w:rFonts w:hint="eastAsia"/>
          <w:b/>
          <w:bCs/>
          <w:sz w:val="28"/>
          <w:szCs w:val="28"/>
          <w:lang w:val="en-US" w:eastAsia="zh-CN"/>
        </w:rPr>
      </w:pPr>
      <w:r>
        <w:rPr>
          <w:rFonts w:hint="eastAsia"/>
          <w:b/>
          <w:bCs/>
          <w:sz w:val="28"/>
          <w:szCs w:val="28"/>
          <w:lang w:val="en-US" w:eastAsia="zh-CN"/>
        </w:rPr>
        <w:t>总体绩效目标完成情况分析。</w:t>
      </w:r>
    </w:p>
    <w:p>
      <w:pPr>
        <w:numPr>
          <w:ilvl w:val="0"/>
          <w:numId w:val="0"/>
        </w:numPr>
        <w:ind w:firstLine="420"/>
        <w:jc w:val="both"/>
        <w:rPr>
          <w:rFonts w:hint="eastAsia"/>
          <w:sz w:val="28"/>
          <w:szCs w:val="28"/>
          <w:lang w:val="en-US" w:eastAsia="zh-CN"/>
        </w:rPr>
      </w:pPr>
      <w:r>
        <w:rPr>
          <w:rFonts w:hint="eastAsia"/>
          <w:sz w:val="28"/>
          <w:szCs w:val="28"/>
          <w:lang w:val="en-US" w:eastAsia="zh-CN"/>
        </w:rPr>
        <w:t>目标1.经农业经营主体申报、乡镇初核，第三方机构审核后，共计19家符合贴息政策要求，贴息资金共计23.54万元，资金待支付.  目标2.通过实施项目，粮油规模种植主体的单产水平得到显著提升，有效提高了粮食产量和质量，引导了规模种植主体发展优质专用粮生产，推动了种植结构的优化和粮食品质的提升，项目通过梳理典型和标杆，推动了粮食和重要农产品生产能力的不断提升，不仅提高了种植主体的经济效益，也带动了周边农户增收。促进了农村经济的繁荣和发展。项目已实施完成，资金暂未拨付。 目标3和4.支持农民专用业合作社20个，支持家庭农场11个。资金暂未拨付。 目标5.支持60家生产经营主体开展承诺达标合格证亮证行动。目标6.完成培训高素质农民600人，对培训机构进行验收结果均合格；实际已拨付中央资金60万元，省级资金15万元，剩余资金待拨付。 目标7.全县2024年遴选了147名农技人员，每人联系5名科技示范户，每人全年指导服务示范户12次以上；举办了农技人员能力提升培训班；建设4个农业科技示范展示基地，每个基地试验示范主推技术3个以上，并开展培训与观摩活动。开展农技推广服务和宣传工作。资金暂未拨付。。</w:t>
      </w:r>
      <w:r>
        <w:rPr>
          <w:rFonts w:hint="eastAsia"/>
          <w:sz w:val="28"/>
          <w:szCs w:val="28"/>
          <w:lang w:val="en-US" w:eastAsia="zh-CN"/>
        </w:rPr>
        <w:tab/>
      </w:r>
      <w:r>
        <w:rPr>
          <w:rFonts w:hint="eastAsia"/>
          <w:sz w:val="28"/>
          <w:szCs w:val="28"/>
          <w:lang w:val="en-US" w:eastAsia="zh-CN"/>
        </w:rPr>
        <w:tab/>
      </w:r>
    </w:p>
    <w:p>
      <w:pPr>
        <w:numPr>
          <w:ilvl w:val="0"/>
          <w:numId w:val="0"/>
        </w:numPr>
        <w:ind w:firstLine="420"/>
        <w:jc w:val="both"/>
        <w:rPr>
          <w:rFonts w:hint="eastAsia"/>
          <w:b/>
          <w:bCs/>
          <w:sz w:val="28"/>
          <w:szCs w:val="28"/>
          <w:lang w:val="en-US" w:eastAsia="zh-CN"/>
        </w:rPr>
      </w:pPr>
      <w:r>
        <w:rPr>
          <w:rFonts w:hint="eastAsia"/>
          <w:b/>
          <w:bCs/>
          <w:sz w:val="28"/>
          <w:szCs w:val="28"/>
          <w:lang w:val="en-US" w:eastAsia="zh-CN"/>
        </w:rPr>
        <w:t>（四）绩效指标完成情况分析。</w:t>
      </w:r>
    </w:p>
    <w:p>
      <w:pPr>
        <w:numPr>
          <w:ilvl w:val="0"/>
          <w:numId w:val="0"/>
        </w:numPr>
        <w:ind w:firstLine="420"/>
        <w:jc w:val="both"/>
        <w:rPr>
          <w:rFonts w:hint="eastAsia" w:ascii="CESI黑体-GB2312" w:hAnsi="CESI黑体-GB2312" w:eastAsia="CESI黑体-GB2312" w:cs="CESI黑体-GB2312"/>
          <w:sz w:val="32"/>
          <w:szCs w:val="32"/>
          <w:lang w:val="en-US" w:eastAsia="zh-CN"/>
        </w:rPr>
      </w:pPr>
      <w:r>
        <w:rPr>
          <w:rFonts w:hint="eastAsia" w:ascii="CESI黑体-GB2312" w:hAnsi="CESI黑体-GB2312" w:eastAsia="CESI黑体-GB2312" w:cs="CESI黑体-GB2312"/>
          <w:sz w:val="32"/>
          <w:szCs w:val="32"/>
          <w:lang w:val="en-US" w:eastAsia="zh-CN"/>
        </w:rPr>
        <w:t>数量指标：</w:t>
      </w:r>
    </w:p>
    <w:p>
      <w:pPr>
        <w:numPr>
          <w:ilvl w:val="0"/>
          <w:numId w:val="0"/>
        </w:numPr>
        <w:ind w:firstLine="420"/>
        <w:jc w:val="both"/>
        <w:rPr>
          <w:rFonts w:hint="eastAsia"/>
          <w:sz w:val="28"/>
          <w:szCs w:val="28"/>
          <w:lang w:val="en-US" w:eastAsia="zh-CN"/>
        </w:rPr>
      </w:pPr>
      <w:r>
        <w:rPr>
          <w:rFonts w:hint="eastAsia"/>
          <w:sz w:val="28"/>
          <w:szCs w:val="28"/>
          <w:lang w:val="en-US" w:eastAsia="zh-CN"/>
        </w:rPr>
        <w:t>指标1：支持的农民合作社数量(个)</w:t>
      </w:r>
      <w:r>
        <w:rPr>
          <w:rFonts w:hint="eastAsia"/>
          <w:sz w:val="28"/>
          <w:szCs w:val="28"/>
          <w:lang w:val="en-US" w:eastAsia="zh-CN"/>
        </w:rPr>
        <w:tab/>
      </w:r>
      <w:r>
        <w:rPr>
          <w:rFonts w:hint="eastAsia"/>
          <w:sz w:val="28"/>
          <w:szCs w:val="28"/>
          <w:lang w:val="en-US" w:eastAsia="zh-CN"/>
        </w:rPr>
        <w:tab/>
      </w:r>
      <w:r>
        <w:rPr>
          <w:rFonts w:hint="eastAsia"/>
          <w:sz w:val="28"/>
          <w:szCs w:val="28"/>
          <w:lang w:val="en-US" w:eastAsia="zh-CN"/>
        </w:rPr>
        <w:t xml:space="preserve">≥ 10  </w:t>
      </w:r>
      <w:r>
        <w:rPr>
          <w:rFonts w:hint="eastAsia"/>
          <w:sz w:val="28"/>
          <w:szCs w:val="28"/>
          <w:lang w:val="en-US" w:eastAsia="zh-CN"/>
        </w:rPr>
        <w:tab/>
      </w:r>
      <w:r>
        <w:rPr>
          <w:rFonts w:hint="eastAsia"/>
          <w:sz w:val="28"/>
          <w:szCs w:val="28"/>
          <w:lang w:val="en-US" w:eastAsia="zh-CN"/>
        </w:rPr>
        <w:t xml:space="preserve">20  </w:t>
      </w:r>
      <w:r>
        <w:rPr>
          <w:rFonts w:hint="eastAsia"/>
          <w:sz w:val="28"/>
          <w:szCs w:val="28"/>
          <w:lang w:val="en-US" w:eastAsia="zh-CN"/>
        </w:rPr>
        <w:tab/>
      </w:r>
    </w:p>
    <w:p>
      <w:pPr>
        <w:numPr>
          <w:ilvl w:val="0"/>
          <w:numId w:val="0"/>
        </w:numPr>
        <w:ind w:firstLine="420"/>
        <w:jc w:val="both"/>
        <w:rPr>
          <w:rFonts w:hint="default"/>
          <w:sz w:val="28"/>
          <w:szCs w:val="28"/>
          <w:lang w:val="en-US" w:eastAsia="zh-CN"/>
        </w:rPr>
      </w:pPr>
      <w:r>
        <w:rPr>
          <w:rFonts w:hint="eastAsia"/>
          <w:sz w:val="28"/>
          <w:szCs w:val="28"/>
          <w:lang w:val="en-US" w:eastAsia="zh-CN"/>
        </w:rPr>
        <w:t>指标2：支持粮油单产能力提升的家庭农场数量（个）</w:t>
      </w:r>
      <w:r>
        <w:rPr>
          <w:rFonts w:hint="eastAsia"/>
          <w:sz w:val="28"/>
          <w:szCs w:val="28"/>
          <w:lang w:val="en-US" w:eastAsia="zh-CN"/>
        </w:rPr>
        <w:tab/>
      </w:r>
      <w:r>
        <w:rPr>
          <w:rFonts w:hint="eastAsia"/>
          <w:sz w:val="28"/>
          <w:szCs w:val="28"/>
          <w:lang w:val="en-US" w:eastAsia="zh-CN"/>
        </w:rPr>
        <w:tab/>
      </w:r>
      <w:r>
        <w:rPr>
          <w:rFonts w:hint="eastAsia"/>
          <w:sz w:val="28"/>
          <w:szCs w:val="28"/>
          <w:lang w:val="en-US" w:eastAsia="zh-CN"/>
        </w:rPr>
        <w:t xml:space="preserve">≥9 </w:t>
      </w:r>
      <w:r>
        <w:rPr>
          <w:rFonts w:hint="eastAsia"/>
          <w:sz w:val="28"/>
          <w:szCs w:val="28"/>
          <w:lang w:val="en-US" w:eastAsia="zh-CN"/>
        </w:rPr>
        <w:tab/>
      </w:r>
      <w:r>
        <w:rPr>
          <w:rFonts w:hint="eastAsia"/>
          <w:sz w:val="28"/>
          <w:szCs w:val="28"/>
          <w:lang w:val="en-US" w:eastAsia="zh-CN"/>
        </w:rPr>
        <w:t xml:space="preserve"> 11</w:t>
      </w:r>
    </w:p>
    <w:p>
      <w:pPr>
        <w:numPr>
          <w:ilvl w:val="0"/>
          <w:numId w:val="0"/>
        </w:numPr>
        <w:ind w:firstLine="420"/>
        <w:jc w:val="both"/>
        <w:rPr>
          <w:rFonts w:hint="eastAsia"/>
          <w:sz w:val="28"/>
          <w:szCs w:val="28"/>
          <w:lang w:val="en-US" w:eastAsia="zh-CN"/>
        </w:rPr>
      </w:pPr>
      <w:r>
        <w:rPr>
          <w:rFonts w:hint="eastAsia"/>
          <w:sz w:val="28"/>
          <w:szCs w:val="28"/>
          <w:lang w:val="en-US" w:eastAsia="zh-CN"/>
        </w:rPr>
        <w:t>指标3：落实单产提升关键技术面积(万亩次)</w:t>
      </w:r>
      <w:r>
        <w:rPr>
          <w:rFonts w:hint="eastAsia"/>
          <w:sz w:val="28"/>
          <w:szCs w:val="28"/>
          <w:lang w:val="en-US" w:eastAsia="zh-CN"/>
        </w:rPr>
        <w:tab/>
      </w:r>
      <w:r>
        <w:rPr>
          <w:rFonts w:hint="eastAsia"/>
          <w:sz w:val="28"/>
          <w:szCs w:val="28"/>
          <w:lang w:val="en-US" w:eastAsia="zh-CN"/>
        </w:rPr>
        <w:tab/>
      </w:r>
      <w:r>
        <w:rPr>
          <w:rFonts w:hint="eastAsia"/>
          <w:sz w:val="28"/>
          <w:szCs w:val="28"/>
          <w:lang w:val="en-US" w:eastAsia="zh-CN"/>
        </w:rPr>
        <w:t xml:space="preserve">8.28  </w:t>
      </w:r>
      <w:r>
        <w:rPr>
          <w:rFonts w:hint="eastAsia"/>
          <w:sz w:val="28"/>
          <w:szCs w:val="28"/>
          <w:lang w:val="en-US" w:eastAsia="zh-CN"/>
        </w:rPr>
        <w:tab/>
      </w:r>
      <w:r>
        <w:rPr>
          <w:rFonts w:hint="eastAsia"/>
          <w:sz w:val="28"/>
          <w:szCs w:val="28"/>
          <w:lang w:val="en-US" w:eastAsia="zh-CN"/>
        </w:rPr>
        <w:t>15.2545</w:t>
      </w:r>
    </w:p>
    <w:p>
      <w:pPr>
        <w:numPr>
          <w:ilvl w:val="0"/>
          <w:numId w:val="0"/>
        </w:numPr>
        <w:ind w:firstLine="420"/>
        <w:jc w:val="both"/>
        <w:rPr>
          <w:rFonts w:hint="eastAsia"/>
          <w:sz w:val="28"/>
          <w:szCs w:val="28"/>
          <w:lang w:val="en-US" w:eastAsia="zh-CN"/>
        </w:rPr>
      </w:pPr>
      <w:r>
        <w:rPr>
          <w:rFonts w:hint="eastAsia"/>
          <w:sz w:val="28"/>
          <w:szCs w:val="28"/>
          <w:lang w:val="en-US" w:eastAsia="zh-CN"/>
        </w:rPr>
        <w:t>指标4：高素质农民培育数量(人)</w:t>
      </w:r>
      <w:r>
        <w:rPr>
          <w:rFonts w:hint="eastAsia"/>
          <w:sz w:val="28"/>
          <w:szCs w:val="28"/>
          <w:lang w:val="en-US" w:eastAsia="zh-CN"/>
        </w:rPr>
        <w:tab/>
      </w:r>
      <w:r>
        <w:rPr>
          <w:rFonts w:hint="eastAsia"/>
          <w:sz w:val="28"/>
          <w:szCs w:val="28"/>
          <w:lang w:val="en-US" w:eastAsia="zh-CN"/>
        </w:rPr>
        <w:t xml:space="preserve">600 </w:t>
      </w:r>
      <w:r>
        <w:rPr>
          <w:rFonts w:hint="eastAsia"/>
          <w:sz w:val="28"/>
          <w:szCs w:val="28"/>
          <w:lang w:val="en-US" w:eastAsia="zh-CN"/>
        </w:rPr>
        <w:tab/>
      </w:r>
      <w:r>
        <w:rPr>
          <w:rFonts w:hint="eastAsia"/>
          <w:sz w:val="28"/>
          <w:szCs w:val="28"/>
          <w:lang w:val="en-US" w:eastAsia="zh-CN"/>
        </w:rPr>
        <w:t>600</w:t>
      </w:r>
    </w:p>
    <w:p>
      <w:pPr>
        <w:numPr>
          <w:ilvl w:val="0"/>
          <w:numId w:val="0"/>
        </w:numPr>
        <w:ind w:firstLine="420"/>
        <w:jc w:val="both"/>
        <w:rPr>
          <w:rFonts w:hint="eastAsia"/>
          <w:sz w:val="28"/>
          <w:szCs w:val="28"/>
          <w:lang w:val="en-US" w:eastAsia="zh-CN"/>
        </w:rPr>
      </w:pPr>
      <w:r>
        <w:rPr>
          <w:rFonts w:hint="eastAsia"/>
          <w:sz w:val="28"/>
          <w:szCs w:val="28"/>
          <w:lang w:val="en-US" w:eastAsia="zh-CN"/>
        </w:rPr>
        <w:t>指标5：基层农技人员培训数量(人)</w:t>
      </w:r>
      <w:r>
        <w:rPr>
          <w:rFonts w:hint="eastAsia"/>
          <w:sz w:val="28"/>
          <w:szCs w:val="28"/>
          <w:lang w:val="en-US" w:eastAsia="zh-CN"/>
        </w:rPr>
        <w:tab/>
      </w:r>
      <w:r>
        <w:rPr>
          <w:rFonts w:hint="eastAsia"/>
          <w:sz w:val="28"/>
          <w:szCs w:val="28"/>
          <w:lang w:val="en-US" w:eastAsia="zh-CN"/>
        </w:rPr>
        <w:tab/>
      </w:r>
      <w:r>
        <w:rPr>
          <w:rFonts w:hint="eastAsia"/>
          <w:sz w:val="28"/>
          <w:szCs w:val="28"/>
          <w:lang w:val="en-US" w:eastAsia="zh-CN"/>
        </w:rPr>
        <w:t>69   147</w:t>
      </w:r>
      <w:r>
        <w:rPr>
          <w:rFonts w:hint="eastAsia"/>
          <w:sz w:val="28"/>
          <w:szCs w:val="28"/>
          <w:lang w:val="en-US" w:eastAsia="zh-CN"/>
        </w:rPr>
        <w:tab/>
      </w:r>
    </w:p>
    <w:p>
      <w:pPr>
        <w:numPr>
          <w:ilvl w:val="0"/>
          <w:numId w:val="0"/>
        </w:numPr>
        <w:ind w:firstLine="420"/>
        <w:jc w:val="both"/>
        <w:rPr>
          <w:rFonts w:hint="eastAsia"/>
          <w:sz w:val="28"/>
          <w:szCs w:val="28"/>
          <w:lang w:val="en-US" w:eastAsia="zh-CN"/>
        </w:rPr>
      </w:pPr>
      <w:r>
        <w:rPr>
          <w:rFonts w:hint="eastAsia"/>
          <w:sz w:val="28"/>
          <w:szCs w:val="28"/>
          <w:lang w:val="en-US" w:eastAsia="zh-CN"/>
        </w:rPr>
        <w:t>指标6：农业科技示范展示基地数量(个)</w:t>
      </w:r>
      <w:r>
        <w:rPr>
          <w:rFonts w:hint="eastAsia"/>
          <w:sz w:val="28"/>
          <w:szCs w:val="28"/>
          <w:lang w:val="en-US" w:eastAsia="zh-CN"/>
        </w:rPr>
        <w:tab/>
      </w:r>
      <w:r>
        <w:rPr>
          <w:rFonts w:hint="eastAsia"/>
          <w:sz w:val="28"/>
          <w:szCs w:val="28"/>
          <w:lang w:val="en-US" w:eastAsia="zh-CN"/>
        </w:rPr>
        <w:tab/>
      </w:r>
      <w:r>
        <w:rPr>
          <w:rFonts w:hint="eastAsia"/>
          <w:sz w:val="28"/>
          <w:szCs w:val="28"/>
          <w:lang w:val="en-US" w:eastAsia="zh-CN"/>
        </w:rPr>
        <w:t>3</w:t>
      </w:r>
      <w:r>
        <w:rPr>
          <w:rFonts w:hint="eastAsia"/>
          <w:sz w:val="28"/>
          <w:szCs w:val="28"/>
          <w:lang w:val="en-US" w:eastAsia="zh-CN"/>
        </w:rPr>
        <w:tab/>
      </w:r>
      <w:r>
        <w:rPr>
          <w:rFonts w:hint="eastAsia"/>
          <w:sz w:val="28"/>
          <w:szCs w:val="28"/>
          <w:lang w:val="en-US" w:eastAsia="zh-CN"/>
        </w:rPr>
        <w:t xml:space="preserve"> 4</w:t>
      </w:r>
    </w:p>
    <w:p>
      <w:pPr>
        <w:numPr>
          <w:ilvl w:val="0"/>
          <w:numId w:val="0"/>
        </w:numPr>
        <w:ind w:firstLine="320" w:firstLineChars="100"/>
        <w:jc w:val="both"/>
        <w:rPr>
          <w:rFonts w:hint="eastAsia" w:ascii="CESI黑体-GB2312" w:hAnsi="CESI黑体-GB2312" w:eastAsia="CESI黑体-GB2312" w:cs="CESI黑体-GB2312"/>
          <w:sz w:val="32"/>
          <w:szCs w:val="32"/>
          <w:lang w:val="en-US" w:eastAsia="zh-CN"/>
        </w:rPr>
      </w:pPr>
      <w:r>
        <w:rPr>
          <w:rFonts w:hint="eastAsia" w:ascii="CESI黑体-GB2312" w:hAnsi="CESI黑体-GB2312" w:eastAsia="CESI黑体-GB2312" w:cs="CESI黑体-GB2312"/>
          <w:sz w:val="32"/>
          <w:szCs w:val="32"/>
          <w:lang w:val="en-US" w:eastAsia="zh-CN"/>
        </w:rPr>
        <w:t>质量指标：</w:t>
      </w:r>
      <w:r>
        <w:rPr>
          <w:rFonts w:hint="eastAsia" w:ascii="CESI黑体-GB2312" w:hAnsi="CESI黑体-GB2312" w:eastAsia="CESI黑体-GB2312" w:cs="CESI黑体-GB2312"/>
          <w:sz w:val="32"/>
          <w:szCs w:val="32"/>
          <w:lang w:val="en-US" w:eastAsia="zh-CN"/>
        </w:rPr>
        <w:tab/>
      </w:r>
    </w:p>
    <w:p>
      <w:pPr>
        <w:numPr>
          <w:ilvl w:val="0"/>
          <w:numId w:val="0"/>
        </w:numPr>
        <w:ind w:firstLine="420"/>
        <w:jc w:val="both"/>
        <w:rPr>
          <w:rFonts w:hint="default"/>
          <w:sz w:val="28"/>
          <w:szCs w:val="28"/>
          <w:lang w:val="en-US" w:eastAsia="zh-CN"/>
        </w:rPr>
      </w:pPr>
      <w:r>
        <w:rPr>
          <w:rFonts w:hint="eastAsia"/>
          <w:sz w:val="28"/>
          <w:szCs w:val="28"/>
          <w:lang w:val="en-US" w:eastAsia="zh-CN"/>
        </w:rPr>
        <w:t>指标1：农业主推技术到位率（%）</w:t>
      </w:r>
      <w:r>
        <w:rPr>
          <w:rFonts w:hint="eastAsia"/>
          <w:sz w:val="28"/>
          <w:szCs w:val="28"/>
          <w:lang w:val="en-US" w:eastAsia="zh-CN"/>
        </w:rPr>
        <w:tab/>
      </w:r>
      <w:r>
        <w:rPr>
          <w:rFonts w:hint="eastAsia"/>
          <w:sz w:val="28"/>
          <w:szCs w:val="28"/>
          <w:lang w:val="en-US" w:eastAsia="zh-CN"/>
        </w:rPr>
        <w:tab/>
      </w:r>
      <w:r>
        <w:rPr>
          <w:rFonts w:hint="eastAsia"/>
          <w:sz w:val="28"/>
          <w:szCs w:val="28"/>
          <w:lang w:val="en-US" w:eastAsia="zh-CN"/>
        </w:rPr>
        <w:t>≥95</w:t>
      </w:r>
      <w:r>
        <w:rPr>
          <w:rFonts w:hint="eastAsia"/>
          <w:sz w:val="28"/>
          <w:szCs w:val="28"/>
          <w:lang w:val="en-US" w:eastAsia="zh-CN"/>
        </w:rPr>
        <w:tab/>
      </w:r>
      <w:r>
        <w:rPr>
          <w:rFonts w:hint="eastAsia"/>
          <w:sz w:val="28"/>
          <w:szCs w:val="28"/>
          <w:lang w:val="en-US" w:eastAsia="zh-CN"/>
        </w:rPr>
        <w:t>100</w:t>
      </w:r>
    </w:p>
    <w:p>
      <w:pPr>
        <w:numPr>
          <w:ilvl w:val="0"/>
          <w:numId w:val="0"/>
        </w:numPr>
        <w:ind w:firstLine="320" w:firstLineChars="100"/>
        <w:jc w:val="both"/>
        <w:rPr>
          <w:rFonts w:hint="eastAsia" w:ascii="CESI黑体-GB2312" w:hAnsi="CESI黑体-GB2312" w:eastAsia="CESI黑体-GB2312" w:cs="CESI黑体-GB2312"/>
          <w:sz w:val="32"/>
          <w:szCs w:val="32"/>
          <w:lang w:val="en-US" w:eastAsia="zh-CN"/>
        </w:rPr>
      </w:pPr>
      <w:r>
        <w:rPr>
          <w:rFonts w:hint="eastAsia" w:ascii="CESI黑体-GB2312" w:hAnsi="CESI黑体-GB2312" w:eastAsia="CESI黑体-GB2312" w:cs="CESI黑体-GB2312"/>
          <w:sz w:val="32"/>
          <w:szCs w:val="32"/>
          <w:lang w:val="en-US" w:eastAsia="zh-CN"/>
        </w:rPr>
        <w:t>时效指标：</w:t>
      </w:r>
    </w:p>
    <w:p>
      <w:pPr>
        <w:numPr>
          <w:ilvl w:val="0"/>
          <w:numId w:val="0"/>
        </w:numPr>
        <w:ind w:firstLine="420"/>
        <w:jc w:val="both"/>
        <w:rPr>
          <w:rFonts w:hint="eastAsia"/>
          <w:sz w:val="28"/>
          <w:szCs w:val="28"/>
          <w:lang w:val="en-US" w:eastAsia="zh-CN"/>
        </w:rPr>
      </w:pPr>
      <w:r>
        <w:rPr>
          <w:rFonts w:hint="eastAsia"/>
          <w:sz w:val="28"/>
          <w:szCs w:val="28"/>
          <w:lang w:val="en-US" w:eastAsia="zh-CN"/>
        </w:rPr>
        <w:t>指标1：项目完成及时性</w:t>
      </w:r>
      <w:r>
        <w:rPr>
          <w:rFonts w:hint="eastAsia"/>
          <w:sz w:val="28"/>
          <w:szCs w:val="28"/>
          <w:lang w:val="en-US" w:eastAsia="zh-CN"/>
        </w:rPr>
        <w:tab/>
      </w:r>
      <w:r>
        <w:rPr>
          <w:rFonts w:hint="eastAsia"/>
          <w:sz w:val="28"/>
          <w:szCs w:val="28"/>
          <w:lang w:val="en-US" w:eastAsia="zh-CN"/>
        </w:rPr>
        <w:tab/>
      </w:r>
      <w:r>
        <w:rPr>
          <w:rFonts w:hint="eastAsia"/>
          <w:sz w:val="28"/>
          <w:szCs w:val="28"/>
          <w:lang w:val="en-US" w:eastAsia="zh-CN"/>
        </w:rPr>
        <w:t>一年</w:t>
      </w:r>
      <w:r>
        <w:rPr>
          <w:rFonts w:hint="eastAsia"/>
          <w:sz w:val="28"/>
          <w:szCs w:val="28"/>
          <w:lang w:val="en-US" w:eastAsia="zh-CN"/>
        </w:rPr>
        <w:tab/>
      </w:r>
      <w:r>
        <w:rPr>
          <w:rFonts w:hint="eastAsia"/>
          <w:sz w:val="28"/>
          <w:szCs w:val="28"/>
          <w:lang w:val="en-US" w:eastAsia="zh-CN"/>
        </w:rPr>
        <w:t>项目正在序时推进中</w:t>
      </w:r>
      <w:r>
        <w:rPr>
          <w:rFonts w:hint="eastAsia"/>
          <w:sz w:val="28"/>
          <w:szCs w:val="28"/>
          <w:lang w:val="en-US" w:eastAsia="zh-CN"/>
        </w:rPr>
        <w:tab/>
      </w:r>
    </w:p>
    <w:p>
      <w:pPr>
        <w:numPr>
          <w:ilvl w:val="0"/>
          <w:numId w:val="0"/>
        </w:numPr>
        <w:ind w:firstLine="320" w:firstLineChars="100"/>
        <w:jc w:val="both"/>
        <w:rPr>
          <w:rFonts w:hint="eastAsia" w:ascii="CESI黑体-GB2312" w:hAnsi="CESI黑体-GB2312" w:eastAsia="CESI黑体-GB2312" w:cs="CESI黑体-GB2312"/>
          <w:sz w:val="32"/>
          <w:szCs w:val="32"/>
          <w:lang w:val="en-US" w:eastAsia="zh-CN"/>
        </w:rPr>
      </w:pPr>
      <w:r>
        <w:rPr>
          <w:rFonts w:hint="eastAsia" w:ascii="CESI黑体-GB2312" w:hAnsi="CESI黑体-GB2312" w:eastAsia="CESI黑体-GB2312" w:cs="CESI黑体-GB2312"/>
          <w:sz w:val="32"/>
          <w:szCs w:val="32"/>
          <w:lang w:val="en-US" w:eastAsia="zh-CN"/>
        </w:rPr>
        <w:t>成本指标：</w:t>
      </w:r>
    </w:p>
    <w:p>
      <w:pPr>
        <w:numPr>
          <w:ilvl w:val="0"/>
          <w:numId w:val="0"/>
        </w:numPr>
        <w:ind w:firstLine="420"/>
        <w:jc w:val="both"/>
        <w:rPr>
          <w:rFonts w:hint="default" w:ascii="CESI黑体-GB2312" w:hAnsi="CESI黑体-GB2312" w:eastAsia="CESI黑体-GB2312" w:cs="CESI黑体-GB2312"/>
          <w:sz w:val="32"/>
          <w:szCs w:val="32"/>
          <w:lang w:val="en-US" w:eastAsia="zh-CN"/>
        </w:rPr>
      </w:pPr>
      <w:r>
        <w:rPr>
          <w:rFonts w:hint="eastAsia"/>
          <w:sz w:val="28"/>
          <w:szCs w:val="28"/>
          <w:lang w:val="en-US" w:eastAsia="zh-CN"/>
        </w:rPr>
        <w:t>指标1：项目总成本（万元）</w:t>
      </w:r>
      <w:r>
        <w:rPr>
          <w:rFonts w:hint="eastAsia"/>
          <w:sz w:val="28"/>
          <w:szCs w:val="28"/>
          <w:lang w:val="en-US" w:eastAsia="zh-CN"/>
        </w:rPr>
        <w:tab/>
      </w:r>
      <w:r>
        <w:rPr>
          <w:rFonts w:hint="eastAsia"/>
          <w:sz w:val="28"/>
          <w:szCs w:val="28"/>
          <w:lang w:val="en-US" w:eastAsia="zh-CN"/>
        </w:rPr>
        <w:t>925</w:t>
      </w:r>
      <w:r>
        <w:rPr>
          <w:rFonts w:hint="eastAsia"/>
          <w:sz w:val="28"/>
          <w:szCs w:val="28"/>
          <w:lang w:val="en-US" w:eastAsia="zh-CN"/>
        </w:rPr>
        <w:tab/>
      </w:r>
      <w:r>
        <w:rPr>
          <w:rFonts w:hint="eastAsia"/>
          <w:sz w:val="28"/>
          <w:szCs w:val="28"/>
          <w:lang w:val="en-US" w:eastAsia="zh-CN"/>
        </w:rPr>
        <w:t>745.11 项目正在有序推进中，加快资金拨付进度</w:t>
      </w:r>
    </w:p>
    <w:p>
      <w:pPr>
        <w:numPr>
          <w:ilvl w:val="0"/>
          <w:numId w:val="0"/>
        </w:numPr>
        <w:ind w:firstLine="320" w:firstLineChars="100"/>
        <w:jc w:val="both"/>
        <w:rPr>
          <w:rFonts w:hint="eastAsia" w:ascii="CESI黑体-GB2312" w:hAnsi="CESI黑体-GB2312" w:eastAsia="CESI黑体-GB2312" w:cs="CESI黑体-GB2312"/>
          <w:sz w:val="32"/>
          <w:szCs w:val="32"/>
          <w:lang w:val="en-US" w:eastAsia="zh-CN"/>
        </w:rPr>
      </w:pPr>
      <w:r>
        <w:rPr>
          <w:rFonts w:hint="eastAsia" w:ascii="CESI黑体-GB2312" w:hAnsi="CESI黑体-GB2312" w:eastAsia="CESI黑体-GB2312" w:cs="CESI黑体-GB2312"/>
          <w:sz w:val="32"/>
          <w:szCs w:val="32"/>
          <w:lang w:val="en-US" w:eastAsia="zh-CN"/>
        </w:rPr>
        <w:t>经济效益：</w:t>
      </w:r>
    </w:p>
    <w:p>
      <w:pPr>
        <w:numPr>
          <w:ilvl w:val="0"/>
          <w:numId w:val="0"/>
        </w:numPr>
        <w:ind w:firstLine="420"/>
        <w:jc w:val="both"/>
        <w:rPr>
          <w:rFonts w:hint="eastAsia"/>
          <w:sz w:val="28"/>
          <w:szCs w:val="28"/>
          <w:lang w:val="en-US" w:eastAsia="zh-CN"/>
        </w:rPr>
      </w:pPr>
      <w:r>
        <w:rPr>
          <w:rFonts w:hint="eastAsia"/>
          <w:sz w:val="28"/>
          <w:szCs w:val="28"/>
          <w:lang w:val="en-US" w:eastAsia="zh-CN"/>
        </w:rPr>
        <w:t>指标1：保护农产品产业健康发展</w:t>
      </w:r>
      <w:r>
        <w:rPr>
          <w:rFonts w:hint="eastAsia"/>
          <w:sz w:val="28"/>
          <w:szCs w:val="28"/>
          <w:lang w:val="en-US" w:eastAsia="zh-CN"/>
        </w:rPr>
        <w:tab/>
      </w:r>
      <w:r>
        <w:rPr>
          <w:rFonts w:hint="eastAsia"/>
          <w:sz w:val="28"/>
          <w:szCs w:val="28"/>
          <w:lang w:val="en-US" w:eastAsia="zh-CN"/>
        </w:rPr>
        <w:tab/>
      </w:r>
      <w:r>
        <w:rPr>
          <w:rFonts w:hint="eastAsia"/>
          <w:sz w:val="28"/>
          <w:szCs w:val="28"/>
          <w:lang w:val="en-US" w:eastAsia="zh-CN"/>
        </w:rPr>
        <w:t>保证农产品质量安全促进产业健康发展</w:t>
      </w:r>
      <w:r>
        <w:rPr>
          <w:rFonts w:hint="eastAsia"/>
          <w:sz w:val="28"/>
          <w:szCs w:val="28"/>
          <w:lang w:val="en-US" w:eastAsia="zh-CN"/>
        </w:rPr>
        <w:tab/>
      </w:r>
      <w:r>
        <w:rPr>
          <w:rFonts w:hint="eastAsia"/>
          <w:sz w:val="28"/>
          <w:szCs w:val="28"/>
          <w:lang w:val="en-US" w:eastAsia="zh-CN"/>
        </w:rPr>
        <w:t>保证农产品质量安全促进产业健康发展</w:t>
      </w:r>
    </w:p>
    <w:p>
      <w:pPr>
        <w:numPr>
          <w:ilvl w:val="0"/>
          <w:numId w:val="0"/>
        </w:numPr>
        <w:ind w:firstLine="320" w:firstLineChars="100"/>
        <w:jc w:val="both"/>
        <w:rPr>
          <w:rFonts w:hint="eastAsia" w:ascii="CESI黑体-GB2312" w:hAnsi="CESI黑体-GB2312" w:eastAsia="CESI黑体-GB2312" w:cs="CESI黑体-GB2312"/>
          <w:sz w:val="32"/>
          <w:szCs w:val="32"/>
          <w:lang w:val="en-US" w:eastAsia="zh-CN"/>
        </w:rPr>
      </w:pPr>
      <w:r>
        <w:rPr>
          <w:rFonts w:hint="eastAsia" w:ascii="CESI黑体-GB2312" w:hAnsi="CESI黑体-GB2312" w:eastAsia="CESI黑体-GB2312" w:cs="CESI黑体-GB2312"/>
          <w:sz w:val="32"/>
          <w:szCs w:val="32"/>
          <w:lang w:val="en-US" w:eastAsia="zh-CN"/>
        </w:rPr>
        <w:t>社会效益：</w:t>
      </w:r>
    </w:p>
    <w:p>
      <w:pPr>
        <w:numPr>
          <w:ilvl w:val="0"/>
          <w:numId w:val="0"/>
        </w:numPr>
        <w:ind w:firstLine="420"/>
        <w:jc w:val="both"/>
        <w:rPr>
          <w:rFonts w:hint="eastAsia"/>
          <w:sz w:val="28"/>
          <w:szCs w:val="28"/>
          <w:lang w:val="en-US" w:eastAsia="zh-CN"/>
        </w:rPr>
      </w:pPr>
      <w:r>
        <w:rPr>
          <w:rFonts w:hint="eastAsia"/>
          <w:sz w:val="28"/>
          <w:szCs w:val="28"/>
          <w:lang w:val="en-US" w:eastAsia="zh-CN"/>
        </w:rPr>
        <w:t>指标1：规模主体单产提升项目县作物单产水平</w:t>
      </w:r>
      <w:r>
        <w:rPr>
          <w:rFonts w:hint="eastAsia"/>
          <w:sz w:val="28"/>
          <w:szCs w:val="28"/>
          <w:lang w:val="en-US" w:eastAsia="zh-CN"/>
        </w:rPr>
        <w:tab/>
      </w:r>
      <w:r>
        <w:rPr>
          <w:rFonts w:hint="eastAsia"/>
          <w:sz w:val="28"/>
          <w:szCs w:val="28"/>
          <w:lang w:val="en-US" w:eastAsia="zh-CN"/>
        </w:rPr>
        <w:tab/>
      </w:r>
      <w:r>
        <w:rPr>
          <w:rFonts w:hint="eastAsia"/>
          <w:sz w:val="28"/>
          <w:szCs w:val="28"/>
          <w:lang w:val="en-US" w:eastAsia="zh-CN"/>
        </w:rPr>
        <w:t>提升</w:t>
      </w:r>
      <w:r>
        <w:rPr>
          <w:rFonts w:hint="eastAsia"/>
          <w:sz w:val="28"/>
          <w:szCs w:val="28"/>
          <w:lang w:val="en-US" w:eastAsia="zh-CN"/>
        </w:rPr>
        <w:tab/>
      </w:r>
      <w:r>
        <w:rPr>
          <w:rFonts w:hint="eastAsia"/>
          <w:sz w:val="28"/>
          <w:szCs w:val="28"/>
          <w:lang w:val="en-US" w:eastAsia="zh-CN"/>
        </w:rPr>
        <w:t>稳步提升</w:t>
      </w:r>
    </w:p>
    <w:p>
      <w:pPr>
        <w:numPr>
          <w:ilvl w:val="0"/>
          <w:numId w:val="0"/>
        </w:numPr>
        <w:ind w:firstLine="420"/>
        <w:jc w:val="both"/>
        <w:rPr>
          <w:rFonts w:hint="eastAsia"/>
          <w:sz w:val="28"/>
          <w:szCs w:val="28"/>
          <w:lang w:val="en-US" w:eastAsia="zh-CN"/>
        </w:rPr>
      </w:pPr>
      <w:r>
        <w:rPr>
          <w:rFonts w:hint="eastAsia"/>
          <w:sz w:val="28"/>
          <w:szCs w:val="28"/>
          <w:lang w:val="en-US" w:eastAsia="zh-CN"/>
        </w:rPr>
        <w:t>指标2：资金使用违规违纪问题</w:t>
      </w:r>
      <w:r>
        <w:rPr>
          <w:rFonts w:hint="eastAsia"/>
          <w:sz w:val="28"/>
          <w:szCs w:val="28"/>
          <w:lang w:val="en-US" w:eastAsia="zh-CN"/>
        </w:rPr>
        <w:tab/>
      </w:r>
      <w:r>
        <w:rPr>
          <w:rFonts w:hint="eastAsia"/>
          <w:sz w:val="28"/>
          <w:szCs w:val="28"/>
          <w:lang w:val="en-US" w:eastAsia="zh-CN"/>
        </w:rPr>
        <w:tab/>
      </w:r>
      <w:r>
        <w:rPr>
          <w:rFonts w:hint="eastAsia"/>
          <w:sz w:val="28"/>
          <w:szCs w:val="28"/>
          <w:lang w:val="en-US" w:eastAsia="zh-CN"/>
        </w:rPr>
        <w:t>无</w:t>
      </w:r>
      <w:r>
        <w:rPr>
          <w:rFonts w:hint="eastAsia"/>
          <w:sz w:val="28"/>
          <w:szCs w:val="28"/>
          <w:lang w:val="en-US" w:eastAsia="zh-CN"/>
        </w:rPr>
        <w:tab/>
      </w:r>
      <w:r>
        <w:rPr>
          <w:rFonts w:hint="eastAsia"/>
          <w:sz w:val="28"/>
          <w:szCs w:val="28"/>
          <w:lang w:val="en-US" w:eastAsia="zh-CN"/>
        </w:rPr>
        <w:t xml:space="preserve">   无</w:t>
      </w:r>
      <w:r>
        <w:rPr>
          <w:rFonts w:hint="eastAsia"/>
          <w:sz w:val="28"/>
          <w:szCs w:val="28"/>
          <w:lang w:val="en-US" w:eastAsia="zh-CN"/>
        </w:rPr>
        <w:tab/>
      </w:r>
      <w:r>
        <w:rPr>
          <w:rFonts w:hint="eastAsia"/>
          <w:sz w:val="28"/>
          <w:szCs w:val="28"/>
          <w:lang w:val="en-US" w:eastAsia="zh-CN"/>
        </w:rPr>
        <w:tab/>
      </w:r>
      <w:r>
        <w:rPr>
          <w:rFonts w:hint="eastAsia"/>
          <w:sz w:val="28"/>
          <w:szCs w:val="28"/>
          <w:lang w:val="en-US" w:eastAsia="zh-CN"/>
        </w:rPr>
        <w:tab/>
      </w:r>
      <w:r>
        <w:rPr>
          <w:rFonts w:hint="eastAsia"/>
          <w:sz w:val="28"/>
          <w:szCs w:val="28"/>
          <w:lang w:val="en-US" w:eastAsia="zh-CN"/>
        </w:rPr>
        <w:tab/>
      </w:r>
      <w:r>
        <w:rPr>
          <w:rFonts w:hint="eastAsia"/>
          <w:sz w:val="28"/>
          <w:szCs w:val="28"/>
          <w:lang w:val="en-US" w:eastAsia="zh-CN"/>
        </w:rPr>
        <w:tab/>
      </w:r>
    </w:p>
    <w:p>
      <w:pPr>
        <w:numPr>
          <w:ilvl w:val="0"/>
          <w:numId w:val="0"/>
        </w:numPr>
        <w:ind w:firstLine="320" w:firstLineChars="100"/>
        <w:jc w:val="both"/>
        <w:rPr>
          <w:rFonts w:hint="eastAsia" w:ascii="CESI黑体-GB2312" w:hAnsi="CESI黑体-GB2312" w:eastAsia="CESI黑体-GB2312" w:cs="CESI黑体-GB2312"/>
          <w:sz w:val="32"/>
          <w:szCs w:val="32"/>
          <w:lang w:val="en-US" w:eastAsia="zh-CN"/>
        </w:rPr>
      </w:pPr>
      <w:r>
        <w:rPr>
          <w:rFonts w:hint="eastAsia" w:ascii="CESI黑体-GB2312" w:hAnsi="CESI黑体-GB2312" w:eastAsia="CESI黑体-GB2312" w:cs="CESI黑体-GB2312"/>
          <w:sz w:val="32"/>
          <w:szCs w:val="32"/>
          <w:lang w:val="en-US" w:eastAsia="zh-CN"/>
        </w:rPr>
        <w:t>生态效益：</w:t>
      </w:r>
    </w:p>
    <w:p>
      <w:pPr>
        <w:numPr>
          <w:ilvl w:val="0"/>
          <w:numId w:val="0"/>
        </w:numPr>
        <w:ind w:firstLine="420"/>
        <w:jc w:val="both"/>
        <w:rPr>
          <w:rFonts w:hint="eastAsia"/>
          <w:sz w:val="28"/>
          <w:szCs w:val="28"/>
          <w:lang w:val="en-US" w:eastAsia="zh-CN"/>
        </w:rPr>
      </w:pPr>
      <w:r>
        <w:rPr>
          <w:rFonts w:hint="eastAsia"/>
          <w:sz w:val="28"/>
          <w:szCs w:val="28"/>
          <w:lang w:val="en-US" w:eastAsia="zh-CN"/>
        </w:rPr>
        <w:t>指标1：可促进食用农产品生产过程中合理使用农（兽）药</w:t>
      </w:r>
      <w:r>
        <w:rPr>
          <w:rFonts w:hint="eastAsia"/>
          <w:sz w:val="28"/>
          <w:szCs w:val="28"/>
          <w:lang w:val="en-US" w:eastAsia="zh-CN"/>
        </w:rPr>
        <w:tab/>
      </w:r>
      <w:r>
        <w:rPr>
          <w:rFonts w:hint="eastAsia"/>
          <w:sz w:val="28"/>
          <w:szCs w:val="28"/>
          <w:lang w:val="en-US" w:eastAsia="zh-CN"/>
        </w:rPr>
        <w:tab/>
      </w:r>
      <w:r>
        <w:rPr>
          <w:rFonts w:hint="eastAsia"/>
          <w:sz w:val="28"/>
          <w:szCs w:val="28"/>
          <w:lang w:val="en-US" w:eastAsia="zh-CN"/>
        </w:rPr>
        <w:t>降低使用的频率和数量，提高产品质量</w:t>
      </w:r>
      <w:r>
        <w:rPr>
          <w:rFonts w:hint="eastAsia"/>
          <w:sz w:val="28"/>
          <w:szCs w:val="28"/>
          <w:lang w:val="en-US" w:eastAsia="zh-CN"/>
        </w:rPr>
        <w:tab/>
      </w:r>
      <w:r>
        <w:rPr>
          <w:rFonts w:hint="eastAsia"/>
          <w:sz w:val="28"/>
          <w:szCs w:val="28"/>
          <w:lang w:val="en-US" w:eastAsia="zh-CN"/>
        </w:rPr>
        <w:t>降低使用的频率和数量，提高产品质量</w:t>
      </w:r>
    </w:p>
    <w:p>
      <w:pPr>
        <w:numPr>
          <w:ilvl w:val="0"/>
          <w:numId w:val="0"/>
        </w:numPr>
        <w:ind w:firstLine="320" w:firstLineChars="100"/>
        <w:jc w:val="both"/>
        <w:rPr>
          <w:rFonts w:hint="eastAsia" w:ascii="CESI黑体-GB2312" w:hAnsi="CESI黑体-GB2312" w:eastAsia="CESI黑体-GB2312" w:cs="CESI黑体-GB2312"/>
          <w:sz w:val="32"/>
          <w:szCs w:val="32"/>
          <w:lang w:val="en-US" w:eastAsia="zh-CN"/>
        </w:rPr>
      </w:pPr>
      <w:r>
        <w:rPr>
          <w:rFonts w:hint="eastAsia" w:ascii="CESI黑体-GB2312" w:hAnsi="CESI黑体-GB2312" w:eastAsia="CESI黑体-GB2312" w:cs="CESI黑体-GB2312"/>
          <w:sz w:val="32"/>
          <w:szCs w:val="32"/>
          <w:lang w:val="en-US" w:eastAsia="zh-CN"/>
        </w:rPr>
        <w:t>可持续影响指标：</w:t>
      </w:r>
    </w:p>
    <w:p>
      <w:pPr>
        <w:numPr>
          <w:ilvl w:val="0"/>
          <w:numId w:val="0"/>
        </w:numPr>
        <w:ind w:firstLine="420"/>
        <w:jc w:val="both"/>
        <w:rPr>
          <w:rFonts w:hint="default"/>
          <w:sz w:val="28"/>
          <w:szCs w:val="28"/>
          <w:lang w:val="en-US" w:eastAsia="zh-CN"/>
        </w:rPr>
      </w:pPr>
      <w:r>
        <w:rPr>
          <w:rFonts w:hint="eastAsia"/>
          <w:sz w:val="28"/>
          <w:szCs w:val="28"/>
          <w:lang w:val="en-US" w:eastAsia="zh-CN"/>
        </w:rPr>
        <w:t>指标1：对农产品质量安全监管的影响</w:t>
      </w:r>
      <w:r>
        <w:rPr>
          <w:rFonts w:hint="eastAsia"/>
          <w:sz w:val="28"/>
          <w:szCs w:val="28"/>
          <w:lang w:val="en-US" w:eastAsia="zh-CN"/>
        </w:rPr>
        <w:tab/>
      </w:r>
      <w:r>
        <w:rPr>
          <w:rFonts w:hint="eastAsia"/>
          <w:sz w:val="28"/>
          <w:szCs w:val="28"/>
          <w:lang w:val="en-US" w:eastAsia="zh-CN"/>
        </w:rPr>
        <w:tab/>
      </w:r>
      <w:r>
        <w:rPr>
          <w:rFonts w:hint="eastAsia"/>
          <w:sz w:val="28"/>
          <w:szCs w:val="28"/>
          <w:lang w:val="en-US" w:eastAsia="zh-CN"/>
        </w:rPr>
        <w:t>完善全县农产品质量安全监管体系 完善全县农产品质量安全监管体系</w:t>
      </w:r>
    </w:p>
    <w:p>
      <w:pPr>
        <w:numPr>
          <w:ilvl w:val="0"/>
          <w:numId w:val="0"/>
        </w:numPr>
        <w:ind w:firstLine="320" w:firstLineChars="100"/>
        <w:jc w:val="both"/>
        <w:rPr>
          <w:rFonts w:hint="eastAsia" w:ascii="CESI黑体-GB2312" w:hAnsi="CESI黑体-GB2312" w:eastAsia="CESI黑体-GB2312" w:cs="CESI黑体-GB2312"/>
          <w:sz w:val="32"/>
          <w:szCs w:val="32"/>
          <w:lang w:val="en-US" w:eastAsia="zh-CN"/>
        </w:rPr>
      </w:pPr>
      <w:r>
        <w:rPr>
          <w:rFonts w:hint="eastAsia" w:ascii="CESI黑体-GB2312" w:hAnsi="CESI黑体-GB2312" w:eastAsia="CESI黑体-GB2312" w:cs="CESI黑体-GB2312"/>
          <w:sz w:val="32"/>
          <w:szCs w:val="32"/>
          <w:lang w:val="en-US" w:eastAsia="zh-CN"/>
        </w:rPr>
        <w:t>服务对象满意度指标：</w:t>
      </w:r>
    </w:p>
    <w:p>
      <w:pPr>
        <w:numPr>
          <w:ilvl w:val="0"/>
          <w:numId w:val="0"/>
        </w:numPr>
        <w:ind w:firstLine="420"/>
        <w:jc w:val="both"/>
        <w:rPr>
          <w:rFonts w:hint="eastAsia"/>
          <w:sz w:val="28"/>
          <w:szCs w:val="28"/>
          <w:lang w:val="en-US" w:eastAsia="zh-CN"/>
        </w:rPr>
      </w:pPr>
      <w:r>
        <w:rPr>
          <w:rFonts w:hint="eastAsia"/>
          <w:sz w:val="28"/>
          <w:szCs w:val="28"/>
          <w:lang w:val="en-US" w:eastAsia="zh-CN"/>
        </w:rPr>
        <w:tab/>
      </w:r>
      <w:r>
        <w:rPr>
          <w:rFonts w:hint="eastAsia"/>
          <w:sz w:val="28"/>
          <w:szCs w:val="28"/>
          <w:lang w:val="en-US" w:eastAsia="zh-CN"/>
        </w:rPr>
        <w:t>指标1：高素质农民培育对象的满意度(%)</w:t>
      </w:r>
      <w:r>
        <w:rPr>
          <w:rFonts w:hint="eastAsia"/>
          <w:sz w:val="28"/>
          <w:szCs w:val="28"/>
          <w:lang w:val="en-US" w:eastAsia="zh-CN"/>
        </w:rPr>
        <w:tab/>
      </w:r>
      <w:r>
        <w:rPr>
          <w:rFonts w:hint="eastAsia"/>
          <w:sz w:val="28"/>
          <w:szCs w:val="28"/>
          <w:lang w:val="en-US" w:eastAsia="zh-CN"/>
        </w:rPr>
        <w:tab/>
      </w:r>
      <w:r>
        <w:rPr>
          <w:rFonts w:hint="eastAsia"/>
          <w:sz w:val="28"/>
          <w:szCs w:val="28"/>
          <w:lang w:val="en-US" w:eastAsia="zh-CN"/>
        </w:rPr>
        <w:t xml:space="preserve">≥90  </w:t>
      </w:r>
      <w:r>
        <w:rPr>
          <w:rFonts w:hint="eastAsia"/>
          <w:sz w:val="28"/>
          <w:szCs w:val="28"/>
          <w:lang w:val="en-US" w:eastAsia="zh-CN"/>
        </w:rPr>
        <w:tab/>
      </w:r>
      <w:r>
        <w:rPr>
          <w:rFonts w:hint="eastAsia"/>
          <w:sz w:val="28"/>
          <w:szCs w:val="28"/>
          <w:lang w:val="en-US" w:eastAsia="zh-CN"/>
        </w:rPr>
        <w:t>100</w:t>
      </w:r>
      <w:r>
        <w:rPr>
          <w:rFonts w:hint="eastAsia"/>
          <w:sz w:val="28"/>
          <w:szCs w:val="28"/>
          <w:lang w:val="en-US" w:eastAsia="zh-CN"/>
        </w:rPr>
        <w:tab/>
      </w:r>
    </w:p>
    <w:p>
      <w:pPr>
        <w:numPr>
          <w:ilvl w:val="0"/>
          <w:numId w:val="0"/>
        </w:numPr>
        <w:ind w:firstLine="420"/>
        <w:jc w:val="both"/>
        <w:rPr>
          <w:rFonts w:hint="eastAsia"/>
          <w:b/>
          <w:bCs/>
          <w:sz w:val="28"/>
          <w:szCs w:val="28"/>
          <w:lang w:val="en-US" w:eastAsia="zh-CN"/>
        </w:rPr>
      </w:pPr>
      <w:r>
        <w:rPr>
          <w:rFonts w:hint="eastAsia"/>
          <w:b/>
          <w:bCs/>
          <w:sz w:val="28"/>
          <w:szCs w:val="28"/>
          <w:lang w:val="en-US" w:eastAsia="zh-CN"/>
        </w:rPr>
        <w:t>三、偏离绩效目标的原因和下一步改进措施</w:t>
      </w:r>
    </w:p>
    <w:p>
      <w:pPr>
        <w:numPr>
          <w:ilvl w:val="0"/>
          <w:numId w:val="0"/>
        </w:numPr>
        <w:ind w:firstLine="560" w:firstLineChars="200"/>
        <w:jc w:val="both"/>
        <w:rPr>
          <w:rFonts w:hint="default"/>
          <w:sz w:val="28"/>
          <w:szCs w:val="28"/>
          <w:lang w:val="en-US" w:eastAsia="zh-CN"/>
        </w:rPr>
      </w:pPr>
      <w:r>
        <w:rPr>
          <w:rFonts w:hint="eastAsia"/>
          <w:sz w:val="28"/>
          <w:szCs w:val="28"/>
          <w:lang w:val="en-US" w:eastAsia="zh-CN"/>
        </w:rPr>
        <w:t>项目已经基本实施完成，财政紧张暂未拨付。</w:t>
      </w:r>
    </w:p>
    <w:p>
      <w:pPr>
        <w:numPr>
          <w:ilvl w:val="0"/>
          <w:numId w:val="0"/>
        </w:numPr>
        <w:ind w:firstLine="560" w:firstLineChars="200"/>
        <w:jc w:val="both"/>
        <w:rPr>
          <w:rFonts w:hint="default"/>
          <w:sz w:val="28"/>
          <w:szCs w:val="28"/>
          <w:lang w:val="en-US" w:eastAsia="zh-CN"/>
        </w:rPr>
      </w:pPr>
      <w:r>
        <w:rPr>
          <w:rFonts w:hint="eastAsia"/>
          <w:sz w:val="28"/>
          <w:szCs w:val="28"/>
          <w:lang w:val="en-US" w:eastAsia="zh-CN"/>
        </w:rPr>
        <w:t>下一步我单位将尽快落实实施方案，加快项目实施和拨付进度。</w:t>
      </w:r>
    </w:p>
    <w:p>
      <w:pPr>
        <w:numPr>
          <w:ilvl w:val="0"/>
          <w:numId w:val="4"/>
        </w:numPr>
        <w:ind w:firstLine="420"/>
        <w:jc w:val="both"/>
        <w:rPr>
          <w:rFonts w:hint="default"/>
          <w:b/>
          <w:bCs/>
          <w:sz w:val="28"/>
          <w:szCs w:val="28"/>
          <w:lang w:val="en-US" w:eastAsia="zh-CN"/>
        </w:rPr>
      </w:pPr>
      <w:r>
        <w:rPr>
          <w:rFonts w:hint="eastAsia"/>
          <w:b/>
          <w:bCs/>
          <w:sz w:val="28"/>
          <w:szCs w:val="28"/>
          <w:lang w:val="en-US" w:eastAsia="zh-CN"/>
        </w:rPr>
        <w:t>绩效自评结果拟应用和公开情况</w:t>
      </w:r>
    </w:p>
    <w:p>
      <w:pPr>
        <w:numPr>
          <w:ilvl w:val="0"/>
          <w:numId w:val="0"/>
        </w:numPr>
        <w:ind w:firstLine="420"/>
        <w:jc w:val="both"/>
        <w:rPr>
          <w:rFonts w:hint="default"/>
          <w:sz w:val="28"/>
          <w:szCs w:val="28"/>
          <w:lang w:val="en-US" w:eastAsia="zh-CN"/>
        </w:rPr>
      </w:pPr>
      <w:r>
        <w:rPr>
          <w:rFonts w:hint="eastAsia"/>
          <w:sz w:val="28"/>
          <w:szCs w:val="28"/>
          <w:lang w:val="en-US" w:eastAsia="zh-CN"/>
        </w:rPr>
        <w:t>我单位按规定对上级转移支付资金项目开展绩效自评工作，绩效公开情况已在政府部门公开网站上公开。</w:t>
      </w:r>
    </w:p>
    <w:p>
      <w:pPr>
        <w:numPr>
          <w:ilvl w:val="0"/>
          <w:numId w:val="4"/>
        </w:numPr>
        <w:ind w:firstLine="420"/>
        <w:jc w:val="both"/>
        <w:rPr>
          <w:rFonts w:hint="default"/>
          <w:b/>
          <w:bCs/>
          <w:sz w:val="28"/>
          <w:szCs w:val="28"/>
          <w:lang w:val="en-US" w:eastAsia="zh-CN"/>
        </w:rPr>
      </w:pPr>
      <w:r>
        <w:rPr>
          <w:rFonts w:hint="eastAsia"/>
          <w:b/>
          <w:bCs/>
          <w:sz w:val="28"/>
          <w:szCs w:val="28"/>
          <w:lang w:val="en-US" w:eastAsia="zh-CN"/>
        </w:rPr>
        <w:t>其他需要说明的问题</w:t>
      </w:r>
    </w:p>
    <w:p>
      <w:pPr>
        <w:numPr>
          <w:ilvl w:val="0"/>
          <w:numId w:val="0"/>
        </w:numPr>
        <w:ind w:left="420" w:leftChars="0"/>
        <w:jc w:val="both"/>
        <w:rPr>
          <w:rFonts w:hint="eastAsia"/>
          <w:b/>
          <w:bCs/>
          <w:sz w:val="28"/>
          <w:szCs w:val="28"/>
          <w:highlight w:val="none"/>
          <w:lang w:val="en-US" w:eastAsia="zh-CN"/>
        </w:rPr>
      </w:pPr>
      <w:r>
        <w:rPr>
          <w:rFonts w:hint="eastAsia"/>
          <w:sz w:val="28"/>
          <w:szCs w:val="28"/>
          <w:highlight w:val="none"/>
          <w:lang w:val="en-US" w:eastAsia="zh-CN"/>
        </w:rPr>
        <w:t>无</w:t>
      </w:r>
    </w:p>
    <w:p>
      <w:pPr>
        <w:numPr>
          <w:ilvl w:val="0"/>
          <w:numId w:val="4"/>
        </w:numPr>
        <w:ind w:left="0" w:leftChars="0" w:firstLine="420" w:firstLineChars="0"/>
        <w:jc w:val="both"/>
        <w:rPr>
          <w:rFonts w:hint="eastAsia"/>
          <w:b/>
          <w:bCs/>
          <w:sz w:val="28"/>
          <w:szCs w:val="28"/>
          <w:lang w:val="en-US" w:eastAsia="zh-CN"/>
        </w:rPr>
      </w:pPr>
      <w:r>
        <w:rPr>
          <w:rFonts w:hint="eastAsia"/>
          <w:b/>
          <w:bCs/>
          <w:sz w:val="28"/>
          <w:szCs w:val="28"/>
          <w:lang w:val="en-US" w:eastAsia="zh-CN"/>
        </w:rPr>
        <w:t>附件</w:t>
      </w:r>
    </w:p>
    <w:tbl>
      <w:tblPr>
        <w:tblW w:w="9417"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autofit"/>
        <w:tblCellMar>
          <w:top w:w="0" w:type="dxa"/>
          <w:left w:w="108" w:type="dxa"/>
          <w:bottom w:w="0" w:type="dxa"/>
          <w:right w:w="108" w:type="dxa"/>
        </w:tblCellMar>
      </w:tblPr>
      <w:tblGrid>
        <w:gridCol w:w="528"/>
        <w:gridCol w:w="416"/>
        <w:gridCol w:w="835"/>
        <w:gridCol w:w="1402"/>
        <w:gridCol w:w="1778"/>
        <w:gridCol w:w="1316"/>
        <w:gridCol w:w="1358"/>
        <w:gridCol w:w="178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30" w:hRule="atLeast"/>
        </w:trPr>
        <w:tc>
          <w:tcPr>
            <w:tcW w:w="401" w:type="dxa"/>
            <w:tcBorders>
              <w:top w:val="nil"/>
              <w:left w:val="nil"/>
              <w:bottom w:val="nil"/>
              <w:right w:val="nil"/>
            </w:tcBorders>
            <w:shd w:val="clear"/>
            <w:noWrap/>
            <w:vAlign w:val="center"/>
          </w:tcPr>
          <w:p>
            <w:pPr>
              <w:keepNext w:val="0"/>
              <w:keepLines w:val="0"/>
              <w:widowControl/>
              <w:suppressLineNumbers w:val="0"/>
              <w:jc w:val="left"/>
              <w:textAlignment w:val="center"/>
              <w:rPr>
                <w:rFonts w:ascii="黑体" w:hAnsi="宋体" w:eastAsia="黑体" w:cs="黑体"/>
                <w:i w:val="0"/>
                <w:iCs w:val="0"/>
                <w:color w:val="000000"/>
                <w:sz w:val="24"/>
                <w:szCs w:val="24"/>
                <w:u w:val="none"/>
              </w:rPr>
            </w:pPr>
            <w:bookmarkStart w:id="0" w:name="_GoBack"/>
            <w:r>
              <w:rPr>
                <w:rFonts w:hint="default" w:ascii="黑体" w:hAnsi="宋体" w:eastAsia="黑体" w:cs="黑体"/>
                <w:i w:val="0"/>
                <w:iCs w:val="0"/>
                <w:color w:val="000000"/>
                <w:kern w:val="0"/>
                <w:sz w:val="24"/>
                <w:szCs w:val="24"/>
                <w:u w:val="none"/>
                <w:bdr w:val="none" w:color="auto" w:sz="0" w:space="0"/>
                <w:lang w:val="en-US" w:eastAsia="zh-CN" w:bidi="ar"/>
              </w:rPr>
              <w:t>附件2</w:t>
            </w:r>
          </w:p>
        </w:tc>
        <w:tc>
          <w:tcPr>
            <w:tcW w:w="401" w:type="dxa"/>
            <w:tcBorders>
              <w:top w:val="nil"/>
              <w:left w:val="nil"/>
              <w:bottom w:val="nil"/>
              <w:right w:val="nil"/>
            </w:tcBorders>
            <w:shd w:val="clear"/>
            <w:vAlign w:val="center"/>
          </w:tcPr>
          <w:p>
            <w:pPr>
              <w:rPr>
                <w:rFonts w:hint="default" w:ascii="黑体" w:hAnsi="宋体" w:eastAsia="黑体" w:cs="黑体"/>
                <w:i w:val="0"/>
                <w:iCs w:val="0"/>
                <w:color w:val="000000"/>
                <w:sz w:val="24"/>
                <w:szCs w:val="24"/>
                <w:u w:val="none"/>
              </w:rPr>
            </w:pPr>
          </w:p>
        </w:tc>
        <w:tc>
          <w:tcPr>
            <w:tcW w:w="850" w:type="dxa"/>
            <w:tcBorders>
              <w:top w:val="nil"/>
              <w:left w:val="nil"/>
              <w:bottom w:val="nil"/>
              <w:right w:val="nil"/>
            </w:tcBorders>
            <w:shd w:val="clear"/>
            <w:vAlign w:val="center"/>
          </w:tcPr>
          <w:p>
            <w:pPr>
              <w:rPr>
                <w:rFonts w:hint="default" w:ascii="黑体" w:hAnsi="宋体" w:eastAsia="黑体" w:cs="黑体"/>
                <w:i w:val="0"/>
                <w:iCs w:val="0"/>
                <w:color w:val="000000"/>
                <w:sz w:val="24"/>
                <w:szCs w:val="24"/>
                <w:u w:val="none"/>
              </w:rPr>
            </w:pPr>
          </w:p>
        </w:tc>
        <w:tc>
          <w:tcPr>
            <w:tcW w:w="1431" w:type="dxa"/>
            <w:tcBorders>
              <w:top w:val="nil"/>
              <w:left w:val="nil"/>
              <w:bottom w:val="nil"/>
              <w:right w:val="nil"/>
            </w:tcBorders>
            <w:shd w:val="clear"/>
            <w:vAlign w:val="center"/>
          </w:tcPr>
          <w:p>
            <w:pPr>
              <w:rPr>
                <w:rFonts w:hint="default" w:ascii="黑体" w:hAnsi="宋体" w:eastAsia="黑体" w:cs="黑体"/>
                <w:i w:val="0"/>
                <w:iCs w:val="0"/>
                <w:color w:val="000000"/>
                <w:sz w:val="24"/>
                <w:szCs w:val="24"/>
                <w:u w:val="none"/>
              </w:rPr>
            </w:pPr>
          </w:p>
        </w:tc>
        <w:tc>
          <w:tcPr>
            <w:tcW w:w="1816" w:type="dxa"/>
            <w:tcBorders>
              <w:top w:val="nil"/>
              <w:left w:val="nil"/>
              <w:bottom w:val="nil"/>
              <w:right w:val="nil"/>
            </w:tcBorders>
            <w:shd w:val="clear"/>
            <w:vAlign w:val="center"/>
          </w:tcPr>
          <w:p>
            <w:pPr>
              <w:rPr>
                <w:rFonts w:hint="eastAsia" w:ascii="宋体" w:hAnsi="宋体" w:eastAsia="宋体" w:cs="宋体"/>
                <w:i w:val="0"/>
                <w:iCs w:val="0"/>
                <w:color w:val="000000"/>
                <w:sz w:val="24"/>
                <w:szCs w:val="24"/>
                <w:u w:val="none"/>
              </w:rPr>
            </w:pPr>
          </w:p>
        </w:tc>
        <w:tc>
          <w:tcPr>
            <w:tcW w:w="1342" w:type="dxa"/>
            <w:tcBorders>
              <w:top w:val="nil"/>
              <w:left w:val="nil"/>
              <w:bottom w:val="nil"/>
              <w:right w:val="nil"/>
            </w:tcBorders>
            <w:shd w:val="clear"/>
            <w:vAlign w:val="center"/>
          </w:tcPr>
          <w:p>
            <w:pPr>
              <w:rPr>
                <w:rFonts w:hint="eastAsia" w:ascii="宋体" w:hAnsi="宋体" w:eastAsia="宋体" w:cs="宋体"/>
                <w:i w:val="0"/>
                <w:iCs w:val="0"/>
                <w:color w:val="000000"/>
                <w:sz w:val="24"/>
                <w:szCs w:val="24"/>
                <w:u w:val="none"/>
              </w:rPr>
            </w:pPr>
          </w:p>
        </w:tc>
        <w:tc>
          <w:tcPr>
            <w:tcW w:w="1376" w:type="dxa"/>
            <w:tcBorders>
              <w:top w:val="nil"/>
              <w:left w:val="nil"/>
              <w:bottom w:val="nil"/>
              <w:right w:val="nil"/>
            </w:tcBorders>
            <w:shd w:val="clear"/>
            <w:vAlign w:val="center"/>
          </w:tcPr>
          <w:p>
            <w:pPr>
              <w:rPr>
                <w:rFonts w:hint="eastAsia" w:ascii="宋体" w:hAnsi="宋体" w:eastAsia="宋体" w:cs="宋体"/>
                <w:i w:val="0"/>
                <w:iCs w:val="0"/>
                <w:color w:val="000000"/>
                <w:sz w:val="24"/>
                <w:szCs w:val="24"/>
                <w:u w:val="none"/>
              </w:rPr>
            </w:pPr>
          </w:p>
        </w:tc>
        <w:tc>
          <w:tcPr>
            <w:tcW w:w="1800" w:type="dxa"/>
            <w:tcBorders>
              <w:top w:val="nil"/>
              <w:left w:val="nil"/>
              <w:bottom w:val="nil"/>
              <w:right w:val="nil"/>
            </w:tcBorders>
            <w:shd w:val="clear"/>
            <w:vAlign w:val="center"/>
          </w:tcPr>
          <w:p>
            <w:pP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880" w:hRule="atLeast"/>
        </w:trPr>
        <w:tc>
          <w:tcPr>
            <w:tcW w:w="9417" w:type="dxa"/>
            <w:gridSpan w:val="8"/>
            <w:tcBorders>
              <w:top w:val="nil"/>
              <w:left w:val="nil"/>
              <w:bottom w:val="nil"/>
              <w:right w:val="nil"/>
            </w:tcBorders>
            <w:shd w:val="clear"/>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bdr w:val="none" w:color="auto" w:sz="0" w:space="0"/>
                <w:lang w:val="en-US" w:eastAsia="zh-CN" w:bidi="ar"/>
              </w:rPr>
              <w:t>凤台县农业经营主体能力提升资金项目绩效自评表</w:t>
            </w:r>
            <w:r>
              <w:rPr>
                <w:rFonts w:hint="eastAsia" w:ascii="宋体" w:hAnsi="宋体" w:eastAsia="宋体" w:cs="宋体"/>
                <w:b/>
                <w:bCs/>
                <w:i w:val="0"/>
                <w:iCs w:val="0"/>
                <w:color w:val="FF0000"/>
                <w:kern w:val="0"/>
                <w:sz w:val="32"/>
                <w:szCs w:val="32"/>
                <w:u w:val="none"/>
                <w:bdr w:val="none" w:color="auto" w:sz="0" w:space="0"/>
                <w:lang w:val="en-US" w:eastAsia="zh-CN" w:bidi="ar"/>
              </w:rPr>
              <w:t>（计财科牵头填写）</w:t>
            </w:r>
            <w:r>
              <w:rPr>
                <w:rFonts w:hint="eastAsia" w:ascii="宋体" w:hAnsi="宋体" w:eastAsia="宋体" w:cs="宋体"/>
                <w:i w:val="0"/>
                <w:iCs w:val="0"/>
                <w:color w:val="FF0000"/>
                <w:kern w:val="0"/>
                <w:sz w:val="32"/>
                <w:szCs w:val="32"/>
                <w:u w:val="none"/>
                <w:bdr w:val="none" w:color="auto" w:sz="0" w:space="0"/>
                <w:lang w:val="en-US" w:eastAsia="zh-CN" w:bidi="ar"/>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32" w:hRule="atLeast"/>
        </w:trPr>
        <w:tc>
          <w:tcPr>
            <w:tcW w:w="9417" w:type="dxa"/>
            <w:gridSpan w:val="8"/>
            <w:tcBorders>
              <w:top w:val="nil"/>
              <w:left w:val="nil"/>
              <w:bottom w:val="single" w:color="000000" w:sz="4" w:space="0"/>
              <w:right w:val="nil"/>
            </w:tcBorders>
            <w:shd w:val="clear"/>
            <w:vAlign w:val="top"/>
          </w:tcPr>
          <w:p>
            <w:pPr>
              <w:keepNext w:val="0"/>
              <w:keepLines w:val="0"/>
              <w:widowControl/>
              <w:suppressLineNumbers w:val="0"/>
              <w:jc w:val="center"/>
              <w:textAlignment w:val="top"/>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19" w:hRule="atLeast"/>
        </w:trPr>
        <w:tc>
          <w:tcPr>
            <w:tcW w:w="1652" w:type="dxa"/>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转移支付（项目）名称</w:t>
            </w:r>
          </w:p>
        </w:tc>
        <w:tc>
          <w:tcPr>
            <w:tcW w:w="7765" w:type="dxa"/>
            <w:gridSpan w:val="5"/>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农业经营主体能力提升资金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19" w:hRule="atLeast"/>
        </w:trPr>
        <w:tc>
          <w:tcPr>
            <w:tcW w:w="1652" w:type="dxa"/>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中央主管部门</w:t>
            </w:r>
          </w:p>
        </w:tc>
        <w:tc>
          <w:tcPr>
            <w:tcW w:w="7765" w:type="dxa"/>
            <w:gridSpan w:val="5"/>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农业农村部、财政部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19" w:hRule="atLeast"/>
        </w:trPr>
        <w:tc>
          <w:tcPr>
            <w:tcW w:w="1652" w:type="dxa"/>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地方主管部门</w:t>
            </w:r>
          </w:p>
        </w:tc>
        <w:tc>
          <w:tcPr>
            <w:tcW w:w="3247" w:type="dxa"/>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省农业农村厅、省财政厅</w:t>
            </w:r>
          </w:p>
        </w:tc>
        <w:tc>
          <w:tcPr>
            <w:tcW w:w="134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资金使用单位</w:t>
            </w:r>
          </w:p>
        </w:tc>
        <w:tc>
          <w:tcPr>
            <w:tcW w:w="3176" w:type="dxa"/>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凤台县农业农村局、凤台县财政局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55" w:hRule="atLeast"/>
        </w:trPr>
        <w:tc>
          <w:tcPr>
            <w:tcW w:w="1652" w:type="dxa"/>
            <w:gridSpan w:val="3"/>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资金投入情况</w:t>
            </w:r>
            <w:r>
              <w:rPr>
                <w:rFonts w:hint="eastAsia" w:ascii="宋体" w:hAnsi="宋体" w:eastAsia="宋体" w:cs="宋体"/>
                <w:i w:val="0"/>
                <w:iCs w:val="0"/>
                <w:color w:val="000000"/>
                <w:kern w:val="0"/>
                <w:sz w:val="20"/>
                <w:szCs w:val="20"/>
                <w:u w:val="none"/>
                <w:bdr w:val="none" w:color="auto" w:sz="0" w:space="0"/>
                <w:lang w:val="en-US" w:eastAsia="zh-CN" w:bidi="ar"/>
              </w:rPr>
              <w:br w:type="textWrapping"/>
            </w:r>
            <w:r>
              <w:rPr>
                <w:rFonts w:hint="eastAsia" w:ascii="宋体" w:hAnsi="宋体" w:eastAsia="宋体" w:cs="宋体"/>
                <w:i w:val="0"/>
                <w:iCs w:val="0"/>
                <w:color w:val="000000"/>
                <w:kern w:val="0"/>
                <w:sz w:val="20"/>
                <w:szCs w:val="20"/>
                <w:u w:val="none"/>
                <w:bdr w:val="none" w:color="auto" w:sz="0" w:space="0"/>
                <w:lang w:val="en-US" w:eastAsia="zh-CN" w:bidi="ar"/>
              </w:rPr>
              <w:t>（万元）</w:t>
            </w:r>
          </w:p>
        </w:tc>
        <w:tc>
          <w:tcPr>
            <w:tcW w:w="1431" w:type="dxa"/>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iCs w:val="0"/>
                <w:color w:val="000000"/>
                <w:sz w:val="20"/>
                <w:szCs w:val="20"/>
                <w:u w:val="none"/>
              </w:rPr>
            </w:pPr>
          </w:p>
        </w:tc>
        <w:tc>
          <w:tcPr>
            <w:tcW w:w="18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全年预算数（A）</w:t>
            </w:r>
          </w:p>
        </w:tc>
        <w:tc>
          <w:tcPr>
            <w:tcW w:w="2718" w:type="dxa"/>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全年执行数（B）</w:t>
            </w:r>
          </w:p>
        </w:tc>
        <w:tc>
          <w:tcPr>
            <w:tcW w:w="180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预算执行率（B/A</w:t>
            </w:r>
            <w:r>
              <w:rPr>
                <w:rFonts w:ascii="汉仪细圆B5" w:hAnsi="汉仪细圆B5" w:eastAsia="汉仪细圆B5" w:cs="汉仪细圆B5"/>
                <w:i w:val="0"/>
                <w:iCs w:val="0"/>
                <w:color w:val="000000"/>
                <w:kern w:val="0"/>
                <w:sz w:val="20"/>
                <w:szCs w:val="20"/>
                <w:u w:val="none"/>
                <w:bdr w:val="none" w:color="auto" w:sz="0" w:space="0"/>
                <w:lang w:val="en-US" w:eastAsia="zh-CN" w:bidi="ar"/>
              </w:rPr>
              <w:t>×</w:t>
            </w:r>
            <w:r>
              <w:rPr>
                <w:rFonts w:hint="eastAsia" w:ascii="宋体" w:hAnsi="宋体" w:eastAsia="宋体" w:cs="宋体"/>
                <w:i w:val="0"/>
                <w:iCs w:val="0"/>
                <w:color w:val="000000"/>
                <w:kern w:val="0"/>
                <w:sz w:val="20"/>
                <w:szCs w:val="20"/>
                <w:u w:val="none"/>
                <w:bdr w:val="none" w:color="auto" w:sz="0" w:space="0"/>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19" w:hRule="atLeast"/>
        </w:trPr>
        <w:tc>
          <w:tcPr>
            <w:tcW w:w="1652" w:type="dxa"/>
            <w:gridSpan w:val="3"/>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c>
          <w:tcPr>
            <w:tcW w:w="1431"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年度资金总额：</w:t>
            </w:r>
          </w:p>
        </w:tc>
        <w:tc>
          <w:tcPr>
            <w:tcW w:w="18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925</w:t>
            </w:r>
          </w:p>
        </w:tc>
        <w:tc>
          <w:tcPr>
            <w:tcW w:w="2718" w:type="dxa"/>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745.11</w:t>
            </w:r>
          </w:p>
        </w:tc>
        <w:tc>
          <w:tcPr>
            <w:tcW w:w="180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80.55%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60" w:hRule="atLeast"/>
        </w:trPr>
        <w:tc>
          <w:tcPr>
            <w:tcW w:w="1652" w:type="dxa"/>
            <w:gridSpan w:val="3"/>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c>
          <w:tcPr>
            <w:tcW w:w="1431"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其中：中央财政资金</w:t>
            </w:r>
          </w:p>
        </w:tc>
        <w:tc>
          <w:tcPr>
            <w:tcW w:w="18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华文楷体" w:hAnsi="华文楷体" w:eastAsia="华文楷体" w:cs="华文楷体"/>
                <w:i w:val="0"/>
                <w:iCs w:val="0"/>
                <w:color w:val="000000"/>
                <w:sz w:val="20"/>
                <w:szCs w:val="20"/>
                <w:u w:val="none"/>
              </w:rPr>
            </w:pPr>
            <w:r>
              <w:rPr>
                <w:rFonts w:hint="eastAsia" w:ascii="华文楷体" w:hAnsi="华文楷体" w:eastAsia="华文楷体" w:cs="华文楷体"/>
                <w:i w:val="0"/>
                <w:iCs w:val="0"/>
                <w:color w:val="000000"/>
                <w:kern w:val="0"/>
                <w:sz w:val="20"/>
                <w:szCs w:val="20"/>
                <w:u w:val="none"/>
                <w:bdr w:val="none" w:color="auto" w:sz="0" w:space="0"/>
                <w:lang w:val="en-US" w:eastAsia="zh-CN" w:bidi="ar"/>
              </w:rPr>
              <w:t>907</w:t>
            </w:r>
          </w:p>
        </w:tc>
        <w:tc>
          <w:tcPr>
            <w:tcW w:w="2718" w:type="dxa"/>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730.11</w:t>
            </w:r>
          </w:p>
        </w:tc>
        <w:tc>
          <w:tcPr>
            <w:tcW w:w="180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80.50%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19" w:hRule="atLeast"/>
        </w:trPr>
        <w:tc>
          <w:tcPr>
            <w:tcW w:w="1652" w:type="dxa"/>
            <w:gridSpan w:val="3"/>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c>
          <w:tcPr>
            <w:tcW w:w="1431"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      地方资金</w:t>
            </w:r>
          </w:p>
        </w:tc>
        <w:tc>
          <w:tcPr>
            <w:tcW w:w="18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18</w:t>
            </w:r>
          </w:p>
        </w:tc>
        <w:tc>
          <w:tcPr>
            <w:tcW w:w="2718" w:type="dxa"/>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15</w:t>
            </w:r>
          </w:p>
        </w:tc>
        <w:tc>
          <w:tcPr>
            <w:tcW w:w="180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83.33%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30" w:hRule="atLeast"/>
        </w:trPr>
        <w:tc>
          <w:tcPr>
            <w:tcW w:w="1652" w:type="dxa"/>
            <w:gridSpan w:val="3"/>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c>
          <w:tcPr>
            <w:tcW w:w="1431"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 </w:t>
            </w:r>
            <w:r>
              <w:rPr>
                <w:rStyle w:val="10"/>
                <w:bdr w:val="none" w:color="auto" w:sz="0" w:space="0"/>
                <w:lang w:val="en-US" w:eastAsia="zh-CN" w:bidi="ar"/>
              </w:rPr>
              <w:t xml:space="preserve">     其他资金</w:t>
            </w:r>
          </w:p>
        </w:tc>
        <w:tc>
          <w:tcPr>
            <w:tcW w:w="1816"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c>
          <w:tcPr>
            <w:tcW w:w="2718" w:type="dxa"/>
            <w:gridSpan w:val="2"/>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c>
          <w:tcPr>
            <w:tcW w:w="1800" w:type="dxa"/>
            <w:tcBorders>
              <w:top w:val="single" w:color="000000" w:sz="4" w:space="0"/>
              <w:left w:val="single" w:color="000000" w:sz="4" w:space="0"/>
              <w:bottom w:val="single" w:color="000000" w:sz="4" w:space="0"/>
              <w:right w:val="single" w:color="000000" w:sz="4" w:space="0"/>
            </w:tcBorders>
            <w:shd w:val="clear"/>
            <w:vAlign w:val="center"/>
          </w:tcPr>
          <w:p>
            <w:pPr>
              <w:jc w:val="lef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30" w:hRule="atLeast"/>
        </w:trPr>
        <w:tc>
          <w:tcPr>
            <w:tcW w:w="1652" w:type="dxa"/>
            <w:gridSpan w:val="3"/>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资金管理情况</w:t>
            </w:r>
          </w:p>
        </w:tc>
        <w:tc>
          <w:tcPr>
            <w:tcW w:w="1431" w:type="dxa"/>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iCs w:val="0"/>
                <w:color w:val="000000"/>
                <w:sz w:val="20"/>
                <w:szCs w:val="20"/>
                <w:u w:val="none"/>
              </w:rPr>
            </w:pPr>
          </w:p>
        </w:tc>
        <w:tc>
          <w:tcPr>
            <w:tcW w:w="3158" w:type="dxa"/>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情况说明</w:t>
            </w:r>
          </w:p>
        </w:tc>
        <w:tc>
          <w:tcPr>
            <w:tcW w:w="3176" w:type="dxa"/>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存在问题和改进措施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55" w:hRule="atLeast"/>
        </w:trPr>
        <w:tc>
          <w:tcPr>
            <w:tcW w:w="1652" w:type="dxa"/>
            <w:gridSpan w:val="3"/>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c>
          <w:tcPr>
            <w:tcW w:w="1431"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分配科学性</w:t>
            </w:r>
          </w:p>
        </w:tc>
        <w:tc>
          <w:tcPr>
            <w:tcW w:w="3158" w:type="dxa"/>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both"/>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严格按照转移支付管理制度及资金管理办法规定的范围和标准分配资金。</w:t>
            </w:r>
          </w:p>
        </w:tc>
        <w:tc>
          <w:tcPr>
            <w:tcW w:w="3176" w:type="dxa"/>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55" w:hRule="atLeast"/>
        </w:trPr>
        <w:tc>
          <w:tcPr>
            <w:tcW w:w="1652" w:type="dxa"/>
            <w:gridSpan w:val="3"/>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c>
          <w:tcPr>
            <w:tcW w:w="1431"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下达及时性</w:t>
            </w:r>
          </w:p>
        </w:tc>
        <w:tc>
          <w:tcPr>
            <w:tcW w:w="3158" w:type="dxa"/>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both"/>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严格按照预算法及其实施条例、转移支付管理制度规定以及资金管理办法规定的时限要求分解下达资金。</w:t>
            </w:r>
          </w:p>
        </w:tc>
        <w:tc>
          <w:tcPr>
            <w:tcW w:w="3176" w:type="dxa"/>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55" w:hRule="atLeast"/>
        </w:trPr>
        <w:tc>
          <w:tcPr>
            <w:tcW w:w="1652" w:type="dxa"/>
            <w:gridSpan w:val="3"/>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c>
          <w:tcPr>
            <w:tcW w:w="1431"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拨付合规性</w:t>
            </w:r>
          </w:p>
        </w:tc>
        <w:tc>
          <w:tcPr>
            <w:tcW w:w="3158" w:type="dxa"/>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both"/>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严格按照国库集中支付制度有关规定支付资金，未出现违规将资金从国库转入财政专户或支付到预算单位实有资金账户等问题。</w:t>
            </w:r>
          </w:p>
        </w:tc>
        <w:tc>
          <w:tcPr>
            <w:tcW w:w="3176" w:type="dxa"/>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55" w:hRule="atLeast"/>
        </w:trPr>
        <w:tc>
          <w:tcPr>
            <w:tcW w:w="1652" w:type="dxa"/>
            <w:gridSpan w:val="3"/>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c>
          <w:tcPr>
            <w:tcW w:w="1431"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使用规范性</w:t>
            </w:r>
          </w:p>
        </w:tc>
        <w:tc>
          <w:tcPr>
            <w:tcW w:w="3158" w:type="dxa"/>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both"/>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严格按照下达预算的科目和项目执行，未出现截留、挤占、挪用或擅自调整等问题。</w:t>
            </w:r>
          </w:p>
        </w:tc>
        <w:tc>
          <w:tcPr>
            <w:tcW w:w="3176" w:type="dxa"/>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55" w:hRule="atLeast"/>
        </w:trPr>
        <w:tc>
          <w:tcPr>
            <w:tcW w:w="1652" w:type="dxa"/>
            <w:gridSpan w:val="3"/>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c>
          <w:tcPr>
            <w:tcW w:w="1431"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执行准确性</w:t>
            </w:r>
          </w:p>
        </w:tc>
        <w:tc>
          <w:tcPr>
            <w:tcW w:w="3158" w:type="dxa"/>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both"/>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按照上级下达和本级预算安排的金额执行。</w:t>
            </w:r>
          </w:p>
        </w:tc>
        <w:tc>
          <w:tcPr>
            <w:tcW w:w="3176" w:type="dxa"/>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55" w:hRule="atLeast"/>
        </w:trPr>
        <w:tc>
          <w:tcPr>
            <w:tcW w:w="1652" w:type="dxa"/>
            <w:gridSpan w:val="3"/>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c>
          <w:tcPr>
            <w:tcW w:w="1431"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预算绩效管理情况</w:t>
            </w:r>
          </w:p>
        </w:tc>
        <w:tc>
          <w:tcPr>
            <w:tcW w:w="3158" w:type="dxa"/>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both"/>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按照下达的绩效目标，开展绩效监控和绩效评价。</w:t>
            </w:r>
          </w:p>
        </w:tc>
        <w:tc>
          <w:tcPr>
            <w:tcW w:w="3176" w:type="dxa"/>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55" w:hRule="atLeast"/>
        </w:trPr>
        <w:tc>
          <w:tcPr>
            <w:tcW w:w="1652" w:type="dxa"/>
            <w:gridSpan w:val="3"/>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c>
          <w:tcPr>
            <w:tcW w:w="1431"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支出责任履行情况</w:t>
            </w:r>
          </w:p>
        </w:tc>
        <w:tc>
          <w:tcPr>
            <w:tcW w:w="3158" w:type="dxa"/>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both"/>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按照财政事权和支出责任划分有关规定，足额安排资金履行本级支出责任。</w:t>
            </w:r>
          </w:p>
        </w:tc>
        <w:tc>
          <w:tcPr>
            <w:tcW w:w="3176" w:type="dxa"/>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780" w:hRule="atLeast"/>
        </w:trPr>
        <w:tc>
          <w:tcPr>
            <w:tcW w:w="401" w:type="dxa"/>
            <w:vMerge w:val="restart"/>
            <w:tcBorders>
              <w:top w:val="nil"/>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总体目标完成情况</w:t>
            </w:r>
          </w:p>
        </w:tc>
        <w:tc>
          <w:tcPr>
            <w:tcW w:w="4498" w:type="dxa"/>
            <w:gridSpan w:val="4"/>
            <w:tcBorders>
              <w:top w:val="nil"/>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总体目标</w:t>
            </w:r>
          </w:p>
        </w:tc>
        <w:tc>
          <w:tcPr>
            <w:tcW w:w="4518" w:type="dxa"/>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全年实际完成情况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440" w:hRule="atLeast"/>
        </w:trPr>
        <w:tc>
          <w:tcPr>
            <w:tcW w:w="401" w:type="dxa"/>
            <w:vMerge w:val="continue"/>
            <w:tcBorders>
              <w:top w:val="nil"/>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c>
          <w:tcPr>
            <w:tcW w:w="4498" w:type="dxa"/>
            <w:gridSpan w:val="4"/>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both"/>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目标1.按照我县2024年制定《凤台县现代设施农业建设贷款贴息试点实施方案》，将符合条件的农户、家庭农场、农民专业合作社、农业企业以及农业社会化服务组织、农村集体经济组织等农业经营主体纳入贴息对象，按照标准贴息。 目标2.利用中央资金支持粮油规模种植主体创新组织方式、集成高产模式、落实增产措施，促进粮油单产水平持续提高，确保粮食安全，并推动质量兴农和乡村振兴战略的实施。 目标3和4.支持农民专用业合作社10个以上，支持家庭农场9个以上。 目标5.支持不少于60家主体开展承诺达标合格证亮证行动。 目标6.按照我县实施方案方案2024年培训高素质农民600人，资金共计165万元，待培训完成、验收合格后及时拨付资金。 目标7.上级下达资金130万元，按照方案要求，开展春季农业科技服务活动，农技人员开展包村联户服务，开展农业主导品种和主推技术试验示范；开展农技人员能力提升培训和农技推广服务。</w:t>
            </w:r>
          </w:p>
        </w:tc>
        <w:tc>
          <w:tcPr>
            <w:tcW w:w="4518" w:type="dxa"/>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both"/>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目标1.经农业经营主体申报、乡镇初核，第三方机构审核后，共计19家符合贴息政策要求，贴息资金共计23.54万元，资金待支付.  目标2.通过实施项目，粮油规模种植主体的单产水平得到显著提升，有效提高了粮食产量和质量，引导了规模种植主体发展优质专用粮生产，推动了种植结构的优化和粮食品质的提升，项目通过梳理典型和标杆，推动了粮食和重要农产品生产能力的不断提升，不仅提高了种植主体的经济效益，也带动了周边农户增收。促进了农村经济的繁荣和发展。项目已实施完成，资金暂未拨付。 目标3和4.支持农民专用业合作社20个，支持家庭农场11个。资金暂未拨付。 目标5.支持60家生产经营主体开展承诺达标合格证亮证行动。目标6.完成培训高素质农民600人，对培训机构进行验收结果均合格；实际已拨付中央资金60万元，省级资金15万元，剩余资金待拨付。 目标7.全县2024年遴选了147名农技人员，每人联系5名科技示范户，每人全年指导服务示范户12次以上；举办了农技人员能力提升培训班；建设4个农业科技示范展示基地，每个基地试验示范主推技术3个以上，并开展培训与观摩活动。开展农技推广服务和宣传工作。资金暂未拨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522" w:hRule="atLeast"/>
        </w:trPr>
        <w:tc>
          <w:tcPr>
            <w:tcW w:w="401" w:type="dxa"/>
            <w:vMerge w:val="restart"/>
            <w:tcBorders>
              <w:top w:val="single" w:color="000000" w:sz="4" w:space="0"/>
              <w:left w:val="single" w:color="000000" w:sz="4" w:space="0"/>
              <w:bottom w:val="single" w:color="000000" w:sz="4" w:space="0"/>
              <w:right w:val="single" w:color="000000" w:sz="4" w:space="0"/>
            </w:tcBorders>
            <w:shd w:val="clear"/>
            <w:textDirection w:val="tbRlV"/>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绩效指标</w:t>
            </w:r>
          </w:p>
        </w:tc>
        <w:tc>
          <w:tcPr>
            <w:tcW w:w="401"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一级</w:t>
            </w:r>
            <w:r>
              <w:rPr>
                <w:rFonts w:hint="eastAsia" w:ascii="宋体" w:hAnsi="宋体" w:eastAsia="宋体" w:cs="宋体"/>
                <w:i w:val="0"/>
                <w:iCs w:val="0"/>
                <w:color w:val="000000"/>
                <w:kern w:val="0"/>
                <w:sz w:val="20"/>
                <w:szCs w:val="20"/>
                <w:u w:val="none"/>
                <w:bdr w:val="none" w:color="auto" w:sz="0" w:space="0"/>
                <w:lang w:val="en-US" w:eastAsia="zh-CN" w:bidi="ar"/>
              </w:rPr>
              <w:br w:type="textWrapping"/>
            </w:r>
            <w:r>
              <w:rPr>
                <w:rFonts w:hint="eastAsia" w:ascii="宋体" w:hAnsi="宋体" w:eastAsia="宋体" w:cs="宋体"/>
                <w:i w:val="0"/>
                <w:iCs w:val="0"/>
                <w:color w:val="000000"/>
                <w:kern w:val="0"/>
                <w:sz w:val="20"/>
                <w:szCs w:val="20"/>
                <w:u w:val="none"/>
                <w:bdr w:val="none" w:color="auto" w:sz="0" w:space="0"/>
                <w:lang w:val="en-US" w:eastAsia="zh-CN" w:bidi="ar"/>
              </w:rPr>
              <w:t>指标</w:t>
            </w:r>
          </w:p>
        </w:tc>
        <w:tc>
          <w:tcPr>
            <w:tcW w:w="85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二级指标</w:t>
            </w:r>
          </w:p>
        </w:tc>
        <w:tc>
          <w:tcPr>
            <w:tcW w:w="3247" w:type="dxa"/>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三级指标</w:t>
            </w:r>
          </w:p>
        </w:tc>
        <w:tc>
          <w:tcPr>
            <w:tcW w:w="134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指标值</w:t>
            </w:r>
          </w:p>
        </w:tc>
        <w:tc>
          <w:tcPr>
            <w:tcW w:w="137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全年实际完成值</w:t>
            </w:r>
          </w:p>
        </w:tc>
        <w:tc>
          <w:tcPr>
            <w:tcW w:w="180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未完成原因和改进措施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59" w:hRule="atLeast"/>
        </w:trPr>
        <w:tc>
          <w:tcPr>
            <w:tcW w:w="401" w:type="dxa"/>
            <w:vMerge w:val="continue"/>
            <w:tcBorders>
              <w:top w:val="single" w:color="000000" w:sz="4" w:space="0"/>
              <w:left w:val="single" w:color="000000" w:sz="4" w:space="0"/>
              <w:bottom w:val="single" w:color="000000" w:sz="4" w:space="0"/>
              <w:right w:val="single" w:color="000000" w:sz="4" w:space="0"/>
            </w:tcBorders>
            <w:shd w:val="clear"/>
            <w:textDirection w:val="tbRlV"/>
            <w:vAlign w:val="center"/>
          </w:tcPr>
          <w:p>
            <w:pPr>
              <w:jc w:val="center"/>
              <w:rPr>
                <w:rFonts w:hint="eastAsia" w:ascii="宋体" w:hAnsi="宋体" w:eastAsia="宋体" w:cs="宋体"/>
                <w:i w:val="0"/>
                <w:iCs w:val="0"/>
                <w:color w:val="000000"/>
                <w:sz w:val="20"/>
                <w:szCs w:val="20"/>
                <w:u w:val="none"/>
              </w:rPr>
            </w:pPr>
          </w:p>
        </w:tc>
        <w:tc>
          <w:tcPr>
            <w:tcW w:w="401"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产</w:t>
            </w:r>
            <w:r>
              <w:rPr>
                <w:rFonts w:hint="eastAsia" w:ascii="宋体" w:hAnsi="宋体" w:eastAsia="宋体" w:cs="宋体"/>
                <w:i w:val="0"/>
                <w:iCs w:val="0"/>
                <w:color w:val="000000"/>
                <w:kern w:val="0"/>
                <w:sz w:val="20"/>
                <w:szCs w:val="20"/>
                <w:u w:val="none"/>
                <w:bdr w:val="none" w:color="auto" w:sz="0" w:space="0"/>
                <w:lang w:val="en-US" w:eastAsia="zh-CN" w:bidi="ar"/>
              </w:rPr>
              <w:br w:type="textWrapping"/>
            </w:r>
            <w:r>
              <w:rPr>
                <w:rFonts w:hint="eastAsia" w:ascii="宋体" w:hAnsi="宋体" w:eastAsia="宋体" w:cs="宋体"/>
                <w:i w:val="0"/>
                <w:iCs w:val="0"/>
                <w:color w:val="000000"/>
                <w:kern w:val="0"/>
                <w:sz w:val="20"/>
                <w:szCs w:val="20"/>
                <w:u w:val="none"/>
                <w:bdr w:val="none" w:color="auto" w:sz="0" w:space="0"/>
                <w:lang w:val="en-US" w:eastAsia="zh-CN" w:bidi="ar"/>
              </w:rPr>
              <w:t>出</w:t>
            </w:r>
            <w:r>
              <w:rPr>
                <w:rFonts w:hint="eastAsia" w:ascii="宋体" w:hAnsi="宋体" w:eastAsia="宋体" w:cs="宋体"/>
                <w:i w:val="0"/>
                <w:iCs w:val="0"/>
                <w:color w:val="000000"/>
                <w:kern w:val="0"/>
                <w:sz w:val="20"/>
                <w:szCs w:val="20"/>
                <w:u w:val="none"/>
                <w:bdr w:val="none" w:color="auto" w:sz="0" w:space="0"/>
                <w:lang w:val="en-US" w:eastAsia="zh-CN" w:bidi="ar"/>
              </w:rPr>
              <w:br w:type="textWrapping"/>
            </w:r>
            <w:r>
              <w:rPr>
                <w:rFonts w:hint="eastAsia" w:ascii="宋体" w:hAnsi="宋体" w:eastAsia="宋体" w:cs="宋体"/>
                <w:i w:val="0"/>
                <w:iCs w:val="0"/>
                <w:color w:val="000000"/>
                <w:kern w:val="0"/>
                <w:sz w:val="20"/>
                <w:szCs w:val="20"/>
                <w:u w:val="none"/>
                <w:bdr w:val="none" w:color="auto" w:sz="0" w:space="0"/>
                <w:lang w:val="en-US" w:eastAsia="zh-CN" w:bidi="ar"/>
              </w:rPr>
              <w:t>指</w:t>
            </w:r>
            <w:r>
              <w:rPr>
                <w:rFonts w:hint="eastAsia" w:ascii="宋体" w:hAnsi="宋体" w:eastAsia="宋体" w:cs="宋体"/>
                <w:i w:val="0"/>
                <w:iCs w:val="0"/>
                <w:color w:val="000000"/>
                <w:kern w:val="0"/>
                <w:sz w:val="20"/>
                <w:szCs w:val="20"/>
                <w:u w:val="none"/>
                <w:bdr w:val="none" w:color="auto" w:sz="0" w:space="0"/>
                <w:lang w:val="en-US" w:eastAsia="zh-CN" w:bidi="ar"/>
              </w:rPr>
              <w:br w:type="textWrapping"/>
            </w:r>
            <w:r>
              <w:rPr>
                <w:rFonts w:hint="eastAsia" w:ascii="宋体" w:hAnsi="宋体" w:eastAsia="宋体" w:cs="宋体"/>
                <w:i w:val="0"/>
                <w:iCs w:val="0"/>
                <w:color w:val="000000"/>
                <w:kern w:val="0"/>
                <w:sz w:val="20"/>
                <w:szCs w:val="20"/>
                <w:u w:val="none"/>
                <w:bdr w:val="none" w:color="auto" w:sz="0" w:space="0"/>
                <w:lang w:val="en-US" w:eastAsia="zh-CN" w:bidi="ar"/>
              </w:rPr>
              <w:t>标</w:t>
            </w:r>
          </w:p>
        </w:tc>
        <w:tc>
          <w:tcPr>
            <w:tcW w:w="850"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数量指标</w:t>
            </w:r>
          </w:p>
        </w:tc>
        <w:tc>
          <w:tcPr>
            <w:tcW w:w="3247" w:type="dxa"/>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支持的农民合作社数量(个)</w:t>
            </w:r>
          </w:p>
        </w:tc>
        <w:tc>
          <w:tcPr>
            <w:tcW w:w="134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10</w:t>
            </w:r>
          </w:p>
        </w:tc>
        <w:tc>
          <w:tcPr>
            <w:tcW w:w="137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20</w:t>
            </w:r>
          </w:p>
        </w:tc>
        <w:tc>
          <w:tcPr>
            <w:tcW w:w="1800"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59" w:hRule="atLeast"/>
        </w:trPr>
        <w:tc>
          <w:tcPr>
            <w:tcW w:w="401" w:type="dxa"/>
            <w:vMerge w:val="continue"/>
            <w:tcBorders>
              <w:top w:val="single" w:color="000000" w:sz="4" w:space="0"/>
              <w:left w:val="single" w:color="000000" w:sz="4" w:space="0"/>
              <w:bottom w:val="single" w:color="000000" w:sz="4" w:space="0"/>
              <w:right w:val="single" w:color="000000" w:sz="4" w:space="0"/>
            </w:tcBorders>
            <w:shd w:val="clear"/>
            <w:textDirection w:val="tbRlV"/>
            <w:vAlign w:val="center"/>
          </w:tcPr>
          <w:p>
            <w:pPr>
              <w:jc w:val="center"/>
              <w:rPr>
                <w:rFonts w:hint="eastAsia" w:ascii="宋体" w:hAnsi="宋体" w:eastAsia="宋体" w:cs="宋体"/>
                <w:i w:val="0"/>
                <w:iCs w:val="0"/>
                <w:color w:val="000000"/>
                <w:sz w:val="20"/>
                <w:szCs w:val="20"/>
                <w:u w:val="none"/>
              </w:rPr>
            </w:pPr>
          </w:p>
        </w:tc>
        <w:tc>
          <w:tcPr>
            <w:tcW w:w="401"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c>
          <w:tcPr>
            <w:tcW w:w="850"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c>
          <w:tcPr>
            <w:tcW w:w="3247" w:type="dxa"/>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支持的家庭农场数量(个)</w:t>
            </w:r>
          </w:p>
        </w:tc>
        <w:tc>
          <w:tcPr>
            <w:tcW w:w="134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9</w:t>
            </w:r>
          </w:p>
        </w:tc>
        <w:tc>
          <w:tcPr>
            <w:tcW w:w="137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11</w:t>
            </w:r>
          </w:p>
        </w:tc>
        <w:tc>
          <w:tcPr>
            <w:tcW w:w="1800"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59" w:hRule="atLeast"/>
        </w:trPr>
        <w:tc>
          <w:tcPr>
            <w:tcW w:w="401" w:type="dxa"/>
            <w:vMerge w:val="continue"/>
            <w:tcBorders>
              <w:top w:val="single" w:color="000000" w:sz="4" w:space="0"/>
              <w:left w:val="single" w:color="000000" w:sz="4" w:space="0"/>
              <w:bottom w:val="single" w:color="000000" w:sz="4" w:space="0"/>
              <w:right w:val="single" w:color="000000" w:sz="4" w:space="0"/>
            </w:tcBorders>
            <w:shd w:val="clear"/>
            <w:textDirection w:val="tbRlV"/>
            <w:vAlign w:val="center"/>
          </w:tcPr>
          <w:p>
            <w:pPr>
              <w:jc w:val="center"/>
              <w:rPr>
                <w:rFonts w:hint="eastAsia" w:ascii="宋体" w:hAnsi="宋体" w:eastAsia="宋体" w:cs="宋体"/>
                <w:i w:val="0"/>
                <w:iCs w:val="0"/>
                <w:color w:val="000000"/>
                <w:sz w:val="20"/>
                <w:szCs w:val="20"/>
                <w:u w:val="none"/>
              </w:rPr>
            </w:pPr>
          </w:p>
        </w:tc>
        <w:tc>
          <w:tcPr>
            <w:tcW w:w="401"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c>
          <w:tcPr>
            <w:tcW w:w="850"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c>
          <w:tcPr>
            <w:tcW w:w="3247" w:type="dxa"/>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落实单产提升关键技术面积(万亩次)</w:t>
            </w:r>
          </w:p>
        </w:tc>
        <w:tc>
          <w:tcPr>
            <w:tcW w:w="134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8.28</w:t>
            </w:r>
          </w:p>
        </w:tc>
        <w:tc>
          <w:tcPr>
            <w:tcW w:w="137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15.2545</w:t>
            </w:r>
          </w:p>
        </w:tc>
        <w:tc>
          <w:tcPr>
            <w:tcW w:w="1800"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59" w:hRule="atLeast"/>
        </w:trPr>
        <w:tc>
          <w:tcPr>
            <w:tcW w:w="401" w:type="dxa"/>
            <w:vMerge w:val="continue"/>
            <w:tcBorders>
              <w:top w:val="single" w:color="000000" w:sz="4" w:space="0"/>
              <w:left w:val="single" w:color="000000" w:sz="4" w:space="0"/>
              <w:bottom w:val="single" w:color="000000" w:sz="4" w:space="0"/>
              <w:right w:val="single" w:color="000000" w:sz="4" w:space="0"/>
            </w:tcBorders>
            <w:shd w:val="clear"/>
            <w:textDirection w:val="tbRlV"/>
            <w:vAlign w:val="center"/>
          </w:tcPr>
          <w:p>
            <w:pPr>
              <w:jc w:val="center"/>
              <w:rPr>
                <w:rFonts w:hint="eastAsia" w:ascii="宋体" w:hAnsi="宋体" w:eastAsia="宋体" w:cs="宋体"/>
                <w:i w:val="0"/>
                <w:iCs w:val="0"/>
                <w:color w:val="000000"/>
                <w:sz w:val="20"/>
                <w:szCs w:val="20"/>
                <w:u w:val="none"/>
              </w:rPr>
            </w:pPr>
          </w:p>
        </w:tc>
        <w:tc>
          <w:tcPr>
            <w:tcW w:w="401"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c>
          <w:tcPr>
            <w:tcW w:w="850"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c>
          <w:tcPr>
            <w:tcW w:w="3247" w:type="dxa"/>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高素质农民培育数量(人)</w:t>
            </w:r>
          </w:p>
        </w:tc>
        <w:tc>
          <w:tcPr>
            <w:tcW w:w="134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600</w:t>
            </w:r>
          </w:p>
        </w:tc>
        <w:tc>
          <w:tcPr>
            <w:tcW w:w="137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600</w:t>
            </w:r>
          </w:p>
        </w:tc>
        <w:tc>
          <w:tcPr>
            <w:tcW w:w="1800"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59" w:hRule="atLeast"/>
        </w:trPr>
        <w:tc>
          <w:tcPr>
            <w:tcW w:w="401" w:type="dxa"/>
            <w:vMerge w:val="continue"/>
            <w:tcBorders>
              <w:top w:val="single" w:color="000000" w:sz="4" w:space="0"/>
              <w:left w:val="single" w:color="000000" w:sz="4" w:space="0"/>
              <w:bottom w:val="single" w:color="000000" w:sz="4" w:space="0"/>
              <w:right w:val="single" w:color="000000" w:sz="4" w:space="0"/>
            </w:tcBorders>
            <w:shd w:val="clear"/>
            <w:textDirection w:val="tbRlV"/>
            <w:vAlign w:val="center"/>
          </w:tcPr>
          <w:p>
            <w:pPr>
              <w:jc w:val="center"/>
              <w:rPr>
                <w:rFonts w:hint="eastAsia" w:ascii="宋体" w:hAnsi="宋体" w:eastAsia="宋体" w:cs="宋体"/>
                <w:i w:val="0"/>
                <w:iCs w:val="0"/>
                <w:color w:val="000000"/>
                <w:sz w:val="20"/>
                <w:szCs w:val="20"/>
                <w:u w:val="none"/>
              </w:rPr>
            </w:pPr>
          </w:p>
        </w:tc>
        <w:tc>
          <w:tcPr>
            <w:tcW w:w="401"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c>
          <w:tcPr>
            <w:tcW w:w="850"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c>
          <w:tcPr>
            <w:tcW w:w="3247" w:type="dxa"/>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基层农技人员培训数量(人)</w:t>
            </w:r>
          </w:p>
        </w:tc>
        <w:tc>
          <w:tcPr>
            <w:tcW w:w="134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69</w:t>
            </w:r>
          </w:p>
        </w:tc>
        <w:tc>
          <w:tcPr>
            <w:tcW w:w="137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147</w:t>
            </w:r>
          </w:p>
        </w:tc>
        <w:tc>
          <w:tcPr>
            <w:tcW w:w="1800"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59" w:hRule="atLeast"/>
        </w:trPr>
        <w:tc>
          <w:tcPr>
            <w:tcW w:w="401" w:type="dxa"/>
            <w:vMerge w:val="continue"/>
            <w:tcBorders>
              <w:top w:val="single" w:color="000000" w:sz="4" w:space="0"/>
              <w:left w:val="single" w:color="000000" w:sz="4" w:space="0"/>
              <w:bottom w:val="single" w:color="000000" w:sz="4" w:space="0"/>
              <w:right w:val="single" w:color="000000" w:sz="4" w:space="0"/>
            </w:tcBorders>
            <w:shd w:val="clear"/>
            <w:textDirection w:val="tbRlV"/>
            <w:vAlign w:val="center"/>
          </w:tcPr>
          <w:p>
            <w:pPr>
              <w:jc w:val="center"/>
              <w:rPr>
                <w:rFonts w:hint="eastAsia" w:ascii="宋体" w:hAnsi="宋体" w:eastAsia="宋体" w:cs="宋体"/>
                <w:i w:val="0"/>
                <w:iCs w:val="0"/>
                <w:color w:val="000000"/>
                <w:sz w:val="20"/>
                <w:szCs w:val="20"/>
                <w:u w:val="none"/>
              </w:rPr>
            </w:pPr>
          </w:p>
        </w:tc>
        <w:tc>
          <w:tcPr>
            <w:tcW w:w="401"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c>
          <w:tcPr>
            <w:tcW w:w="850"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c>
          <w:tcPr>
            <w:tcW w:w="3247" w:type="dxa"/>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农业科技示范展示基地数量(个)</w:t>
            </w:r>
          </w:p>
        </w:tc>
        <w:tc>
          <w:tcPr>
            <w:tcW w:w="134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3</w:t>
            </w:r>
          </w:p>
        </w:tc>
        <w:tc>
          <w:tcPr>
            <w:tcW w:w="137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4</w:t>
            </w:r>
          </w:p>
        </w:tc>
        <w:tc>
          <w:tcPr>
            <w:tcW w:w="1800"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59" w:hRule="atLeast"/>
        </w:trPr>
        <w:tc>
          <w:tcPr>
            <w:tcW w:w="401" w:type="dxa"/>
            <w:vMerge w:val="continue"/>
            <w:tcBorders>
              <w:top w:val="single" w:color="000000" w:sz="4" w:space="0"/>
              <w:left w:val="single" w:color="000000" w:sz="4" w:space="0"/>
              <w:bottom w:val="single" w:color="000000" w:sz="4" w:space="0"/>
              <w:right w:val="single" w:color="000000" w:sz="4" w:space="0"/>
            </w:tcBorders>
            <w:shd w:val="clear"/>
            <w:textDirection w:val="tbRlV"/>
            <w:vAlign w:val="center"/>
          </w:tcPr>
          <w:p>
            <w:pPr>
              <w:jc w:val="center"/>
              <w:rPr>
                <w:rFonts w:hint="eastAsia" w:ascii="宋体" w:hAnsi="宋体" w:eastAsia="宋体" w:cs="宋体"/>
                <w:i w:val="0"/>
                <w:iCs w:val="0"/>
                <w:color w:val="000000"/>
                <w:sz w:val="20"/>
                <w:szCs w:val="20"/>
                <w:u w:val="none"/>
              </w:rPr>
            </w:pPr>
          </w:p>
        </w:tc>
        <w:tc>
          <w:tcPr>
            <w:tcW w:w="401"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c>
          <w:tcPr>
            <w:tcW w:w="850"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c>
          <w:tcPr>
            <w:tcW w:w="3247" w:type="dxa"/>
            <w:gridSpan w:val="2"/>
            <w:tcBorders>
              <w:top w:val="single" w:color="000000" w:sz="4" w:space="0"/>
              <w:left w:val="single" w:color="000000" w:sz="4" w:space="0"/>
              <w:bottom w:val="single" w:color="000000" w:sz="4" w:space="0"/>
              <w:right w:val="single" w:color="000000" w:sz="4" w:space="0"/>
            </w:tcBorders>
            <w:shd w:val="clear"/>
            <w:vAlign w:val="center"/>
          </w:tcPr>
          <w:p>
            <w:pPr>
              <w:jc w:val="left"/>
              <w:rPr>
                <w:rFonts w:hint="eastAsia" w:ascii="宋体" w:hAnsi="宋体" w:eastAsia="宋体" w:cs="宋体"/>
                <w:i w:val="0"/>
                <w:iCs w:val="0"/>
                <w:color w:val="000000"/>
                <w:sz w:val="20"/>
                <w:szCs w:val="20"/>
                <w:u w:val="none"/>
              </w:rPr>
            </w:pPr>
          </w:p>
        </w:tc>
        <w:tc>
          <w:tcPr>
            <w:tcW w:w="1342"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c>
          <w:tcPr>
            <w:tcW w:w="1376"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c>
          <w:tcPr>
            <w:tcW w:w="1800"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59" w:hRule="atLeast"/>
        </w:trPr>
        <w:tc>
          <w:tcPr>
            <w:tcW w:w="401" w:type="dxa"/>
            <w:vMerge w:val="continue"/>
            <w:tcBorders>
              <w:top w:val="single" w:color="000000" w:sz="4" w:space="0"/>
              <w:left w:val="single" w:color="000000" w:sz="4" w:space="0"/>
              <w:bottom w:val="single" w:color="000000" w:sz="4" w:space="0"/>
              <w:right w:val="single" w:color="000000" w:sz="4" w:space="0"/>
            </w:tcBorders>
            <w:shd w:val="clear"/>
            <w:textDirection w:val="tbRlV"/>
            <w:vAlign w:val="center"/>
          </w:tcPr>
          <w:p>
            <w:pPr>
              <w:jc w:val="center"/>
              <w:rPr>
                <w:rFonts w:hint="eastAsia" w:ascii="宋体" w:hAnsi="宋体" w:eastAsia="宋体" w:cs="宋体"/>
                <w:i w:val="0"/>
                <w:iCs w:val="0"/>
                <w:color w:val="000000"/>
                <w:sz w:val="20"/>
                <w:szCs w:val="20"/>
                <w:u w:val="none"/>
              </w:rPr>
            </w:pPr>
          </w:p>
        </w:tc>
        <w:tc>
          <w:tcPr>
            <w:tcW w:w="401"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c>
          <w:tcPr>
            <w:tcW w:w="850"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质量指标</w:t>
            </w:r>
          </w:p>
        </w:tc>
        <w:tc>
          <w:tcPr>
            <w:tcW w:w="3247" w:type="dxa"/>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农业主推技术到位率(%)</w:t>
            </w:r>
          </w:p>
        </w:tc>
        <w:tc>
          <w:tcPr>
            <w:tcW w:w="134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95以上</w:t>
            </w:r>
          </w:p>
        </w:tc>
        <w:tc>
          <w:tcPr>
            <w:tcW w:w="137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100</w:t>
            </w:r>
          </w:p>
        </w:tc>
        <w:tc>
          <w:tcPr>
            <w:tcW w:w="1800"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59" w:hRule="atLeast"/>
        </w:trPr>
        <w:tc>
          <w:tcPr>
            <w:tcW w:w="401" w:type="dxa"/>
            <w:vMerge w:val="continue"/>
            <w:tcBorders>
              <w:top w:val="single" w:color="000000" w:sz="4" w:space="0"/>
              <w:left w:val="single" w:color="000000" w:sz="4" w:space="0"/>
              <w:bottom w:val="single" w:color="000000" w:sz="4" w:space="0"/>
              <w:right w:val="single" w:color="000000" w:sz="4" w:space="0"/>
            </w:tcBorders>
            <w:shd w:val="clear"/>
            <w:textDirection w:val="tbRlV"/>
            <w:vAlign w:val="center"/>
          </w:tcPr>
          <w:p>
            <w:pPr>
              <w:jc w:val="center"/>
              <w:rPr>
                <w:rFonts w:hint="eastAsia" w:ascii="宋体" w:hAnsi="宋体" w:eastAsia="宋体" w:cs="宋体"/>
                <w:i w:val="0"/>
                <w:iCs w:val="0"/>
                <w:color w:val="000000"/>
                <w:sz w:val="20"/>
                <w:szCs w:val="20"/>
                <w:u w:val="none"/>
              </w:rPr>
            </w:pPr>
          </w:p>
        </w:tc>
        <w:tc>
          <w:tcPr>
            <w:tcW w:w="401"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c>
          <w:tcPr>
            <w:tcW w:w="850"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c>
          <w:tcPr>
            <w:tcW w:w="0" w:type="auto"/>
            <w:gridSpan w:val="2"/>
            <w:tcBorders>
              <w:top w:val="nil"/>
              <w:left w:val="nil"/>
              <w:bottom w:val="nil"/>
              <w:right w:val="nil"/>
            </w:tcBorders>
            <w:shd w:val="clear"/>
            <w:noWrap/>
            <w:vAlign w:val="center"/>
          </w:tcPr>
          <w:p>
            <w:pPr>
              <w:jc w:val="center"/>
              <w:rPr>
                <w:rFonts w:hint="eastAsia" w:ascii="宋体" w:hAnsi="宋体" w:eastAsia="宋体" w:cs="宋体"/>
                <w:i w:val="0"/>
                <w:iCs w:val="0"/>
                <w:color w:val="000000"/>
                <w:sz w:val="20"/>
                <w:szCs w:val="20"/>
                <w:u w:val="none"/>
              </w:rPr>
            </w:pPr>
          </w:p>
        </w:tc>
        <w:tc>
          <w:tcPr>
            <w:tcW w:w="0" w:type="auto"/>
            <w:tcBorders>
              <w:top w:val="nil"/>
              <w:left w:val="nil"/>
              <w:bottom w:val="nil"/>
              <w:right w:val="nil"/>
            </w:tcBorders>
            <w:shd w:val="clear"/>
            <w:noWrap/>
            <w:vAlign w:val="center"/>
          </w:tcPr>
          <w:p>
            <w:pPr>
              <w:rPr>
                <w:rFonts w:hint="eastAsia" w:ascii="宋体" w:hAnsi="宋体" w:eastAsia="宋体" w:cs="宋体"/>
                <w:i w:val="0"/>
                <w:iCs w:val="0"/>
                <w:color w:val="000000"/>
                <w:sz w:val="20"/>
                <w:szCs w:val="20"/>
                <w:u w:val="none"/>
              </w:rPr>
            </w:pPr>
          </w:p>
        </w:tc>
        <w:tc>
          <w:tcPr>
            <w:tcW w:w="0" w:type="auto"/>
            <w:tcBorders>
              <w:top w:val="nil"/>
              <w:left w:val="nil"/>
              <w:bottom w:val="nil"/>
              <w:right w:val="nil"/>
            </w:tcBorders>
            <w:shd w:val="clear"/>
            <w:noWrap/>
            <w:vAlign w:val="center"/>
          </w:tcPr>
          <w:p>
            <w:pPr>
              <w:rPr>
                <w:rFonts w:hint="eastAsia" w:ascii="宋体" w:hAnsi="宋体" w:eastAsia="宋体" w:cs="宋体"/>
                <w:i w:val="0"/>
                <w:iCs w:val="0"/>
                <w:color w:val="000000"/>
                <w:sz w:val="20"/>
                <w:szCs w:val="20"/>
                <w:u w:val="none"/>
              </w:rPr>
            </w:pPr>
          </w:p>
        </w:tc>
        <w:tc>
          <w:tcPr>
            <w:tcW w:w="1800"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59" w:hRule="atLeast"/>
        </w:trPr>
        <w:tc>
          <w:tcPr>
            <w:tcW w:w="401" w:type="dxa"/>
            <w:vMerge w:val="continue"/>
            <w:tcBorders>
              <w:top w:val="single" w:color="000000" w:sz="4" w:space="0"/>
              <w:left w:val="single" w:color="000000" w:sz="4" w:space="0"/>
              <w:bottom w:val="single" w:color="000000" w:sz="4" w:space="0"/>
              <w:right w:val="single" w:color="000000" w:sz="4" w:space="0"/>
            </w:tcBorders>
            <w:shd w:val="clear"/>
            <w:textDirection w:val="tbRlV"/>
            <w:vAlign w:val="center"/>
          </w:tcPr>
          <w:p>
            <w:pPr>
              <w:jc w:val="center"/>
              <w:rPr>
                <w:rFonts w:hint="eastAsia" w:ascii="宋体" w:hAnsi="宋体" w:eastAsia="宋体" w:cs="宋体"/>
                <w:i w:val="0"/>
                <w:iCs w:val="0"/>
                <w:color w:val="000000"/>
                <w:sz w:val="20"/>
                <w:szCs w:val="20"/>
                <w:u w:val="none"/>
              </w:rPr>
            </w:pPr>
          </w:p>
        </w:tc>
        <w:tc>
          <w:tcPr>
            <w:tcW w:w="401"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c>
          <w:tcPr>
            <w:tcW w:w="850"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c>
          <w:tcPr>
            <w:tcW w:w="3247" w:type="dxa"/>
            <w:gridSpan w:val="2"/>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c>
          <w:tcPr>
            <w:tcW w:w="1342"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c>
          <w:tcPr>
            <w:tcW w:w="1376" w:type="dxa"/>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iCs w:val="0"/>
                <w:color w:val="000000"/>
                <w:sz w:val="20"/>
                <w:szCs w:val="20"/>
                <w:u w:val="none"/>
              </w:rPr>
            </w:pPr>
          </w:p>
        </w:tc>
        <w:tc>
          <w:tcPr>
            <w:tcW w:w="1800"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500" w:hRule="atLeast"/>
        </w:trPr>
        <w:tc>
          <w:tcPr>
            <w:tcW w:w="401" w:type="dxa"/>
            <w:vMerge w:val="continue"/>
            <w:tcBorders>
              <w:top w:val="single" w:color="000000" w:sz="4" w:space="0"/>
              <w:left w:val="single" w:color="000000" w:sz="4" w:space="0"/>
              <w:bottom w:val="single" w:color="000000" w:sz="4" w:space="0"/>
              <w:right w:val="single" w:color="000000" w:sz="4" w:space="0"/>
            </w:tcBorders>
            <w:shd w:val="clear"/>
            <w:textDirection w:val="tbRlV"/>
            <w:vAlign w:val="center"/>
          </w:tcPr>
          <w:p>
            <w:pPr>
              <w:jc w:val="center"/>
              <w:rPr>
                <w:rFonts w:hint="eastAsia" w:ascii="宋体" w:hAnsi="宋体" w:eastAsia="宋体" w:cs="宋体"/>
                <w:i w:val="0"/>
                <w:iCs w:val="0"/>
                <w:color w:val="000000"/>
                <w:sz w:val="20"/>
                <w:szCs w:val="20"/>
                <w:u w:val="none"/>
              </w:rPr>
            </w:pPr>
          </w:p>
        </w:tc>
        <w:tc>
          <w:tcPr>
            <w:tcW w:w="401"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c>
          <w:tcPr>
            <w:tcW w:w="850"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时效指标</w:t>
            </w:r>
          </w:p>
        </w:tc>
        <w:tc>
          <w:tcPr>
            <w:tcW w:w="3247" w:type="dxa"/>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项目完成及时性</w:t>
            </w:r>
          </w:p>
        </w:tc>
        <w:tc>
          <w:tcPr>
            <w:tcW w:w="134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一年</w:t>
            </w:r>
          </w:p>
        </w:tc>
        <w:tc>
          <w:tcPr>
            <w:tcW w:w="137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项目正在有序推进中，加快拨付进度</w:t>
            </w:r>
          </w:p>
        </w:tc>
        <w:tc>
          <w:tcPr>
            <w:tcW w:w="180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项目正在有序推进中，加快拨付进度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59" w:hRule="atLeast"/>
        </w:trPr>
        <w:tc>
          <w:tcPr>
            <w:tcW w:w="401" w:type="dxa"/>
            <w:vMerge w:val="continue"/>
            <w:tcBorders>
              <w:top w:val="single" w:color="000000" w:sz="4" w:space="0"/>
              <w:left w:val="single" w:color="000000" w:sz="4" w:space="0"/>
              <w:bottom w:val="single" w:color="000000" w:sz="4" w:space="0"/>
              <w:right w:val="single" w:color="000000" w:sz="4" w:space="0"/>
            </w:tcBorders>
            <w:shd w:val="clear"/>
            <w:textDirection w:val="tbRlV"/>
            <w:vAlign w:val="center"/>
          </w:tcPr>
          <w:p>
            <w:pPr>
              <w:jc w:val="center"/>
              <w:rPr>
                <w:rFonts w:hint="eastAsia" w:ascii="宋体" w:hAnsi="宋体" w:eastAsia="宋体" w:cs="宋体"/>
                <w:i w:val="0"/>
                <w:iCs w:val="0"/>
                <w:color w:val="000000"/>
                <w:sz w:val="20"/>
                <w:szCs w:val="20"/>
                <w:u w:val="none"/>
              </w:rPr>
            </w:pPr>
          </w:p>
        </w:tc>
        <w:tc>
          <w:tcPr>
            <w:tcW w:w="401"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c>
          <w:tcPr>
            <w:tcW w:w="850"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c>
          <w:tcPr>
            <w:tcW w:w="3247" w:type="dxa"/>
            <w:gridSpan w:val="2"/>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c>
          <w:tcPr>
            <w:tcW w:w="1342"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c>
          <w:tcPr>
            <w:tcW w:w="1376" w:type="dxa"/>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iCs w:val="0"/>
                <w:color w:val="000000"/>
                <w:sz w:val="20"/>
                <w:szCs w:val="20"/>
                <w:u w:val="none"/>
              </w:rPr>
            </w:pPr>
          </w:p>
        </w:tc>
        <w:tc>
          <w:tcPr>
            <w:tcW w:w="1800"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59" w:hRule="atLeast"/>
        </w:trPr>
        <w:tc>
          <w:tcPr>
            <w:tcW w:w="401" w:type="dxa"/>
            <w:vMerge w:val="continue"/>
            <w:tcBorders>
              <w:top w:val="single" w:color="000000" w:sz="4" w:space="0"/>
              <w:left w:val="single" w:color="000000" w:sz="4" w:space="0"/>
              <w:bottom w:val="single" w:color="000000" w:sz="4" w:space="0"/>
              <w:right w:val="single" w:color="000000" w:sz="4" w:space="0"/>
            </w:tcBorders>
            <w:shd w:val="clear"/>
            <w:textDirection w:val="tbRlV"/>
            <w:vAlign w:val="center"/>
          </w:tcPr>
          <w:p>
            <w:pPr>
              <w:jc w:val="center"/>
              <w:rPr>
                <w:rFonts w:hint="eastAsia" w:ascii="宋体" w:hAnsi="宋体" w:eastAsia="宋体" w:cs="宋体"/>
                <w:i w:val="0"/>
                <w:iCs w:val="0"/>
                <w:color w:val="000000"/>
                <w:sz w:val="20"/>
                <w:szCs w:val="20"/>
                <w:u w:val="none"/>
              </w:rPr>
            </w:pPr>
          </w:p>
        </w:tc>
        <w:tc>
          <w:tcPr>
            <w:tcW w:w="401"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c>
          <w:tcPr>
            <w:tcW w:w="850"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c>
          <w:tcPr>
            <w:tcW w:w="3247" w:type="dxa"/>
            <w:gridSpan w:val="2"/>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c>
          <w:tcPr>
            <w:tcW w:w="1342"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c>
          <w:tcPr>
            <w:tcW w:w="1376" w:type="dxa"/>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iCs w:val="0"/>
                <w:color w:val="000000"/>
                <w:sz w:val="20"/>
                <w:szCs w:val="20"/>
                <w:u w:val="none"/>
              </w:rPr>
            </w:pPr>
          </w:p>
        </w:tc>
        <w:tc>
          <w:tcPr>
            <w:tcW w:w="1800"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540" w:hRule="atLeast"/>
        </w:trPr>
        <w:tc>
          <w:tcPr>
            <w:tcW w:w="401" w:type="dxa"/>
            <w:vMerge w:val="continue"/>
            <w:tcBorders>
              <w:top w:val="single" w:color="000000" w:sz="4" w:space="0"/>
              <w:left w:val="single" w:color="000000" w:sz="4" w:space="0"/>
              <w:bottom w:val="single" w:color="000000" w:sz="4" w:space="0"/>
              <w:right w:val="single" w:color="000000" w:sz="4" w:space="0"/>
            </w:tcBorders>
            <w:shd w:val="clear"/>
            <w:textDirection w:val="tbRlV"/>
            <w:vAlign w:val="center"/>
          </w:tcPr>
          <w:p>
            <w:pPr>
              <w:jc w:val="center"/>
              <w:rPr>
                <w:rFonts w:hint="eastAsia" w:ascii="宋体" w:hAnsi="宋体" w:eastAsia="宋体" w:cs="宋体"/>
                <w:i w:val="0"/>
                <w:iCs w:val="0"/>
                <w:color w:val="000000"/>
                <w:sz w:val="20"/>
                <w:szCs w:val="20"/>
                <w:u w:val="none"/>
              </w:rPr>
            </w:pPr>
          </w:p>
        </w:tc>
        <w:tc>
          <w:tcPr>
            <w:tcW w:w="401"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c>
          <w:tcPr>
            <w:tcW w:w="850"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成本指标</w:t>
            </w:r>
          </w:p>
        </w:tc>
        <w:tc>
          <w:tcPr>
            <w:tcW w:w="3247" w:type="dxa"/>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项目总成本（万元）</w:t>
            </w:r>
          </w:p>
        </w:tc>
        <w:tc>
          <w:tcPr>
            <w:tcW w:w="134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925</w:t>
            </w:r>
          </w:p>
        </w:tc>
        <w:tc>
          <w:tcPr>
            <w:tcW w:w="137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745.11</w:t>
            </w:r>
          </w:p>
        </w:tc>
        <w:tc>
          <w:tcPr>
            <w:tcW w:w="180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项目正在有序推进中，加快资金拨付进度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59" w:hRule="atLeast"/>
        </w:trPr>
        <w:tc>
          <w:tcPr>
            <w:tcW w:w="401" w:type="dxa"/>
            <w:vMerge w:val="continue"/>
            <w:tcBorders>
              <w:top w:val="single" w:color="000000" w:sz="4" w:space="0"/>
              <w:left w:val="single" w:color="000000" w:sz="4" w:space="0"/>
              <w:bottom w:val="single" w:color="000000" w:sz="4" w:space="0"/>
              <w:right w:val="single" w:color="000000" w:sz="4" w:space="0"/>
            </w:tcBorders>
            <w:shd w:val="clear"/>
            <w:textDirection w:val="tbRlV"/>
            <w:vAlign w:val="center"/>
          </w:tcPr>
          <w:p>
            <w:pPr>
              <w:jc w:val="center"/>
              <w:rPr>
                <w:rFonts w:hint="eastAsia" w:ascii="宋体" w:hAnsi="宋体" w:eastAsia="宋体" w:cs="宋体"/>
                <w:i w:val="0"/>
                <w:iCs w:val="0"/>
                <w:color w:val="000000"/>
                <w:sz w:val="20"/>
                <w:szCs w:val="20"/>
                <w:u w:val="none"/>
              </w:rPr>
            </w:pPr>
          </w:p>
        </w:tc>
        <w:tc>
          <w:tcPr>
            <w:tcW w:w="401"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c>
          <w:tcPr>
            <w:tcW w:w="850"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c>
          <w:tcPr>
            <w:tcW w:w="3247" w:type="dxa"/>
            <w:gridSpan w:val="2"/>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c>
          <w:tcPr>
            <w:tcW w:w="1342"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c>
          <w:tcPr>
            <w:tcW w:w="1376" w:type="dxa"/>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iCs w:val="0"/>
                <w:color w:val="000000"/>
                <w:sz w:val="20"/>
                <w:szCs w:val="20"/>
                <w:u w:val="none"/>
              </w:rPr>
            </w:pPr>
          </w:p>
        </w:tc>
        <w:tc>
          <w:tcPr>
            <w:tcW w:w="1800"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59" w:hRule="atLeast"/>
        </w:trPr>
        <w:tc>
          <w:tcPr>
            <w:tcW w:w="401" w:type="dxa"/>
            <w:vMerge w:val="continue"/>
            <w:tcBorders>
              <w:top w:val="single" w:color="000000" w:sz="4" w:space="0"/>
              <w:left w:val="single" w:color="000000" w:sz="4" w:space="0"/>
              <w:bottom w:val="single" w:color="000000" w:sz="4" w:space="0"/>
              <w:right w:val="single" w:color="000000" w:sz="4" w:space="0"/>
            </w:tcBorders>
            <w:shd w:val="clear"/>
            <w:textDirection w:val="tbRlV"/>
            <w:vAlign w:val="center"/>
          </w:tcPr>
          <w:p>
            <w:pPr>
              <w:jc w:val="center"/>
              <w:rPr>
                <w:rFonts w:hint="eastAsia" w:ascii="宋体" w:hAnsi="宋体" w:eastAsia="宋体" w:cs="宋体"/>
                <w:i w:val="0"/>
                <w:iCs w:val="0"/>
                <w:color w:val="000000"/>
                <w:sz w:val="20"/>
                <w:szCs w:val="20"/>
                <w:u w:val="none"/>
              </w:rPr>
            </w:pPr>
          </w:p>
        </w:tc>
        <w:tc>
          <w:tcPr>
            <w:tcW w:w="401"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c>
          <w:tcPr>
            <w:tcW w:w="850"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c>
          <w:tcPr>
            <w:tcW w:w="3247" w:type="dxa"/>
            <w:gridSpan w:val="2"/>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c>
          <w:tcPr>
            <w:tcW w:w="1342"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c>
          <w:tcPr>
            <w:tcW w:w="1376" w:type="dxa"/>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iCs w:val="0"/>
                <w:color w:val="000000"/>
                <w:sz w:val="20"/>
                <w:szCs w:val="20"/>
                <w:u w:val="none"/>
              </w:rPr>
            </w:pPr>
          </w:p>
        </w:tc>
        <w:tc>
          <w:tcPr>
            <w:tcW w:w="1800"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820" w:hRule="atLeast"/>
        </w:trPr>
        <w:tc>
          <w:tcPr>
            <w:tcW w:w="401" w:type="dxa"/>
            <w:vMerge w:val="continue"/>
            <w:tcBorders>
              <w:top w:val="single" w:color="000000" w:sz="4" w:space="0"/>
              <w:left w:val="single" w:color="000000" w:sz="4" w:space="0"/>
              <w:bottom w:val="single" w:color="000000" w:sz="4" w:space="0"/>
              <w:right w:val="single" w:color="000000" w:sz="4" w:space="0"/>
            </w:tcBorders>
            <w:shd w:val="clear"/>
            <w:textDirection w:val="tbRlV"/>
            <w:vAlign w:val="center"/>
          </w:tcPr>
          <w:p>
            <w:pPr>
              <w:jc w:val="center"/>
              <w:rPr>
                <w:rFonts w:hint="eastAsia" w:ascii="宋体" w:hAnsi="宋体" w:eastAsia="宋体" w:cs="宋体"/>
                <w:i w:val="0"/>
                <w:iCs w:val="0"/>
                <w:color w:val="000000"/>
                <w:sz w:val="20"/>
                <w:szCs w:val="20"/>
                <w:u w:val="none"/>
              </w:rPr>
            </w:pPr>
          </w:p>
        </w:tc>
        <w:tc>
          <w:tcPr>
            <w:tcW w:w="401"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效</w:t>
            </w:r>
            <w:r>
              <w:rPr>
                <w:rFonts w:hint="eastAsia" w:ascii="宋体" w:hAnsi="宋体" w:eastAsia="宋体" w:cs="宋体"/>
                <w:i w:val="0"/>
                <w:iCs w:val="0"/>
                <w:color w:val="000000"/>
                <w:kern w:val="0"/>
                <w:sz w:val="20"/>
                <w:szCs w:val="20"/>
                <w:u w:val="none"/>
                <w:bdr w:val="none" w:color="auto" w:sz="0" w:space="0"/>
                <w:lang w:val="en-US" w:eastAsia="zh-CN" w:bidi="ar"/>
              </w:rPr>
              <w:br w:type="textWrapping"/>
            </w:r>
            <w:r>
              <w:rPr>
                <w:rFonts w:hint="eastAsia" w:ascii="宋体" w:hAnsi="宋体" w:eastAsia="宋体" w:cs="宋体"/>
                <w:i w:val="0"/>
                <w:iCs w:val="0"/>
                <w:color w:val="000000"/>
                <w:kern w:val="0"/>
                <w:sz w:val="20"/>
                <w:szCs w:val="20"/>
                <w:u w:val="none"/>
                <w:bdr w:val="none" w:color="auto" w:sz="0" w:space="0"/>
                <w:lang w:val="en-US" w:eastAsia="zh-CN" w:bidi="ar"/>
              </w:rPr>
              <w:t>益</w:t>
            </w:r>
            <w:r>
              <w:rPr>
                <w:rFonts w:hint="eastAsia" w:ascii="宋体" w:hAnsi="宋体" w:eastAsia="宋体" w:cs="宋体"/>
                <w:i w:val="0"/>
                <w:iCs w:val="0"/>
                <w:color w:val="000000"/>
                <w:kern w:val="0"/>
                <w:sz w:val="20"/>
                <w:szCs w:val="20"/>
                <w:u w:val="none"/>
                <w:bdr w:val="none" w:color="auto" w:sz="0" w:space="0"/>
                <w:lang w:val="en-US" w:eastAsia="zh-CN" w:bidi="ar"/>
              </w:rPr>
              <w:br w:type="textWrapping"/>
            </w:r>
            <w:r>
              <w:rPr>
                <w:rFonts w:hint="eastAsia" w:ascii="宋体" w:hAnsi="宋体" w:eastAsia="宋体" w:cs="宋体"/>
                <w:i w:val="0"/>
                <w:iCs w:val="0"/>
                <w:color w:val="000000"/>
                <w:kern w:val="0"/>
                <w:sz w:val="20"/>
                <w:szCs w:val="20"/>
                <w:u w:val="none"/>
                <w:bdr w:val="none" w:color="auto" w:sz="0" w:space="0"/>
                <w:lang w:val="en-US" w:eastAsia="zh-CN" w:bidi="ar"/>
              </w:rPr>
              <w:t>指</w:t>
            </w:r>
            <w:r>
              <w:rPr>
                <w:rFonts w:hint="eastAsia" w:ascii="宋体" w:hAnsi="宋体" w:eastAsia="宋体" w:cs="宋体"/>
                <w:i w:val="0"/>
                <w:iCs w:val="0"/>
                <w:color w:val="000000"/>
                <w:kern w:val="0"/>
                <w:sz w:val="20"/>
                <w:szCs w:val="20"/>
                <w:u w:val="none"/>
                <w:bdr w:val="none" w:color="auto" w:sz="0" w:space="0"/>
                <w:lang w:val="en-US" w:eastAsia="zh-CN" w:bidi="ar"/>
              </w:rPr>
              <w:br w:type="textWrapping"/>
            </w:r>
            <w:r>
              <w:rPr>
                <w:rFonts w:hint="eastAsia" w:ascii="宋体" w:hAnsi="宋体" w:eastAsia="宋体" w:cs="宋体"/>
                <w:i w:val="0"/>
                <w:iCs w:val="0"/>
                <w:color w:val="000000"/>
                <w:kern w:val="0"/>
                <w:sz w:val="20"/>
                <w:szCs w:val="20"/>
                <w:u w:val="none"/>
                <w:bdr w:val="none" w:color="auto" w:sz="0" w:space="0"/>
                <w:lang w:val="en-US" w:eastAsia="zh-CN" w:bidi="ar"/>
              </w:rPr>
              <w:t>标</w:t>
            </w:r>
          </w:p>
        </w:tc>
        <w:tc>
          <w:tcPr>
            <w:tcW w:w="850"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经济效益</w:t>
            </w:r>
            <w:r>
              <w:rPr>
                <w:rFonts w:hint="eastAsia" w:ascii="宋体" w:hAnsi="宋体" w:eastAsia="宋体" w:cs="宋体"/>
                <w:i w:val="0"/>
                <w:iCs w:val="0"/>
                <w:color w:val="000000"/>
                <w:kern w:val="0"/>
                <w:sz w:val="20"/>
                <w:szCs w:val="20"/>
                <w:u w:val="none"/>
                <w:bdr w:val="none" w:color="auto" w:sz="0" w:space="0"/>
                <w:lang w:val="en-US" w:eastAsia="zh-CN" w:bidi="ar"/>
              </w:rPr>
              <w:br w:type="textWrapping"/>
            </w:r>
            <w:r>
              <w:rPr>
                <w:rFonts w:hint="eastAsia" w:ascii="宋体" w:hAnsi="宋体" w:eastAsia="宋体" w:cs="宋体"/>
                <w:i w:val="0"/>
                <w:iCs w:val="0"/>
                <w:color w:val="000000"/>
                <w:kern w:val="0"/>
                <w:sz w:val="20"/>
                <w:szCs w:val="20"/>
                <w:u w:val="none"/>
                <w:bdr w:val="none" w:color="auto" w:sz="0" w:space="0"/>
                <w:lang w:val="en-US" w:eastAsia="zh-CN" w:bidi="ar"/>
              </w:rPr>
              <w:t>指标</w:t>
            </w:r>
          </w:p>
        </w:tc>
        <w:tc>
          <w:tcPr>
            <w:tcW w:w="3247" w:type="dxa"/>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保护农产品产业健康发展</w:t>
            </w:r>
          </w:p>
        </w:tc>
        <w:tc>
          <w:tcPr>
            <w:tcW w:w="134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保证农产品质量安全促进产业健康发展</w:t>
            </w:r>
          </w:p>
        </w:tc>
        <w:tc>
          <w:tcPr>
            <w:tcW w:w="137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保证农产品质量安全促进产业健康发展</w:t>
            </w:r>
          </w:p>
        </w:tc>
        <w:tc>
          <w:tcPr>
            <w:tcW w:w="1800"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59" w:hRule="atLeast"/>
        </w:trPr>
        <w:tc>
          <w:tcPr>
            <w:tcW w:w="401" w:type="dxa"/>
            <w:vMerge w:val="continue"/>
            <w:tcBorders>
              <w:top w:val="single" w:color="000000" w:sz="4" w:space="0"/>
              <w:left w:val="single" w:color="000000" w:sz="4" w:space="0"/>
              <w:bottom w:val="single" w:color="000000" w:sz="4" w:space="0"/>
              <w:right w:val="single" w:color="000000" w:sz="4" w:space="0"/>
            </w:tcBorders>
            <w:shd w:val="clear"/>
            <w:textDirection w:val="tbRlV"/>
            <w:vAlign w:val="center"/>
          </w:tcPr>
          <w:p>
            <w:pPr>
              <w:jc w:val="center"/>
              <w:rPr>
                <w:rFonts w:hint="eastAsia" w:ascii="宋体" w:hAnsi="宋体" w:eastAsia="宋体" w:cs="宋体"/>
                <w:i w:val="0"/>
                <w:iCs w:val="0"/>
                <w:color w:val="000000"/>
                <w:sz w:val="20"/>
                <w:szCs w:val="20"/>
                <w:u w:val="none"/>
              </w:rPr>
            </w:pPr>
          </w:p>
        </w:tc>
        <w:tc>
          <w:tcPr>
            <w:tcW w:w="401"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c>
          <w:tcPr>
            <w:tcW w:w="850"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c>
          <w:tcPr>
            <w:tcW w:w="3247" w:type="dxa"/>
            <w:gridSpan w:val="2"/>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c>
          <w:tcPr>
            <w:tcW w:w="1342"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c>
          <w:tcPr>
            <w:tcW w:w="1376"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c>
          <w:tcPr>
            <w:tcW w:w="1800"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59" w:hRule="atLeast"/>
        </w:trPr>
        <w:tc>
          <w:tcPr>
            <w:tcW w:w="401" w:type="dxa"/>
            <w:vMerge w:val="continue"/>
            <w:tcBorders>
              <w:top w:val="single" w:color="000000" w:sz="4" w:space="0"/>
              <w:left w:val="single" w:color="000000" w:sz="4" w:space="0"/>
              <w:bottom w:val="single" w:color="000000" w:sz="4" w:space="0"/>
              <w:right w:val="single" w:color="000000" w:sz="4" w:space="0"/>
            </w:tcBorders>
            <w:shd w:val="clear"/>
            <w:textDirection w:val="tbRlV"/>
            <w:vAlign w:val="center"/>
          </w:tcPr>
          <w:p>
            <w:pPr>
              <w:jc w:val="center"/>
              <w:rPr>
                <w:rFonts w:hint="eastAsia" w:ascii="宋体" w:hAnsi="宋体" w:eastAsia="宋体" w:cs="宋体"/>
                <w:i w:val="0"/>
                <w:iCs w:val="0"/>
                <w:color w:val="000000"/>
                <w:sz w:val="20"/>
                <w:szCs w:val="20"/>
                <w:u w:val="none"/>
              </w:rPr>
            </w:pPr>
          </w:p>
        </w:tc>
        <w:tc>
          <w:tcPr>
            <w:tcW w:w="401"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c>
          <w:tcPr>
            <w:tcW w:w="850"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c>
          <w:tcPr>
            <w:tcW w:w="3247" w:type="dxa"/>
            <w:gridSpan w:val="2"/>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c>
          <w:tcPr>
            <w:tcW w:w="1342"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c>
          <w:tcPr>
            <w:tcW w:w="1376" w:type="dxa"/>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iCs w:val="0"/>
                <w:color w:val="000000"/>
                <w:sz w:val="20"/>
                <w:szCs w:val="20"/>
                <w:u w:val="none"/>
              </w:rPr>
            </w:pPr>
          </w:p>
        </w:tc>
        <w:tc>
          <w:tcPr>
            <w:tcW w:w="1800"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59" w:hRule="atLeast"/>
        </w:trPr>
        <w:tc>
          <w:tcPr>
            <w:tcW w:w="401" w:type="dxa"/>
            <w:vMerge w:val="continue"/>
            <w:tcBorders>
              <w:top w:val="single" w:color="000000" w:sz="4" w:space="0"/>
              <w:left w:val="single" w:color="000000" w:sz="4" w:space="0"/>
              <w:bottom w:val="single" w:color="000000" w:sz="4" w:space="0"/>
              <w:right w:val="single" w:color="000000" w:sz="4" w:space="0"/>
            </w:tcBorders>
            <w:shd w:val="clear"/>
            <w:textDirection w:val="tbRlV"/>
            <w:vAlign w:val="center"/>
          </w:tcPr>
          <w:p>
            <w:pPr>
              <w:jc w:val="center"/>
              <w:rPr>
                <w:rFonts w:hint="eastAsia" w:ascii="宋体" w:hAnsi="宋体" w:eastAsia="宋体" w:cs="宋体"/>
                <w:i w:val="0"/>
                <w:iCs w:val="0"/>
                <w:color w:val="000000"/>
                <w:sz w:val="20"/>
                <w:szCs w:val="20"/>
                <w:u w:val="none"/>
              </w:rPr>
            </w:pPr>
          </w:p>
        </w:tc>
        <w:tc>
          <w:tcPr>
            <w:tcW w:w="401"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c>
          <w:tcPr>
            <w:tcW w:w="850"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社会效益</w:t>
            </w:r>
            <w:r>
              <w:rPr>
                <w:rFonts w:hint="eastAsia" w:ascii="宋体" w:hAnsi="宋体" w:eastAsia="宋体" w:cs="宋体"/>
                <w:i w:val="0"/>
                <w:iCs w:val="0"/>
                <w:color w:val="000000"/>
                <w:kern w:val="0"/>
                <w:sz w:val="20"/>
                <w:szCs w:val="20"/>
                <w:u w:val="none"/>
                <w:bdr w:val="none" w:color="auto" w:sz="0" w:space="0"/>
                <w:lang w:val="en-US" w:eastAsia="zh-CN" w:bidi="ar"/>
              </w:rPr>
              <w:br w:type="textWrapping"/>
            </w:r>
            <w:r>
              <w:rPr>
                <w:rFonts w:hint="eastAsia" w:ascii="宋体" w:hAnsi="宋体" w:eastAsia="宋体" w:cs="宋体"/>
                <w:i w:val="0"/>
                <w:iCs w:val="0"/>
                <w:color w:val="000000"/>
                <w:kern w:val="0"/>
                <w:sz w:val="20"/>
                <w:szCs w:val="20"/>
                <w:u w:val="none"/>
                <w:bdr w:val="none" w:color="auto" w:sz="0" w:space="0"/>
                <w:lang w:val="en-US" w:eastAsia="zh-CN" w:bidi="ar"/>
              </w:rPr>
              <w:t>指标</w:t>
            </w:r>
          </w:p>
        </w:tc>
        <w:tc>
          <w:tcPr>
            <w:tcW w:w="3247" w:type="dxa"/>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规模主体单产提升项目县作物单产水平</w:t>
            </w:r>
          </w:p>
        </w:tc>
        <w:tc>
          <w:tcPr>
            <w:tcW w:w="134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提升</w:t>
            </w:r>
          </w:p>
        </w:tc>
        <w:tc>
          <w:tcPr>
            <w:tcW w:w="137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稳步提升</w:t>
            </w:r>
          </w:p>
        </w:tc>
        <w:tc>
          <w:tcPr>
            <w:tcW w:w="1800"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59" w:hRule="atLeast"/>
        </w:trPr>
        <w:tc>
          <w:tcPr>
            <w:tcW w:w="401" w:type="dxa"/>
            <w:vMerge w:val="continue"/>
            <w:tcBorders>
              <w:top w:val="single" w:color="000000" w:sz="4" w:space="0"/>
              <w:left w:val="single" w:color="000000" w:sz="4" w:space="0"/>
              <w:bottom w:val="single" w:color="000000" w:sz="4" w:space="0"/>
              <w:right w:val="single" w:color="000000" w:sz="4" w:space="0"/>
            </w:tcBorders>
            <w:shd w:val="clear"/>
            <w:textDirection w:val="tbRlV"/>
            <w:vAlign w:val="center"/>
          </w:tcPr>
          <w:p>
            <w:pPr>
              <w:jc w:val="center"/>
              <w:rPr>
                <w:rFonts w:hint="eastAsia" w:ascii="宋体" w:hAnsi="宋体" w:eastAsia="宋体" w:cs="宋体"/>
                <w:i w:val="0"/>
                <w:iCs w:val="0"/>
                <w:color w:val="000000"/>
                <w:sz w:val="20"/>
                <w:szCs w:val="20"/>
                <w:u w:val="none"/>
              </w:rPr>
            </w:pPr>
          </w:p>
        </w:tc>
        <w:tc>
          <w:tcPr>
            <w:tcW w:w="401"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c>
          <w:tcPr>
            <w:tcW w:w="850"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c>
          <w:tcPr>
            <w:tcW w:w="3247" w:type="dxa"/>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资金使用重大违规违纪问题</w:t>
            </w:r>
          </w:p>
        </w:tc>
        <w:tc>
          <w:tcPr>
            <w:tcW w:w="134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无</w:t>
            </w:r>
          </w:p>
        </w:tc>
        <w:tc>
          <w:tcPr>
            <w:tcW w:w="137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无</w:t>
            </w:r>
          </w:p>
        </w:tc>
        <w:tc>
          <w:tcPr>
            <w:tcW w:w="1800"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59" w:hRule="atLeast"/>
        </w:trPr>
        <w:tc>
          <w:tcPr>
            <w:tcW w:w="401" w:type="dxa"/>
            <w:vMerge w:val="continue"/>
            <w:tcBorders>
              <w:top w:val="single" w:color="000000" w:sz="4" w:space="0"/>
              <w:left w:val="single" w:color="000000" w:sz="4" w:space="0"/>
              <w:bottom w:val="single" w:color="000000" w:sz="4" w:space="0"/>
              <w:right w:val="single" w:color="000000" w:sz="4" w:space="0"/>
            </w:tcBorders>
            <w:shd w:val="clear"/>
            <w:textDirection w:val="tbRlV"/>
            <w:vAlign w:val="center"/>
          </w:tcPr>
          <w:p>
            <w:pPr>
              <w:jc w:val="center"/>
              <w:rPr>
                <w:rFonts w:hint="eastAsia" w:ascii="宋体" w:hAnsi="宋体" w:eastAsia="宋体" w:cs="宋体"/>
                <w:i w:val="0"/>
                <w:iCs w:val="0"/>
                <w:color w:val="000000"/>
                <w:sz w:val="20"/>
                <w:szCs w:val="20"/>
                <w:u w:val="none"/>
              </w:rPr>
            </w:pPr>
          </w:p>
        </w:tc>
        <w:tc>
          <w:tcPr>
            <w:tcW w:w="401"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c>
          <w:tcPr>
            <w:tcW w:w="850"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c>
          <w:tcPr>
            <w:tcW w:w="3247" w:type="dxa"/>
            <w:gridSpan w:val="2"/>
            <w:tcBorders>
              <w:top w:val="single" w:color="000000" w:sz="4" w:space="0"/>
              <w:left w:val="single" w:color="000000" w:sz="4" w:space="0"/>
              <w:bottom w:val="single" w:color="000000" w:sz="4" w:space="0"/>
              <w:right w:val="single" w:color="000000" w:sz="4" w:space="0"/>
            </w:tcBorders>
            <w:shd w:val="clear"/>
            <w:vAlign w:val="center"/>
          </w:tcPr>
          <w:p>
            <w:pPr>
              <w:jc w:val="left"/>
              <w:rPr>
                <w:rFonts w:hint="eastAsia" w:ascii="宋体" w:hAnsi="宋体" w:eastAsia="宋体" w:cs="宋体"/>
                <w:i w:val="0"/>
                <w:iCs w:val="0"/>
                <w:color w:val="000000"/>
                <w:sz w:val="20"/>
                <w:szCs w:val="20"/>
                <w:u w:val="none"/>
              </w:rPr>
            </w:pPr>
          </w:p>
        </w:tc>
        <w:tc>
          <w:tcPr>
            <w:tcW w:w="1342"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c>
          <w:tcPr>
            <w:tcW w:w="1376"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c>
          <w:tcPr>
            <w:tcW w:w="1800"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59" w:hRule="atLeast"/>
        </w:trPr>
        <w:tc>
          <w:tcPr>
            <w:tcW w:w="401" w:type="dxa"/>
            <w:vMerge w:val="continue"/>
            <w:tcBorders>
              <w:top w:val="single" w:color="000000" w:sz="4" w:space="0"/>
              <w:left w:val="single" w:color="000000" w:sz="4" w:space="0"/>
              <w:bottom w:val="single" w:color="000000" w:sz="4" w:space="0"/>
              <w:right w:val="single" w:color="000000" w:sz="4" w:space="0"/>
            </w:tcBorders>
            <w:shd w:val="clear"/>
            <w:textDirection w:val="tbRlV"/>
            <w:vAlign w:val="center"/>
          </w:tcPr>
          <w:p>
            <w:pPr>
              <w:jc w:val="center"/>
              <w:rPr>
                <w:rFonts w:hint="eastAsia" w:ascii="宋体" w:hAnsi="宋体" w:eastAsia="宋体" w:cs="宋体"/>
                <w:i w:val="0"/>
                <w:iCs w:val="0"/>
                <w:color w:val="000000"/>
                <w:sz w:val="20"/>
                <w:szCs w:val="20"/>
                <w:u w:val="none"/>
              </w:rPr>
            </w:pPr>
          </w:p>
        </w:tc>
        <w:tc>
          <w:tcPr>
            <w:tcW w:w="401"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c>
          <w:tcPr>
            <w:tcW w:w="850"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c>
          <w:tcPr>
            <w:tcW w:w="3247" w:type="dxa"/>
            <w:gridSpan w:val="2"/>
            <w:tcBorders>
              <w:top w:val="single" w:color="000000" w:sz="4" w:space="0"/>
              <w:left w:val="single" w:color="000000" w:sz="4" w:space="0"/>
              <w:bottom w:val="single" w:color="000000" w:sz="4" w:space="0"/>
              <w:right w:val="single" w:color="000000" w:sz="4" w:space="0"/>
            </w:tcBorders>
            <w:shd w:val="clear"/>
            <w:vAlign w:val="center"/>
          </w:tcPr>
          <w:p>
            <w:pPr>
              <w:jc w:val="left"/>
              <w:rPr>
                <w:rFonts w:hint="eastAsia" w:ascii="宋体" w:hAnsi="宋体" w:eastAsia="宋体" w:cs="宋体"/>
                <w:i w:val="0"/>
                <w:iCs w:val="0"/>
                <w:color w:val="000000"/>
                <w:sz w:val="20"/>
                <w:szCs w:val="20"/>
                <w:u w:val="none"/>
              </w:rPr>
            </w:pPr>
          </w:p>
        </w:tc>
        <w:tc>
          <w:tcPr>
            <w:tcW w:w="1342"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c>
          <w:tcPr>
            <w:tcW w:w="1376"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c>
          <w:tcPr>
            <w:tcW w:w="1800"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720" w:hRule="atLeast"/>
        </w:trPr>
        <w:tc>
          <w:tcPr>
            <w:tcW w:w="401" w:type="dxa"/>
            <w:vMerge w:val="continue"/>
            <w:tcBorders>
              <w:top w:val="single" w:color="000000" w:sz="4" w:space="0"/>
              <w:left w:val="single" w:color="000000" w:sz="4" w:space="0"/>
              <w:bottom w:val="single" w:color="000000" w:sz="4" w:space="0"/>
              <w:right w:val="single" w:color="000000" w:sz="4" w:space="0"/>
            </w:tcBorders>
            <w:shd w:val="clear"/>
            <w:textDirection w:val="tbRlV"/>
            <w:vAlign w:val="center"/>
          </w:tcPr>
          <w:p>
            <w:pPr>
              <w:jc w:val="center"/>
              <w:rPr>
                <w:rFonts w:hint="eastAsia" w:ascii="宋体" w:hAnsi="宋体" w:eastAsia="宋体" w:cs="宋体"/>
                <w:i w:val="0"/>
                <w:iCs w:val="0"/>
                <w:color w:val="000000"/>
                <w:sz w:val="20"/>
                <w:szCs w:val="20"/>
                <w:u w:val="none"/>
              </w:rPr>
            </w:pPr>
          </w:p>
        </w:tc>
        <w:tc>
          <w:tcPr>
            <w:tcW w:w="401"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c>
          <w:tcPr>
            <w:tcW w:w="850"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生态效益</w:t>
            </w:r>
            <w:r>
              <w:rPr>
                <w:rFonts w:hint="eastAsia" w:ascii="宋体" w:hAnsi="宋体" w:eastAsia="宋体" w:cs="宋体"/>
                <w:i w:val="0"/>
                <w:iCs w:val="0"/>
                <w:color w:val="000000"/>
                <w:kern w:val="0"/>
                <w:sz w:val="20"/>
                <w:szCs w:val="20"/>
                <w:u w:val="none"/>
                <w:bdr w:val="none" w:color="auto" w:sz="0" w:space="0"/>
                <w:lang w:val="en-US" w:eastAsia="zh-CN" w:bidi="ar"/>
              </w:rPr>
              <w:br w:type="textWrapping"/>
            </w:r>
            <w:r>
              <w:rPr>
                <w:rFonts w:hint="eastAsia" w:ascii="宋体" w:hAnsi="宋体" w:eastAsia="宋体" w:cs="宋体"/>
                <w:i w:val="0"/>
                <w:iCs w:val="0"/>
                <w:color w:val="000000"/>
                <w:kern w:val="0"/>
                <w:sz w:val="20"/>
                <w:szCs w:val="20"/>
                <w:u w:val="none"/>
                <w:bdr w:val="none" w:color="auto" w:sz="0" w:space="0"/>
                <w:lang w:val="en-US" w:eastAsia="zh-CN" w:bidi="ar"/>
              </w:rPr>
              <w:t>指标</w:t>
            </w:r>
          </w:p>
        </w:tc>
        <w:tc>
          <w:tcPr>
            <w:tcW w:w="3247" w:type="dxa"/>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可促进食用农产品生产过程中合理使用农（兽）药</w:t>
            </w:r>
          </w:p>
        </w:tc>
        <w:tc>
          <w:tcPr>
            <w:tcW w:w="134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降低使用的频率和数量，提高产品质量</w:t>
            </w:r>
          </w:p>
        </w:tc>
        <w:tc>
          <w:tcPr>
            <w:tcW w:w="137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降低使用的频率和数量，提高产品质量</w:t>
            </w:r>
          </w:p>
        </w:tc>
        <w:tc>
          <w:tcPr>
            <w:tcW w:w="1800"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59" w:hRule="atLeast"/>
        </w:trPr>
        <w:tc>
          <w:tcPr>
            <w:tcW w:w="401" w:type="dxa"/>
            <w:vMerge w:val="continue"/>
            <w:tcBorders>
              <w:top w:val="single" w:color="000000" w:sz="4" w:space="0"/>
              <w:left w:val="single" w:color="000000" w:sz="4" w:space="0"/>
              <w:bottom w:val="single" w:color="000000" w:sz="4" w:space="0"/>
              <w:right w:val="single" w:color="000000" w:sz="4" w:space="0"/>
            </w:tcBorders>
            <w:shd w:val="clear"/>
            <w:textDirection w:val="tbRlV"/>
            <w:vAlign w:val="center"/>
          </w:tcPr>
          <w:p>
            <w:pPr>
              <w:jc w:val="center"/>
              <w:rPr>
                <w:rFonts w:hint="eastAsia" w:ascii="宋体" w:hAnsi="宋体" w:eastAsia="宋体" w:cs="宋体"/>
                <w:i w:val="0"/>
                <w:iCs w:val="0"/>
                <w:color w:val="000000"/>
                <w:sz w:val="20"/>
                <w:szCs w:val="20"/>
                <w:u w:val="none"/>
              </w:rPr>
            </w:pPr>
          </w:p>
        </w:tc>
        <w:tc>
          <w:tcPr>
            <w:tcW w:w="401"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c>
          <w:tcPr>
            <w:tcW w:w="850"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c>
          <w:tcPr>
            <w:tcW w:w="3247" w:type="dxa"/>
            <w:gridSpan w:val="2"/>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c>
          <w:tcPr>
            <w:tcW w:w="1342" w:type="dxa"/>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iCs w:val="0"/>
                <w:color w:val="000000"/>
                <w:sz w:val="20"/>
                <w:szCs w:val="20"/>
                <w:u w:val="none"/>
              </w:rPr>
            </w:pPr>
          </w:p>
        </w:tc>
        <w:tc>
          <w:tcPr>
            <w:tcW w:w="1376" w:type="dxa"/>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iCs w:val="0"/>
                <w:color w:val="000000"/>
                <w:sz w:val="20"/>
                <w:szCs w:val="20"/>
                <w:u w:val="none"/>
              </w:rPr>
            </w:pPr>
          </w:p>
        </w:tc>
        <w:tc>
          <w:tcPr>
            <w:tcW w:w="1800"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59" w:hRule="atLeast"/>
        </w:trPr>
        <w:tc>
          <w:tcPr>
            <w:tcW w:w="401" w:type="dxa"/>
            <w:vMerge w:val="continue"/>
            <w:tcBorders>
              <w:top w:val="single" w:color="000000" w:sz="4" w:space="0"/>
              <w:left w:val="single" w:color="000000" w:sz="4" w:space="0"/>
              <w:bottom w:val="single" w:color="000000" w:sz="4" w:space="0"/>
              <w:right w:val="single" w:color="000000" w:sz="4" w:space="0"/>
            </w:tcBorders>
            <w:shd w:val="clear"/>
            <w:textDirection w:val="tbRlV"/>
            <w:vAlign w:val="center"/>
          </w:tcPr>
          <w:p>
            <w:pPr>
              <w:jc w:val="center"/>
              <w:rPr>
                <w:rFonts w:hint="eastAsia" w:ascii="宋体" w:hAnsi="宋体" w:eastAsia="宋体" w:cs="宋体"/>
                <w:i w:val="0"/>
                <w:iCs w:val="0"/>
                <w:color w:val="000000"/>
                <w:sz w:val="20"/>
                <w:szCs w:val="20"/>
                <w:u w:val="none"/>
              </w:rPr>
            </w:pPr>
          </w:p>
        </w:tc>
        <w:tc>
          <w:tcPr>
            <w:tcW w:w="401"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c>
          <w:tcPr>
            <w:tcW w:w="850"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c>
          <w:tcPr>
            <w:tcW w:w="3247" w:type="dxa"/>
            <w:gridSpan w:val="2"/>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c>
          <w:tcPr>
            <w:tcW w:w="1342" w:type="dxa"/>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iCs w:val="0"/>
                <w:color w:val="000000"/>
                <w:sz w:val="20"/>
                <w:szCs w:val="20"/>
                <w:u w:val="none"/>
              </w:rPr>
            </w:pPr>
          </w:p>
        </w:tc>
        <w:tc>
          <w:tcPr>
            <w:tcW w:w="1376" w:type="dxa"/>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iCs w:val="0"/>
                <w:color w:val="000000"/>
                <w:sz w:val="20"/>
                <w:szCs w:val="20"/>
                <w:u w:val="none"/>
              </w:rPr>
            </w:pPr>
          </w:p>
        </w:tc>
        <w:tc>
          <w:tcPr>
            <w:tcW w:w="1800"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560" w:hRule="atLeast"/>
        </w:trPr>
        <w:tc>
          <w:tcPr>
            <w:tcW w:w="401" w:type="dxa"/>
            <w:vMerge w:val="continue"/>
            <w:tcBorders>
              <w:top w:val="single" w:color="000000" w:sz="4" w:space="0"/>
              <w:left w:val="single" w:color="000000" w:sz="4" w:space="0"/>
              <w:bottom w:val="single" w:color="000000" w:sz="4" w:space="0"/>
              <w:right w:val="single" w:color="000000" w:sz="4" w:space="0"/>
            </w:tcBorders>
            <w:shd w:val="clear"/>
            <w:textDirection w:val="tbRlV"/>
            <w:vAlign w:val="center"/>
          </w:tcPr>
          <w:p>
            <w:pPr>
              <w:jc w:val="center"/>
              <w:rPr>
                <w:rFonts w:hint="eastAsia" w:ascii="宋体" w:hAnsi="宋体" w:eastAsia="宋体" w:cs="宋体"/>
                <w:i w:val="0"/>
                <w:iCs w:val="0"/>
                <w:color w:val="000000"/>
                <w:sz w:val="20"/>
                <w:szCs w:val="20"/>
                <w:u w:val="none"/>
              </w:rPr>
            </w:pPr>
          </w:p>
        </w:tc>
        <w:tc>
          <w:tcPr>
            <w:tcW w:w="401"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c>
          <w:tcPr>
            <w:tcW w:w="850"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可持续影响指标</w:t>
            </w:r>
          </w:p>
        </w:tc>
        <w:tc>
          <w:tcPr>
            <w:tcW w:w="3247" w:type="dxa"/>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对农产品质量安全监管的影响</w:t>
            </w:r>
          </w:p>
        </w:tc>
        <w:tc>
          <w:tcPr>
            <w:tcW w:w="134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完善全县农产品质量安全监管体系</w:t>
            </w:r>
          </w:p>
        </w:tc>
        <w:tc>
          <w:tcPr>
            <w:tcW w:w="137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完善全县农产品质量安全监管体系</w:t>
            </w:r>
          </w:p>
        </w:tc>
        <w:tc>
          <w:tcPr>
            <w:tcW w:w="1800"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59" w:hRule="atLeast"/>
        </w:trPr>
        <w:tc>
          <w:tcPr>
            <w:tcW w:w="401" w:type="dxa"/>
            <w:vMerge w:val="continue"/>
            <w:tcBorders>
              <w:top w:val="single" w:color="000000" w:sz="4" w:space="0"/>
              <w:left w:val="single" w:color="000000" w:sz="4" w:space="0"/>
              <w:bottom w:val="single" w:color="000000" w:sz="4" w:space="0"/>
              <w:right w:val="single" w:color="000000" w:sz="4" w:space="0"/>
            </w:tcBorders>
            <w:shd w:val="clear"/>
            <w:textDirection w:val="tbRlV"/>
            <w:vAlign w:val="center"/>
          </w:tcPr>
          <w:p>
            <w:pPr>
              <w:jc w:val="center"/>
              <w:rPr>
                <w:rFonts w:hint="eastAsia" w:ascii="宋体" w:hAnsi="宋体" w:eastAsia="宋体" w:cs="宋体"/>
                <w:i w:val="0"/>
                <w:iCs w:val="0"/>
                <w:color w:val="000000"/>
                <w:sz w:val="20"/>
                <w:szCs w:val="20"/>
                <w:u w:val="none"/>
              </w:rPr>
            </w:pPr>
          </w:p>
        </w:tc>
        <w:tc>
          <w:tcPr>
            <w:tcW w:w="401"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c>
          <w:tcPr>
            <w:tcW w:w="850"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c>
          <w:tcPr>
            <w:tcW w:w="3247" w:type="dxa"/>
            <w:gridSpan w:val="2"/>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c>
          <w:tcPr>
            <w:tcW w:w="1342" w:type="dxa"/>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iCs w:val="0"/>
                <w:color w:val="000000"/>
                <w:sz w:val="20"/>
                <w:szCs w:val="20"/>
                <w:u w:val="none"/>
              </w:rPr>
            </w:pPr>
          </w:p>
        </w:tc>
        <w:tc>
          <w:tcPr>
            <w:tcW w:w="1376" w:type="dxa"/>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iCs w:val="0"/>
                <w:color w:val="000000"/>
                <w:sz w:val="20"/>
                <w:szCs w:val="20"/>
                <w:u w:val="none"/>
              </w:rPr>
            </w:pPr>
          </w:p>
        </w:tc>
        <w:tc>
          <w:tcPr>
            <w:tcW w:w="1800"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59" w:hRule="atLeast"/>
        </w:trPr>
        <w:tc>
          <w:tcPr>
            <w:tcW w:w="401" w:type="dxa"/>
            <w:vMerge w:val="continue"/>
            <w:tcBorders>
              <w:top w:val="single" w:color="000000" w:sz="4" w:space="0"/>
              <w:left w:val="single" w:color="000000" w:sz="4" w:space="0"/>
              <w:bottom w:val="single" w:color="000000" w:sz="4" w:space="0"/>
              <w:right w:val="single" w:color="000000" w:sz="4" w:space="0"/>
            </w:tcBorders>
            <w:shd w:val="clear"/>
            <w:textDirection w:val="tbRlV"/>
            <w:vAlign w:val="center"/>
          </w:tcPr>
          <w:p>
            <w:pPr>
              <w:jc w:val="center"/>
              <w:rPr>
                <w:rFonts w:hint="eastAsia" w:ascii="宋体" w:hAnsi="宋体" w:eastAsia="宋体" w:cs="宋体"/>
                <w:i w:val="0"/>
                <w:iCs w:val="0"/>
                <w:color w:val="000000"/>
                <w:sz w:val="20"/>
                <w:szCs w:val="20"/>
                <w:u w:val="none"/>
              </w:rPr>
            </w:pPr>
          </w:p>
        </w:tc>
        <w:tc>
          <w:tcPr>
            <w:tcW w:w="401"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c>
          <w:tcPr>
            <w:tcW w:w="850"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c>
          <w:tcPr>
            <w:tcW w:w="3247" w:type="dxa"/>
            <w:gridSpan w:val="2"/>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c>
          <w:tcPr>
            <w:tcW w:w="1342" w:type="dxa"/>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iCs w:val="0"/>
                <w:color w:val="000000"/>
                <w:sz w:val="20"/>
                <w:szCs w:val="20"/>
                <w:u w:val="none"/>
              </w:rPr>
            </w:pPr>
          </w:p>
        </w:tc>
        <w:tc>
          <w:tcPr>
            <w:tcW w:w="1376" w:type="dxa"/>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iCs w:val="0"/>
                <w:color w:val="000000"/>
                <w:sz w:val="20"/>
                <w:szCs w:val="20"/>
                <w:u w:val="none"/>
              </w:rPr>
            </w:pPr>
          </w:p>
        </w:tc>
        <w:tc>
          <w:tcPr>
            <w:tcW w:w="1800"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59" w:hRule="atLeast"/>
        </w:trPr>
        <w:tc>
          <w:tcPr>
            <w:tcW w:w="401" w:type="dxa"/>
            <w:vMerge w:val="continue"/>
            <w:tcBorders>
              <w:top w:val="single" w:color="000000" w:sz="4" w:space="0"/>
              <w:left w:val="single" w:color="000000" w:sz="4" w:space="0"/>
              <w:bottom w:val="single" w:color="000000" w:sz="4" w:space="0"/>
              <w:right w:val="single" w:color="000000" w:sz="4" w:space="0"/>
            </w:tcBorders>
            <w:shd w:val="clear"/>
            <w:textDirection w:val="tbRlV"/>
            <w:vAlign w:val="center"/>
          </w:tcPr>
          <w:p>
            <w:pPr>
              <w:jc w:val="center"/>
              <w:rPr>
                <w:rFonts w:hint="eastAsia" w:ascii="宋体" w:hAnsi="宋体" w:eastAsia="宋体" w:cs="宋体"/>
                <w:i w:val="0"/>
                <w:iCs w:val="0"/>
                <w:color w:val="000000"/>
                <w:sz w:val="20"/>
                <w:szCs w:val="20"/>
                <w:u w:val="none"/>
              </w:rPr>
            </w:pPr>
          </w:p>
        </w:tc>
        <w:tc>
          <w:tcPr>
            <w:tcW w:w="401"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满意度指标</w:t>
            </w:r>
          </w:p>
        </w:tc>
        <w:tc>
          <w:tcPr>
            <w:tcW w:w="850"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服务对象</w:t>
            </w:r>
            <w:r>
              <w:rPr>
                <w:rFonts w:hint="eastAsia" w:ascii="宋体" w:hAnsi="宋体" w:eastAsia="宋体" w:cs="宋体"/>
                <w:i w:val="0"/>
                <w:iCs w:val="0"/>
                <w:color w:val="000000"/>
                <w:kern w:val="0"/>
                <w:sz w:val="20"/>
                <w:szCs w:val="20"/>
                <w:u w:val="none"/>
                <w:bdr w:val="none" w:color="auto" w:sz="0" w:space="0"/>
                <w:lang w:val="en-US" w:eastAsia="zh-CN" w:bidi="ar"/>
              </w:rPr>
              <w:br w:type="textWrapping"/>
            </w:r>
            <w:r>
              <w:rPr>
                <w:rFonts w:hint="eastAsia" w:ascii="宋体" w:hAnsi="宋体" w:eastAsia="宋体" w:cs="宋体"/>
                <w:i w:val="0"/>
                <w:iCs w:val="0"/>
                <w:color w:val="000000"/>
                <w:kern w:val="0"/>
                <w:sz w:val="20"/>
                <w:szCs w:val="20"/>
                <w:u w:val="none"/>
                <w:bdr w:val="none" w:color="auto" w:sz="0" w:space="0"/>
                <w:lang w:val="en-US" w:eastAsia="zh-CN" w:bidi="ar"/>
              </w:rPr>
              <w:t>满意度指标</w:t>
            </w:r>
          </w:p>
        </w:tc>
        <w:tc>
          <w:tcPr>
            <w:tcW w:w="3247" w:type="dxa"/>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高素质农民培育对象的满意度(%)</w:t>
            </w:r>
          </w:p>
        </w:tc>
        <w:tc>
          <w:tcPr>
            <w:tcW w:w="134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≥90</w:t>
            </w:r>
          </w:p>
        </w:tc>
        <w:tc>
          <w:tcPr>
            <w:tcW w:w="137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100</w:t>
            </w:r>
          </w:p>
        </w:tc>
        <w:tc>
          <w:tcPr>
            <w:tcW w:w="1800"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59" w:hRule="atLeast"/>
        </w:trPr>
        <w:tc>
          <w:tcPr>
            <w:tcW w:w="401" w:type="dxa"/>
            <w:vMerge w:val="continue"/>
            <w:tcBorders>
              <w:top w:val="single" w:color="000000" w:sz="4" w:space="0"/>
              <w:left w:val="single" w:color="000000" w:sz="4" w:space="0"/>
              <w:bottom w:val="single" w:color="000000" w:sz="4" w:space="0"/>
              <w:right w:val="single" w:color="000000" w:sz="4" w:space="0"/>
            </w:tcBorders>
            <w:shd w:val="clear"/>
            <w:textDirection w:val="tbRlV"/>
            <w:vAlign w:val="center"/>
          </w:tcPr>
          <w:p>
            <w:pPr>
              <w:jc w:val="center"/>
              <w:rPr>
                <w:rFonts w:hint="eastAsia" w:ascii="宋体" w:hAnsi="宋体" w:eastAsia="宋体" w:cs="宋体"/>
                <w:i w:val="0"/>
                <w:iCs w:val="0"/>
                <w:color w:val="000000"/>
                <w:sz w:val="20"/>
                <w:szCs w:val="20"/>
                <w:u w:val="none"/>
              </w:rPr>
            </w:pPr>
          </w:p>
        </w:tc>
        <w:tc>
          <w:tcPr>
            <w:tcW w:w="401"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c>
          <w:tcPr>
            <w:tcW w:w="850"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c>
          <w:tcPr>
            <w:tcW w:w="3247" w:type="dxa"/>
            <w:gridSpan w:val="2"/>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c>
          <w:tcPr>
            <w:tcW w:w="1342" w:type="dxa"/>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iCs w:val="0"/>
                <w:color w:val="000000"/>
                <w:sz w:val="20"/>
                <w:szCs w:val="20"/>
                <w:u w:val="none"/>
              </w:rPr>
            </w:pPr>
          </w:p>
        </w:tc>
        <w:tc>
          <w:tcPr>
            <w:tcW w:w="1376" w:type="dxa"/>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iCs w:val="0"/>
                <w:color w:val="000000"/>
                <w:sz w:val="20"/>
                <w:szCs w:val="20"/>
                <w:u w:val="none"/>
              </w:rPr>
            </w:pPr>
          </w:p>
        </w:tc>
        <w:tc>
          <w:tcPr>
            <w:tcW w:w="1800"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59" w:hRule="atLeast"/>
        </w:trPr>
        <w:tc>
          <w:tcPr>
            <w:tcW w:w="401" w:type="dxa"/>
            <w:vMerge w:val="continue"/>
            <w:tcBorders>
              <w:top w:val="single" w:color="000000" w:sz="4" w:space="0"/>
              <w:left w:val="single" w:color="000000" w:sz="4" w:space="0"/>
              <w:bottom w:val="single" w:color="000000" w:sz="4" w:space="0"/>
              <w:right w:val="single" w:color="000000" w:sz="4" w:space="0"/>
            </w:tcBorders>
            <w:shd w:val="clear"/>
            <w:textDirection w:val="tbRlV"/>
            <w:vAlign w:val="center"/>
          </w:tcPr>
          <w:p>
            <w:pPr>
              <w:jc w:val="center"/>
              <w:rPr>
                <w:rFonts w:hint="eastAsia" w:ascii="宋体" w:hAnsi="宋体" w:eastAsia="宋体" w:cs="宋体"/>
                <w:i w:val="0"/>
                <w:iCs w:val="0"/>
                <w:color w:val="000000"/>
                <w:sz w:val="20"/>
                <w:szCs w:val="20"/>
                <w:u w:val="none"/>
              </w:rPr>
            </w:pPr>
          </w:p>
        </w:tc>
        <w:tc>
          <w:tcPr>
            <w:tcW w:w="401"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c>
          <w:tcPr>
            <w:tcW w:w="850"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c>
          <w:tcPr>
            <w:tcW w:w="3247" w:type="dxa"/>
            <w:gridSpan w:val="2"/>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c>
          <w:tcPr>
            <w:tcW w:w="1342" w:type="dxa"/>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iCs w:val="0"/>
                <w:color w:val="000000"/>
                <w:sz w:val="20"/>
                <w:szCs w:val="20"/>
                <w:u w:val="none"/>
              </w:rPr>
            </w:pPr>
          </w:p>
        </w:tc>
        <w:tc>
          <w:tcPr>
            <w:tcW w:w="1376" w:type="dxa"/>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iCs w:val="0"/>
                <w:color w:val="000000"/>
                <w:sz w:val="20"/>
                <w:szCs w:val="20"/>
                <w:u w:val="none"/>
              </w:rPr>
            </w:pPr>
          </w:p>
        </w:tc>
        <w:tc>
          <w:tcPr>
            <w:tcW w:w="1800"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40" w:hRule="atLeast"/>
        </w:trPr>
        <w:tc>
          <w:tcPr>
            <w:tcW w:w="401"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说明</w:t>
            </w:r>
          </w:p>
        </w:tc>
        <w:tc>
          <w:tcPr>
            <w:tcW w:w="9016" w:type="dxa"/>
            <w:gridSpan w:val="7"/>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560" w:hRule="atLeast"/>
        </w:trPr>
        <w:tc>
          <w:tcPr>
            <w:tcW w:w="9417" w:type="dxa"/>
            <w:gridSpan w:val="8"/>
            <w:tcBorders>
              <w:top w:val="nil"/>
              <w:left w:val="nil"/>
              <w:bottom w:val="nil"/>
              <w:right w:val="nil"/>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注：“资金拨付符合国库集中支付制度 等有关规定”、“资金严格按下达预算的科目和项目执行，未出现截留、挤占、挪用或擅自调整等问题”</w:t>
            </w:r>
          </w:p>
        </w:tc>
      </w:tr>
      <w:bookmarkEnd w:id="0"/>
    </w:tbl>
    <w:p>
      <w:pPr>
        <w:numPr>
          <w:ilvl w:val="0"/>
          <w:numId w:val="0"/>
        </w:numPr>
        <w:ind w:left="420" w:leftChars="0"/>
        <w:jc w:val="left"/>
        <w:rPr>
          <w:rFonts w:hint="default"/>
          <w:sz w:val="28"/>
          <w:szCs w:val="28"/>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DejaVu Sans">
    <w:panose1 w:val="020B0606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CESI黑体-GB2312">
    <w:panose1 w:val="02000500000000000000"/>
    <w:charset w:val="86"/>
    <w:family w:val="auto"/>
    <w:pitch w:val="default"/>
    <w:sig w:usb0="800002BF" w:usb1="184F6CF8" w:usb2="00000012" w:usb3="00000000" w:csb0="0004000F" w:csb1="00000000"/>
  </w:font>
  <w:font w:name="方正黑体_GBK">
    <w:panose1 w:val="02000000000000000000"/>
    <w:charset w:val="86"/>
    <w:family w:val="auto"/>
    <w:pitch w:val="default"/>
    <w:sig w:usb0="00000001" w:usb1="08000000" w:usb2="00000000" w:usb3="00000000" w:csb0="00040000" w:csb1="00000000"/>
  </w:font>
  <w:font w:name="sans-serif">
    <w:altName w:val="Quicksand Light"/>
    <w:panose1 w:val="00000000000000000000"/>
    <w:charset w:val="00"/>
    <w:family w:val="auto"/>
    <w:pitch w:val="default"/>
    <w:sig w:usb0="00000000" w:usb1="00000000" w:usb2="00000000" w:usb3="00000000" w:csb0="00000000" w:csb1="00000000"/>
  </w:font>
  <w:font w:name="Quicksand Light">
    <w:panose1 w:val="00000400000000000000"/>
    <w:charset w:val="00"/>
    <w:family w:val="auto"/>
    <w:pitch w:val="default"/>
    <w:sig w:usb0="2000000F" w:usb1="00000001" w:usb2="00000000" w:usb3="00000000" w:csb0="20000193" w:csb1="00000000"/>
  </w:font>
  <w:font w:name="方正仿宋_GBK">
    <w:panose1 w:val="02000000000000000000"/>
    <w:charset w:val="86"/>
    <w:family w:val="auto"/>
    <w:pitch w:val="default"/>
    <w:sig w:usb0="00000001" w:usb1="08000000" w:usb2="00000000" w:usb3="00000000" w:csb0="00040000" w:csb1="00000000"/>
  </w:font>
  <w:font w:name="黑体">
    <w:altName w:val="方正黑体_GBK"/>
    <w:panose1 w:val="00000000000000000000"/>
    <w:charset w:val="00"/>
    <w:family w:val="auto"/>
    <w:pitch w:val="default"/>
    <w:sig w:usb0="00000000" w:usb1="00000000" w:usb2="00000000" w:usb3="00000000" w:csb0="00000000" w:csb1="00000000"/>
  </w:font>
  <w:font w:name="汉仪细圆B5">
    <w:altName w:val="Quicksand Light"/>
    <w:panose1 w:val="00000000000000000000"/>
    <w:charset w:val="00"/>
    <w:family w:val="auto"/>
    <w:pitch w:val="default"/>
    <w:sig w:usb0="00000000" w:usb1="00000000" w:usb2="00000000" w:usb3="00000000" w:csb0="00000000" w:csb1="00000000"/>
  </w:font>
  <w:font w:name="华文楷体">
    <w:panose1 w:val="02010600040101010101"/>
    <w:charset w:val="86"/>
    <w:family w:val="auto"/>
    <w:pitch w:val="default"/>
    <w:sig w:usb0="00000287" w:usb1="080F0000" w:usb2="00000000" w:usb3="00000000" w:csb0="0004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DEF739A"/>
    <w:multiLevelType w:val="singleLevel"/>
    <w:tmpl w:val="DDEF739A"/>
    <w:lvl w:ilvl="0" w:tentative="0">
      <w:start w:val="2"/>
      <w:numFmt w:val="decimal"/>
      <w:lvlText w:val="%1."/>
      <w:lvlJc w:val="left"/>
      <w:pPr>
        <w:tabs>
          <w:tab w:val="left" w:pos="312"/>
        </w:tabs>
      </w:pPr>
    </w:lvl>
  </w:abstractNum>
  <w:abstractNum w:abstractNumId="1">
    <w:nsid w:val="FBA83B35"/>
    <w:multiLevelType w:val="singleLevel"/>
    <w:tmpl w:val="FBA83B35"/>
    <w:lvl w:ilvl="0" w:tentative="0">
      <w:start w:val="1"/>
      <w:numFmt w:val="chineseCounting"/>
      <w:suff w:val="nothing"/>
      <w:lvlText w:val="%1、"/>
      <w:lvlJc w:val="left"/>
      <w:pPr>
        <w:ind w:left="420" w:leftChars="0" w:firstLine="0" w:firstLineChars="0"/>
      </w:pPr>
      <w:rPr>
        <w:rFonts w:hint="eastAsia"/>
        <w:b/>
        <w:bCs/>
      </w:rPr>
    </w:lvl>
  </w:abstractNum>
  <w:abstractNum w:abstractNumId="2">
    <w:nsid w:val="FD3AE7DD"/>
    <w:multiLevelType w:val="singleLevel"/>
    <w:tmpl w:val="FD3AE7DD"/>
    <w:lvl w:ilvl="0" w:tentative="0">
      <w:start w:val="2"/>
      <w:numFmt w:val="chineseCounting"/>
      <w:suff w:val="nothing"/>
      <w:lvlText w:val="（%1）"/>
      <w:lvlJc w:val="left"/>
      <w:rPr>
        <w:rFonts w:hint="eastAsia"/>
      </w:rPr>
    </w:lvl>
  </w:abstractNum>
  <w:abstractNum w:abstractNumId="3">
    <w:nsid w:val="39DF73BF"/>
    <w:multiLevelType w:val="singleLevel"/>
    <w:tmpl w:val="39DF73BF"/>
    <w:lvl w:ilvl="0" w:tentative="0">
      <w:start w:val="4"/>
      <w:numFmt w:val="chineseCounting"/>
      <w:suff w:val="nothing"/>
      <w:lvlText w:val="%1、"/>
      <w:lvlJc w:val="left"/>
      <w:rPr>
        <w:rFonts w:hint="eastAsia"/>
      </w:r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U5MmVkZmVmNmQ5ODhkYThhNzYxMTkyY2VhOWIwYjIifQ=="/>
  </w:docVars>
  <w:rsids>
    <w:rsidRoot w:val="31F4292D"/>
    <w:rsid w:val="03B48C53"/>
    <w:rsid w:val="0F7468E2"/>
    <w:rsid w:val="14CDF16E"/>
    <w:rsid w:val="157341E8"/>
    <w:rsid w:val="1FFDC3FC"/>
    <w:rsid w:val="23FD0810"/>
    <w:rsid w:val="2DDBA24D"/>
    <w:rsid w:val="2F0F240C"/>
    <w:rsid w:val="31F4292D"/>
    <w:rsid w:val="33AF8954"/>
    <w:rsid w:val="340B6C1F"/>
    <w:rsid w:val="37B5943D"/>
    <w:rsid w:val="3B0FCC37"/>
    <w:rsid w:val="3BD70EAA"/>
    <w:rsid w:val="3F7EBF6B"/>
    <w:rsid w:val="3FFADF32"/>
    <w:rsid w:val="3FFF85EF"/>
    <w:rsid w:val="47FE6CD1"/>
    <w:rsid w:val="47FFEC98"/>
    <w:rsid w:val="4D3DBA73"/>
    <w:rsid w:val="55FED14B"/>
    <w:rsid w:val="56B78ED8"/>
    <w:rsid w:val="5BF36A89"/>
    <w:rsid w:val="5BFE3EE6"/>
    <w:rsid w:val="5DFF989F"/>
    <w:rsid w:val="5F7F7300"/>
    <w:rsid w:val="64B90978"/>
    <w:rsid w:val="65894B55"/>
    <w:rsid w:val="6BEFCF50"/>
    <w:rsid w:val="6EBD24DC"/>
    <w:rsid w:val="73DB6416"/>
    <w:rsid w:val="73E7F61E"/>
    <w:rsid w:val="77FD3D45"/>
    <w:rsid w:val="79E4F39F"/>
    <w:rsid w:val="7BFDFE0A"/>
    <w:rsid w:val="7D3CE5AA"/>
    <w:rsid w:val="7D3DA9B3"/>
    <w:rsid w:val="7E7DE020"/>
    <w:rsid w:val="7EA71647"/>
    <w:rsid w:val="7EDF0900"/>
    <w:rsid w:val="7EFFFB6E"/>
    <w:rsid w:val="7F7E2586"/>
    <w:rsid w:val="7FE60102"/>
    <w:rsid w:val="7FF7FB91"/>
    <w:rsid w:val="7FFBAEA7"/>
    <w:rsid w:val="7FFD9DC0"/>
    <w:rsid w:val="8BADCF80"/>
    <w:rsid w:val="9E7DF16E"/>
    <w:rsid w:val="9FF7D1A5"/>
    <w:rsid w:val="ACA3C90A"/>
    <w:rsid w:val="B4FF3BFF"/>
    <w:rsid w:val="BDE62B70"/>
    <w:rsid w:val="BEB7AFE3"/>
    <w:rsid w:val="BF378288"/>
    <w:rsid w:val="BF5F3E85"/>
    <w:rsid w:val="BF7FEC78"/>
    <w:rsid w:val="BFBDAB8C"/>
    <w:rsid w:val="BFDD55DC"/>
    <w:rsid w:val="CFBB4042"/>
    <w:rsid w:val="D7DDE005"/>
    <w:rsid w:val="DB7FEAC8"/>
    <w:rsid w:val="DBCF7B4A"/>
    <w:rsid w:val="DBDFAEEC"/>
    <w:rsid w:val="DBE36D08"/>
    <w:rsid w:val="DF7B1118"/>
    <w:rsid w:val="DFF76341"/>
    <w:rsid w:val="DFFEE55E"/>
    <w:rsid w:val="E3FF245A"/>
    <w:rsid w:val="E5DAFF7E"/>
    <w:rsid w:val="E69EBC0F"/>
    <w:rsid w:val="EB9EE9C6"/>
    <w:rsid w:val="EDFBE760"/>
    <w:rsid w:val="EF7E5249"/>
    <w:rsid w:val="EFBF2841"/>
    <w:rsid w:val="EFDF2CC7"/>
    <w:rsid w:val="EFEE077C"/>
    <w:rsid w:val="EFFDA21E"/>
    <w:rsid w:val="F6BFD931"/>
    <w:rsid w:val="F71F881D"/>
    <w:rsid w:val="F7FFC8F6"/>
    <w:rsid w:val="F9F50223"/>
    <w:rsid w:val="F9FAA870"/>
    <w:rsid w:val="F9FCF9BB"/>
    <w:rsid w:val="FB4FAC55"/>
    <w:rsid w:val="FB63E110"/>
    <w:rsid w:val="FBBF7380"/>
    <w:rsid w:val="FCBFF5FC"/>
    <w:rsid w:val="FDC9835A"/>
    <w:rsid w:val="FDFF6F7C"/>
    <w:rsid w:val="FF7FA3ED"/>
    <w:rsid w:val="FFBAE85C"/>
    <w:rsid w:val="FFBBDCA5"/>
    <w:rsid w:val="FFBFA90D"/>
    <w:rsid w:val="FFC69694"/>
    <w:rsid w:val="FFEBE6D7"/>
    <w:rsid w:val="FFEF091A"/>
    <w:rsid w:val="FFFB462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character" w:customStyle="1" w:styleId="4">
    <w:name w:val="font151"/>
    <w:basedOn w:val="3"/>
    <w:qFormat/>
    <w:uiPriority w:val="0"/>
    <w:rPr>
      <w:rFonts w:hint="eastAsia" w:ascii="宋体" w:hAnsi="宋体" w:eastAsia="宋体" w:cs="宋体"/>
      <w:color w:val="000000"/>
      <w:sz w:val="32"/>
      <w:szCs w:val="32"/>
      <w:u w:val="none"/>
    </w:rPr>
  </w:style>
  <w:style w:type="character" w:customStyle="1" w:styleId="5">
    <w:name w:val="font161"/>
    <w:basedOn w:val="3"/>
    <w:qFormat/>
    <w:uiPriority w:val="0"/>
    <w:rPr>
      <w:rFonts w:ascii="Arial" w:hAnsi="Arial" w:cs="Arial"/>
      <w:color w:val="000000"/>
      <w:sz w:val="20"/>
      <w:szCs w:val="20"/>
      <w:u w:val="none"/>
    </w:rPr>
  </w:style>
  <w:style w:type="character" w:customStyle="1" w:styleId="6">
    <w:name w:val="font01"/>
    <w:basedOn w:val="3"/>
    <w:qFormat/>
    <w:uiPriority w:val="0"/>
    <w:rPr>
      <w:rFonts w:hint="eastAsia" w:ascii="宋体" w:hAnsi="宋体" w:eastAsia="宋体" w:cs="宋体"/>
      <w:color w:val="000000"/>
      <w:sz w:val="20"/>
      <w:szCs w:val="20"/>
      <w:u w:val="none"/>
    </w:rPr>
  </w:style>
  <w:style w:type="character" w:customStyle="1" w:styleId="7">
    <w:name w:val="font51"/>
    <w:basedOn w:val="3"/>
    <w:qFormat/>
    <w:uiPriority w:val="0"/>
    <w:rPr>
      <w:rFonts w:hint="eastAsia" w:ascii="宋体" w:hAnsi="宋体" w:eastAsia="宋体" w:cs="宋体"/>
      <w:color w:val="000000"/>
      <w:sz w:val="18"/>
      <w:szCs w:val="18"/>
      <w:u w:val="none"/>
    </w:rPr>
  </w:style>
  <w:style w:type="character" w:customStyle="1" w:styleId="8">
    <w:name w:val="font112"/>
    <w:basedOn w:val="3"/>
    <w:qFormat/>
    <w:uiPriority w:val="0"/>
    <w:rPr>
      <w:rFonts w:hint="eastAsia" w:ascii="宋体" w:hAnsi="宋体" w:eastAsia="宋体" w:cs="宋体"/>
      <w:color w:val="000000"/>
      <w:sz w:val="20"/>
      <w:szCs w:val="20"/>
      <w:u w:val="none"/>
    </w:rPr>
  </w:style>
  <w:style w:type="character" w:customStyle="1" w:styleId="9">
    <w:name w:val="font111"/>
    <w:basedOn w:val="3"/>
    <w:qFormat/>
    <w:uiPriority w:val="0"/>
    <w:rPr>
      <w:rFonts w:hint="eastAsia" w:ascii="宋体" w:hAnsi="宋体" w:eastAsia="宋体" w:cs="宋体"/>
      <w:color w:val="000000"/>
      <w:sz w:val="20"/>
      <w:szCs w:val="20"/>
      <w:u w:val="none"/>
    </w:rPr>
  </w:style>
  <w:style w:type="character" w:customStyle="1" w:styleId="10">
    <w:name w:val="font21"/>
    <w:basedOn w:val="3"/>
    <w:uiPriority w:val="0"/>
    <w:rPr>
      <w:rFonts w:hint="eastAsia" w:ascii="宋体" w:hAnsi="宋体" w:eastAsia="宋体" w:cs="宋体"/>
      <w:color w:val="000000"/>
      <w:sz w:val="20"/>
      <w:szCs w:val="20"/>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Office_11.8.2.1132_F1E327BC-269C-435d-A152-05C5408002CA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2024-03-08T17:49:00Z</dcterms:created>
  <dc:creator>Administrator</dc:creator>
  <cp:lastModifiedBy>uospc</cp:lastModifiedBy>
  <dcterms:modified xsi:type="dcterms:W3CDTF">2025-03-19T15:37:20Z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2052-11.8.2.1132</vt:lpwstr>
  </property>
  <property fmtid="{D5CDD505-2E9C-101B-9397-08002B2CF9AE}" pid="3" name="ICV">
    <vt:lpwstr>C87BB048B49C6C318370DA677EE4A01F</vt:lpwstr>
  </property>
</Properties>
</file>