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val="en-US" w:eastAsia="zh-CN"/>
        </w:rPr>
      </w:pPr>
      <w:r>
        <w:rPr>
          <w:rFonts w:hint="eastAsia"/>
          <w:sz w:val="24"/>
          <w:szCs w:val="32"/>
          <w:lang w:val="en-US" w:eastAsia="zh-CN"/>
        </w:rPr>
        <w:t>附件3</w:t>
      </w:r>
    </w:p>
    <w:p>
      <w:pPr>
        <w:jc w:val="center"/>
        <w:rPr>
          <w:rFonts w:hint="eastAsia" w:asciiTheme="majorEastAsia" w:hAnsiTheme="majorEastAsia" w:eastAsiaTheme="majorEastAsia" w:cstheme="majorEastAsia"/>
          <w:b/>
          <w:bCs/>
          <w:sz w:val="40"/>
          <w:szCs w:val="48"/>
          <w:lang w:val="en-US" w:eastAsia="zh-CN"/>
        </w:rPr>
      </w:pPr>
      <w:r>
        <w:rPr>
          <w:rFonts w:hint="eastAsia" w:asciiTheme="majorEastAsia" w:hAnsiTheme="majorEastAsia" w:eastAsiaTheme="majorEastAsia" w:cstheme="majorEastAsia"/>
          <w:b/>
          <w:bCs/>
          <w:sz w:val="40"/>
          <w:szCs w:val="48"/>
          <w:lang w:val="en-US" w:eastAsia="zh-CN"/>
        </w:rPr>
        <w:t>凤台县粮油生产保障资金2024年度</w:t>
      </w:r>
    </w:p>
    <w:p>
      <w:pPr>
        <w:jc w:val="center"/>
        <w:rPr>
          <w:rFonts w:hint="eastAsia" w:asciiTheme="majorEastAsia" w:hAnsiTheme="majorEastAsia" w:eastAsiaTheme="majorEastAsia" w:cstheme="majorEastAsia"/>
          <w:b/>
          <w:bCs/>
          <w:sz w:val="40"/>
          <w:szCs w:val="48"/>
          <w:lang w:val="en-US" w:eastAsia="zh-CN"/>
        </w:rPr>
      </w:pPr>
      <w:r>
        <w:rPr>
          <w:rFonts w:hint="eastAsia" w:asciiTheme="majorEastAsia" w:hAnsiTheme="majorEastAsia" w:eastAsiaTheme="majorEastAsia" w:cstheme="majorEastAsia"/>
          <w:b/>
          <w:bCs/>
          <w:sz w:val="40"/>
          <w:szCs w:val="48"/>
          <w:lang w:val="en-US" w:eastAsia="zh-CN"/>
        </w:rPr>
        <w:t>绩效自评报告</w:t>
      </w:r>
    </w:p>
    <w:p>
      <w:pPr>
        <w:jc w:val="center"/>
        <w:rPr>
          <w:rFonts w:hint="eastAsia" w:asciiTheme="majorEastAsia" w:hAnsiTheme="majorEastAsia" w:eastAsiaTheme="majorEastAsia" w:cstheme="majorEastAsia"/>
          <w:b/>
          <w:bCs/>
          <w:sz w:val="40"/>
          <w:szCs w:val="48"/>
          <w:lang w:val="en-US" w:eastAsia="zh-CN"/>
        </w:rPr>
      </w:pPr>
    </w:p>
    <w:p>
      <w:pPr>
        <w:numPr>
          <w:ilvl w:val="0"/>
          <w:numId w:val="1"/>
        </w:numPr>
        <w:ind w:left="420" w:leftChars="0" w:firstLine="0" w:firstLineChars="0"/>
        <w:jc w:val="both"/>
        <w:rPr>
          <w:rFonts w:hint="eastAsia"/>
          <w:b/>
          <w:bCs/>
          <w:sz w:val="28"/>
          <w:szCs w:val="28"/>
          <w:lang w:val="en-US" w:eastAsia="zh-CN"/>
        </w:rPr>
      </w:pPr>
      <w:r>
        <w:rPr>
          <w:rFonts w:hint="eastAsia"/>
          <w:b/>
          <w:bCs/>
          <w:sz w:val="28"/>
          <w:szCs w:val="28"/>
          <w:lang w:val="en-US" w:eastAsia="zh-CN"/>
        </w:rPr>
        <w:t>绩效目标分解下达情况</w:t>
      </w:r>
    </w:p>
    <w:p>
      <w:pPr>
        <w:numPr>
          <w:ilvl w:val="0"/>
          <w:numId w:val="0"/>
        </w:numPr>
        <w:ind w:firstLine="560" w:firstLineChars="200"/>
        <w:jc w:val="both"/>
        <w:rPr>
          <w:rFonts w:hint="default"/>
          <w:sz w:val="28"/>
          <w:szCs w:val="28"/>
          <w:lang w:val="en-US" w:eastAsia="zh-CN"/>
        </w:rPr>
      </w:pPr>
      <w:r>
        <w:rPr>
          <w:rFonts w:hint="eastAsia"/>
          <w:sz w:val="28"/>
          <w:szCs w:val="28"/>
          <w:lang w:val="en-US" w:eastAsia="zh-CN"/>
        </w:rPr>
        <w:t>2024年中央下达本县粮油生产保障资金716万元，其中，316万元用于小麦“一喷三防”支出，计划整合各级项目资金，组织全县农业专业化服务组织，在全县范围内开展小麦赤霉病全覆盖飞防两遍，每亩补贴飞防服务费用17元，飞防农药费用由农户承担。同时开展小麦穗期“一喷三防”试验示范，验证病虫害防治效果及对小麦的增产作用；400万元用于粮油等重点作物绿色高产高效支出，完成大豆玉米小麦油菜单产提升整建制推进，集成推广绿色高质高效模式，提高重点作物绿色高产高效项目区节本增效水平。</w:t>
      </w:r>
    </w:p>
    <w:p>
      <w:pPr>
        <w:numPr>
          <w:ilvl w:val="0"/>
          <w:numId w:val="0"/>
        </w:numPr>
        <w:ind w:firstLine="420"/>
        <w:jc w:val="both"/>
        <w:rPr>
          <w:rFonts w:hint="eastAsia"/>
          <w:b/>
          <w:bCs/>
          <w:sz w:val="28"/>
          <w:szCs w:val="28"/>
          <w:lang w:val="en-US" w:eastAsia="zh-CN"/>
        </w:rPr>
      </w:pPr>
      <w:r>
        <w:rPr>
          <w:rFonts w:hint="eastAsia"/>
          <w:b/>
          <w:bCs/>
          <w:sz w:val="28"/>
          <w:szCs w:val="28"/>
          <w:lang w:val="en-US" w:eastAsia="zh-CN"/>
        </w:rPr>
        <w:t>二、绩效情况分析</w:t>
      </w:r>
    </w:p>
    <w:p>
      <w:pPr>
        <w:numPr>
          <w:ilvl w:val="0"/>
          <w:numId w:val="0"/>
        </w:numPr>
        <w:ind w:firstLine="420"/>
        <w:jc w:val="both"/>
        <w:rPr>
          <w:rFonts w:hint="eastAsia"/>
          <w:sz w:val="28"/>
          <w:szCs w:val="28"/>
          <w:lang w:val="en-US" w:eastAsia="zh-CN"/>
        </w:rPr>
      </w:pPr>
      <w:r>
        <w:rPr>
          <w:rFonts w:hint="eastAsia"/>
          <w:b/>
          <w:bCs/>
          <w:sz w:val="28"/>
          <w:szCs w:val="28"/>
          <w:lang w:val="en-US" w:eastAsia="zh-CN"/>
        </w:rPr>
        <w:t>（一）资金投入情况分析。</w:t>
      </w:r>
    </w:p>
    <w:p>
      <w:pPr>
        <w:numPr>
          <w:ilvl w:val="0"/>
          <w:numId w:val="0"/>
        </w:numPr>
        <w:ind w:firstLine="420"/>
        <w:jc w:val="both"/>
        <w:rPr>
          <w:rFonts w:hint="default"/>
          <w:sz w:val="28"/>
          <w:szCs w:val="28"/>
          <w:lang w:val="en-US" w:eastAsia="zh-CN"/>
        </w:rPr>
      </w:pPr>
      <w:r>
        <w:rPr>
          <w:rFonts w:hint="eastAsia"/>
          <w:sz w:val="28"/>
          <w:szCs w:val="28"/>
          <w:lang w:val="en-US" w:eastAsia="zh-CN"/>
        </w:rPr>
        <w:t>我县粮油生产保障资金投入共716万元，全年执行数为0万元，预算执行率为0%。</w:t>
      </w:r>
    </w:p>
    <w:p>
      <w:pPr>
        <w:numPr>
          <w:ilvl w:val="0"/>
          <w:numId w:val="2"/>
        </w:numPr>
        <w:ind w:firstLine="420"/>
        <w:jc w:val="both"/>
        <w:rPr>
          <w:rFonts w:hint="eastAsia"/>
          <w:sz w:val="28"/>
          <w:szCs w:val="28"/>
          <w:lang w:val="en-US" w:eastAsia="zh-CN"/>
        </w:rPr>
      </w:pPr>
      <w:r>
        <w:rPr>
          <w:rFonts w:hint="eastAsia"/>
          <w:b/>
          <w:bCs/>
          <w:sz w:val="28"/>
          <w:szCs w:val="28"/>
          <w:lang w:val="en-US" w:eastAsia="zh-CN"/>
        </w:rPr>
        <w:t>资金管理情况分析。</w:t>
      </w:r>
    </w:p>
    <w:p>
      <w:pPr>
        <w:numPr>
          <w:ilvl w:val="0"/>
          <w:numId w:val="0"/>
        </w:numPr>
        <w:ind w:firstLine="560" w:firstLineChars="200"/>
        <w:jc w:val="both"/>
        <w:rPr>
          <w:rFonts w:hint="eastAsia"/>
          <w:sz w:val="28"/>
          <w:szCs w:val="28"/>
          <w:lang w:val="en-US" w:eastAsia="zh-CN"/>
        </w:rPr>
      </w:pPr>
      <w:r>
        <w:rPr>
          <w:rFonts w:hint="eastAsia"/>
          <w:sz w:val="28"/>
          <w:szCs w:val="28"/>
          <w:lang w:val="en-US" w:eastAsia="zh-CN"/>
        </w:rPr>
        <w:t>其中，小麦“一喷三防”支出项目投入316万元，已支出0元，执行率0%，项目已实施完成，因财政资金紧张资金暂未拨付；粮油等重点作物绿色高产高效支出项目投入400万元，已支出0元，执行率0%，项目已实施完成，因财政资金紧张资金暂未拨付。</w:t>
      </w:r>
    </w:p>
    <w:p>
      <w:pPr>
        <w:numPr>
          <w:ilvl w:val="0"/>
          <w:numId w:val="2"/>
        </w:numPr>
        <w:ind w:left="0" w:leftChars="0" w:firstLine="420" w:firstLineChars="0"/>
        <w:jc w:val="both"/>
        <w:rPr>
          <w:rFonts w:hint="eastAsia"/>
          <w:b/>
          <w:bCs/>
          <w:sz w:val="28"/>
          <w:szCs w:val="28"/>
          <w:lang w:val="en-US" w:eastAsia="zh-CN"/>
        </w:rPr>
      </w:pPr>
      <w:r>
        <w:rPr>
          <w:rFonts w:hint="eastAsia"/>
          <w:b/>
          <w:bCs/>
          <w:sz w:val="28"/>
          <w:szCs w:val="28"/>
          <w:lang w:val="en-US" w:eastAsia="zh-CN"/>
        </w:rPr>
        <w:t>总体绩效目标完成情况分析。</w:t>
      </w:r>
    </w:p>
    <w:p>
      <w:pPr>
        <w:numPr>
          <w:ilvl w:val="0"/>
          <w:numId w:val="0"/>
        </w:numPr>
        <w:ind w:left="420" w:leftChars="0"/>
        <w:jc w:val="both"/>
        <w:rPr>
          <w:rFonts w:hint="eastAsia"/>
          <w:sz w:val="28"/>
          <w:szCs w:val="28"/>
          <w:lang w:val="en-US" w:eastAsia="zh-CN"/>
        </w:rPr>
      </w:pPr>
      <w:r>
        <w:rPr>
          <w:rFonts w:hint="eastAsia"/>
          <w:sz w:val="28"/>
          <w:szCs w:val="28"/>
          <w:lang w:val="en-US" w:eastAsia="zh-CN"/>
        </w:rPr>
        <w:t>目标1：小麦药剂拌种和化学封闭除草两个关键环节，开展小麦绿色防控区建设，完成小麦赤霉病全覆盖统防统治。目标2：完成大豆玉米小麦油菜单产提升整建制推进，集成推广绿色高质高效模式，提高重点作物绿色高产高效项目区节本增效水平。</w:t>
      </w:r>
    </w:p>
    <w:p>
      <w:pPr>
        <w:numPr>
          <w:ilvl w:val="0"/>
          <w:numId w:val="2"/>
        </w:numPr>
        <w:ind w:left="0" w:leftChars="0" w:firstLine="420" w:firstLineChars="0"/>
        <w:jc w:val="both"/>
        <w:rPr>
          <w:rFonts w:hint="eastAsia"/>
          <w:b/>
          <w:bCs/>
          <w:sz w:val="28"/>
          <w:szCs w:val="28"/>
          <w:lang w:val="en-US" w:eastAsia="zh-CN"/>
        </w:rPr>
      </w:pPr>
      <w:r>
        <w:rPr>
          <w:rFonts w:hint="eastAsia"/>
          <w:b/>
          <w:bCs/>
          <w:sz w:val="28"/>
          <w:szCs w:val="28"/>
          <w:lang w:val="en-US" w:eastAsia="zh-CN"/>
        </w:rPr>
        <w:t>绩效指标完成情况分析。</w:t>
      </w:r>
    </w:p>
    <w:p>
      <w:pPr>
        <w:numPr>
          <w:ilvl w:val="0"/>
          <w:numId w:val="0"/>
        </w:numPr>
        <w:ind w:left="420" w:leftChars="0"/>
        <w:jc w:val="both"/>
        <w:rPr>
          <w:rFonts w:hint="eastAsia" w:ascii="CESI黑体-GB2312" w:hAnsi="CESI黑体-GB2312" w:eastAsia="CESI黑体-GB2312" w:cs="CESI黑体-GB2312"/>
          <w:sz w:val="32"/>
          <w:szCs w:val="32"/>
          <w:lang w:val="en-US" w:eastAsia="zh-CN"/>
        </w:rPr>
      </w:pPr>
      <w:r>
        <w:rPr>
          <w:rFonts w:hint="eastAsia" w:ascii="CESI黑体-GB2312" w:hAnsi="CESI黑体-GB2312" w:eastAsia="CESI黑体-GB2312" w:cs="CESI黑体-GB2312"/>
          <w:sz w:val="32"/>
          <w:szCs w:val="32"/>
          <w:lang w:val="en-US" w:eastAsia="zh-CN"/>
        </w:rPr>
        <w:t>数量指标：</w:t>
      </w:r>
    </w:p>
    <w:p>
      <w:pPr>
        <w:numPr>
          <w:ilvl w:val="0"/>
          <w:numId w:val="0"/>
        </w:numPr>
        <w:ind w:firstLine="420"/>
        <w:jc w:val="both"/>
        <w:rPr>
          <w:rFonts w:hint="eastAsia"/>
          <w:sz w:val="28"/>
          <w:szCs w:val="28"/>
          <w:lang w:val="en-US" w:eastAsia="zh-CN"/>
        </w:rPr>
      </w:pPr>
      <w:r>
        <w:rPr>
          <w:rFonts w:hint="eastAsia"/>
          <w:sz w:val="28"/>
          <w:szCs w:val="28"/>
          <w:lang w:val="en-US" w:eastAsia="zh-CN"/>
        </w:rPr>
        <w:t>指标1：大豆玉米小麦油菜单产提升整建制推进县数量(个)</w:t>
      </w:r>
      <w:r>
        <w:rPr>
          <w:rFonts w:hint="eastAsia"/>
          <w:sz w:val="28"/>
          <w:szCs w:val="28"/>
          <w:lang w:val="en-US" w:eastAsia="zh-CN"/>
        </w:rPr>
        <w:tab/>
      </w:r>
      <w:r>
        <w:rPr>
          <w:rFonts w:hint="eastAsia"/>
          <w:sz w:val="28"/>
          <w:szCs w:val="28"/>
          <w:lang w:val="en-US" w:eastAsia="zh-CN"/>
        </w:rPr>
        <w:tab/>
      </w:r>
      <w:r>
        <w:rPr>
          <w:rFonts w:hint="eastAsia"/>
          <w:sz w:val="28"/>
          <w:szCs w:val="28"/>
          <w:lang w:val="en-US" w:eastAsia="zh-CN"/>
        </w:rPr>
        <w:t xml:space="preserve">=1 </w:t>
      </w:r>
      <w:r>
        <w:rPr>
          <w:rFonts w:hint="eastAsia"/>
          <w:sz w:val="28"/>
          <w:szCs w:val="28"/>
          <w:lang w:val="en-US" w:eastAsia="zh-CN"/>
        </w:rPr>
        <w:tab/>
      </w:r>
      <w:r>
        <w:rPr>
          <w:rFonts w:hint="eastAsia"/>
          <w:sz w:val="28"/>
          <w:szCs w:val="28"/>
          <w:lang w:val="en-US" w:eastAsia="zh-CN"/>
        </w:rPr>
        <w:t>1</w:t>
      </w:r>
      <w:r>
        <w:rPr>
          <w:rFonts w:hint="eastAsia"/>
          <w:sz w:val="28"/>
          <w:szCs w:val="28"/>
          <w:lang w:val="en-US" w:eastAsia="zh-CN"/>
        </w:rPr>
        <w:tab/>
      </w:r>
    </w:p>
    <w:p>
      <w:pPr>
        <w:numPr>
          <w:ilvl w:val="0"/>
          <w:numId w:val="0"/>
        </w:numPr>
        <w:ind w:firstLine="420"/>
        <w:jc w:val="both"/>
        <w:rPr>
          <w:rFonts w:hint="eastAsia" w:ascii="CESI黑体-GB2312" w:hAnsi="CESI黑体-GB2312" w:eastAsia="CESI黑体-GB2312" w:cs="CESI黑体-GB2312"/>
          <w:sz w:val="32"/>
          <w:szCs w:val="32"/>
          <w:lang w:val="en-US" w:eastAsia="zh-CN"/>
        </w:rPr>
      </w:pPr>
      <w:r>
        <w:rPr>
          <w:rFonts w:hint="eastAsia" w:ascii="CESI黑体-GB2312" w:hAnsi="CESI黑体-GB2312" w:eastAsia="CESI黑体-GB2312" w:cs="CESI黑体-GB2312"/>
          <w:sz w:val="32"/>
          <w:szCs w:val="32"/>
          <w:lang w:val="en-US" w:eastAsia="zh-CN"/>
        </w:rPr>
        <w:t>质量指标：</w:t>
      </w:r>
    </w:p>
    <w:p>
      <w:pPr>
        <w:numPr>
          <w:ilvl w:val="0"/>
          <w:numId w:val="0"/>
        </w:numPr>
        <w:ind w:firstLine="420"/>
        <w:jc w:val="both"/>
        <w:rPr>
          <w:rFonts w:hint="default"/>
          <w:sz w:val="28"/>
          <w:szCs w:val="28"/>
          <w:lang w:val="en-US" w:eastAsia="zh-CN"/>
        </w:rPr>
      </w:pPr>
      <w:r>
        <w:rPr>
          <w:rFonts w:hint="eastAsia"/>
          <w:sz w:val="28"/>
          <w:szCs w:val="28"/>
          <w:lang w:val="en-US" w:eastAsia="zh-CN"/>
        </w:rPr>
        <w:t>指标1：经费支出合规性 严格执行相关财经法规、制度</w:t>
      </w:r>
    </w:p>
    <w:p>
      <w:pPr>
        <w:numPr>
          <w:ilvl w:val="0"/>
          <w:numId w:val="0"/>
        </w:numPr>
        <w:ind w:firstLine="420"/>
        <w:jc w:val="both"/>
        <w:rPr>
          <w:rFonts w:hint="eastAsia" w:ascii="CESI黑体-GB2312" w:hAnsi="CESI黑体-GB2312" w:eastAsia="CESI黑体-GB2312" w:cs="CESI黑体-GB2312"/>
          <w:sz w:val="32"/>
          <w:szCs w:val="32"/>
          <w:lang w:val="en-US" w:eastAsia="zh-CN"/>
        </w:rPr>
      </w:pPr>
      <w:r>
        <w:rPr>
          <w:rFonts w:hint="eastAsia" w:ascii="CESI黑体-GB2312" w:hAnsi="CESI黑体-GB2312" w:eastAsia="CESI黑体-GB2312" w:cs="CESI黑体-GB2312"/>
          <w:sz w:val="32"/>
          <w:szCs w:val="32"/>
          <w:lang w:val="en-US" w:eastAsia="zh-CN"/>
        </w:rPr>
        <w:t>时效指标：</w:t>
      </w:r>
    </w:p>
    <w:p>
      <w:pPr>
        <w:numPr>
          <w:ilvl w:val="0"/>
          <w:numId w:val="0"/>
        </w:numPr>
        <w:ind w:firstLine="420"/>
        <w:jc w:val="both"/>
        <w:rPr>
          <w:rFonts w:hint="eastAsia"/>
          <w:sz w:val="28"/>
          <w:szCs w:val="28"/>
          <w:lang w:val="en-US" w:eastAsia="zh-CN"/>
        </w:rPr>
      </w:pPr>
      <w:r>
        <w:rPr>
          <w:rFonts w:hint="eastAsia"/>
          <w:sz w:val="28"/>
          <w:szCs w:val="28"/>
          <w:lang w:val="en-US" w:eastAsia="zh-CN"/>
        </w:rPr>
        <w:t>指标1：小麦“一喷三防”措施落实完成时限 2024/6/30前完成</w:t>
      </w:r>
    </w:p>
    <w:p>
      <w:pPr>
        <w:numPr>
          <w:ilvl w:val="0"/>
          <w:numId w:val="0"/>
        </w:numPr>
        <w:ind w:firstLine="420"/>
        <w:jc w:val="both"/>
        <w:rPr>
          <w:rFonts w:hint="default"/>
          <w:sz w:val="28"/>
          <w:szCs w:val="28"/>
          <w:lang w:val="en-US" w:eastAsia="zh-CN"/>
        </w:rPr>
      </w:pPr>
      <w:r>
        <w:rPr>
          <w:rFonts w:hint="eastAsia"/>
          <w:sz w:val="28"/>
          <w:szCs w:val="28"/>
          <w:lang w:val="en-US" w:eastAsia="zh-CN"/>
        </w:rPr>
        <w:t>按时完成</w:t>
      </w:r>
    </w:p>
    <w:p>
      <w:pPr>
        <w:numPr>
          <w:ilvl w:val="0"/>
          <w:numId w:val="0"/>
        </w:numPr>
        <w:ind w:firstLine="420"/>
        <w:jc w:val="both"/>
        <w:rPr>
          <w:rFonts w:hint="eastAsia" w:ascii="CESI黑体-GB2312" w:hAnsi="CESI黑体-GB2312" w:eastAsia="CESI黑体-GB2312" w:cs="CESI黑体-GB2312"/>
          <w:sz w:val="32"/>
          <w:szCs w:val="32"/>
          <w:lang w:val="en-US" w:eastAsia="zh-CN"/>
        </w:rPr>
      </w:pPr>
      <w:r>
        <w:rPr>
          <w:rFonts w:hint="eastAsia" w:ascii="CESI黑体-GB2312" w:hAnsi="CESI黑体-GB2312" w:eastAsia="CESI黑体-GB2312" w:cs="CESI黑体-GB2312"/>
          <w:sz w:val="32"/>
          <w:szCs w:val="32"/>
          <w:lang w:val="en-US" w:eastAsia="zh-CN"/>
        </w:rPr>
        <w:t>成本指标：</w:t>
      </w:r>
    </w:p>
    <w:p>
      <w:pPr>
        <w:numPr>
          <w:ilvl w:val="0"/>
          <w:numId w:val="0"/>
        </w:numPr>
        <w:ind w:firstLine="420"/>
        <w:jc w:val="both"/>
        <w:rPr>
          <w:rFonts w:hint="default"/>
          <w:sz w:val="28"/>
          <w:szCs w:val="28"/>
          <w:lang w:val="en-US" w:eastAsia="zh-CN"/>
        </w:rPr>
      </w:pPr>
      <w:r>
        <w:rPr>
          <w:rFonts w:hint="eastAsia"/>
          <w:sz w:val="28"/>
          <w:szCs w:val="28"/>
          <w:lang w:val="en-US" w:eastAsia="zh-CN"/>
        </w:rPr>
        <w:t>指标1：重点作物绿色高产高效项目区节本增效水平(%)</w:t>
      </w:r>
      <w:r>
        <w:rPr>
          <w:rFonts w:hint="eastAsia"/>
          <w:sz w:val="28"/>
          <w:szCs w:val="28"/>
          <w:lang w:val="en-US" w:eastAsia="zh-CN"/>
        </w:rPr>
        <w:tab/>
      </w:r>
      <w:r>
        <w:rPr>
          <w:rFonts w:hint="eastAsia"/>
          <w:sz w:val="28"/>
          <w:szCs w:val="28"/>
          <w:lang w:val="en-US" w:eastAsia="zh-CN"/>
        </w:rPr>
        <w:t>≥5</w:t>
      </w:r>
      <w:r>
        <w:rPr>
          <w:rFonts w:hint="eastAsia"/>
          <w:sz w:val="28"/>
          <w:szCs w:val="28"/>
          <w:lang w:val="en-US" w:eastAsia="zh-CN"/>
        </w:rPr>
        <w:tab/>
      </w:r>
      <w:r>
        <w:rPr>
          <w:rFonts w:hint="eastAsia"/>
          <w:sz w:val="28"/>
          <w:szCs w:val="28"/>
          <w:lang w:val="en-US" w:eastAsia="zh-CN"/>
        </w:rPr>
        <w:t>5</w:t>
      </w:r>
    </w:p>
    <w:p>
      <w:pPr>
        <w:numPr>
          <w:ilvl w:val="0"/>
          <w:numId w:val="0"/>
        </w:numPr>
        <w:ind w:firstLine="420"/>
        <w:jc w:val="both"/>
        <w:rPr>
          <w:rFonts w:hint="eastAsia" w:ascii="CESI黑体-GB2312" w:hAnsi="CESI黑体-GB2312" w:eastAsia="CESI黑体-GB2312" w:cs="CESI黑体-GB2312"/>
          <w:sz w:val="32"/>
          <w:szCs w:val="32"/>
          <w:lang w:val="en-US" w:eastAsia="zh-CN"/>
        </w:rPr>
      </w:pPr>
      <w:r>
        <w:rPr>
          <w:rFonts w:hint="eastAsia" w:ascii="CESI黑体-GB2312" w:hAnsi="CESI黑体-GB2312" w:eastAsia="CESI黑体-GB2312" w:cs="CESI黑体-GB2312"/>
          <w:sz w:val="32"/>
          <w:szCs w:val="32"/>
          <w:lang w:val="en-US" w:eastAsia="zh-CN"/>
        </w:rPr>
        <w:t>经济效益指标：</w:t>
      </w:r>
    </w:p>
    <w:p>
      <w:pPr>
        <w:numPr>
          <w:ilvl w:val="0"/>
          <w:numId w:val="0"/>
        </w:numPr>
        <w:ind w:firstLine="420"/>
        <w:jc w:val="both"/>
        <w:rPr>
          <w:rFonts w:hint="eastAsia"/>
          <w:sz w:val="28"/>
          <w:szCs w:val="28"/>
          <w:lang w:val="en-US" w:eastAsia="zh-CN"/>
        </w:rPr>
      </w:pPr>
      <w:r>
        <w:rPr>
          <w:rFonts w:hint="eastAsia"/>
          <w:sz w:val="28"/>
          <w:szCs w:val="28"/>
          <w:lang w:val="en-US" w:eastAsia="zh-CN"/>
        </w:rPr>
        <w:t>指标1：减少农民农药使用成本</w:t>
      </w:r>
      <w:r>
        <w:rPr>
          <w:rFonts w:hint="eastAsia"/>
          <w:sz w:val="28"/>
          <w:szCs w:val="28"/>
          <w:lang w:val="en-US" w:eastAsia="zh-CN"/>
        </w:rPr>
        <w:tab/>
      </w:r>
      <w:r>
        <w:rPr>
          <w:rFonts w:hint="eastAsia"/>
          <w:sz w:val="28"/>
          <w:szCs w:val="28"/>
          <w:lang w:val="en-US" w:eastAsia="zh-CN"/>
        </w:rPr>
        <w:tab/>
      </w:r>
      <w:r>
        <w:rPr>
          <w:rFonts w:hint="eastAsia"/>
          <w:sz w:val="28"/>
          <w:szCs w:val="28"/>
          <w:lang w:val="en-US" w:eastAsia="zh-CN"/>
        </w:rPr>
        <w:t>作用明显</w:t>
      </w:r>
      <w:r>
        <w:rPr>
          <w:rFonts w:hint="eastAsia"/>
          <w:sz w:val="28"/>
          <w:szCs w:val="28"/>
          <w:lang w:val="en-US" w:eastAsia="zh-CN"/>
        </w:rPr>
        <w:tab/>
      </w:r>
      <w:r>
        <w:rPr>
          <w:rFonts w:hint="eastAsia"/>
          <w:sz w:val="28"/>
          <w:szCs w:val="28"/>
          <w:lang w:val="en-US" w:eastAsia="zh-CN"/>
        </w:rPr>
        <w:t>作用明显</w:t>
      </w:r>
    </w:p>
    <w:p>
      <w:pPr>
        <w:numPr>
          <w:ilvl w:val="0"/>
          <w:numId w:val="0"/>
        </w:numPr>
        <w:ind w:firstLine="420"/>
        <w:jc w:val="both"/>
        <w:rPr>
          <w:rFonts w:hint="eastAsia" w:ascii="CESI黑体-GB2312" w:hAnsi="CESI黑体-GB2312" w:eastAsia="CESI黑体-GB2312" w:cs="CESI黑体-GB2312"/>
          <w:sz w:val="32"/>
          <w:szCs w:val="32"/>
          <w:lang w:val="en-US" w:eastAsia="zh-CN"/>
        </w:rPr>
      </w:pPr>
      <w:r>
        <w:rPr>
          <w:rFonts w:hint="eastAsia" w:ascii="CESI黑体-GB2312" w:hAnsi="CESI黑体-GB2312" w:eastAsia="CESI黑体-GB2312" w:cs="CESI黑体-GB2312"/>
          <w:sz w:val="32"/>
          <w:szCs w:val="32"/>
          <w:lang w:val="en-US" w:eastAsia="zh-CN"/>
        </w:rPr>
        <w:t>社会效益指标：</w:t>
      </w:r>
    </w:p>
    <w:p>
      <w:pPr>
        <w:numPr>
          <w:ilvl w:val="0"/>
          <w:numId w:val="0"/>
        </w:numPr>
        <w:ind w:firstLine="420"/>
        <w:jc w:val="both"/>
        <w:rPr>
          <w:rFonts w:hint="eastAsia"/>
          <w:sz w:val="28"/>
          <w:szCs w:val="28"/>
          <w:lang w:val="en-US" w:eastAsia="zh-CN"/>
        </w:rPr>
      </w:pPr>
      <w:r>
        <w:rPr>
          <w:rFonts w:hint="eastAsia"/>
          <w:sz w:val="28"/>
          <w:szCs w:val="28"/>
          <w:lang w:val="en-US" w:eastAsia="zh-CN"/>
        </w:rPr>
        <w:t>指标1：资金使用违规违纪问题</w:t>
      </w:r>
      <w:r>
        <w:rPr>
          <w:rFonts w:hint="eastAsia"/>
          <w:sz w:val="28"/>
          <w:szCs w:val="28"/>
          <w:lang w:val="en-US" w:eastAsia="zh-CN"/>
        </w:rPr>
        <w:tab/>
      </w:r>
      <w:r>
        <w:rPr>
          <w:rFonts w:hint="eastAsia"/>
          <w:sz w:val="28"/>
          <w:szCs w:val="28"/>
          <w:lang w:val="en-US" w:eastAsia="zh-CN"/>
        </w:rPr>
        <w:tab/>
      </w:r>
      <w:r>
        <w:rPr>
          <w:rFonts w:hint="eastAsia"/>
          <w:sz w:val="28"/>
          <w:szCs w:val="28"/>
          <w:lang w:val="en-US" w:eastAsia="zh-CN"/>
        </w:rPr>
        <w:t>无</w:t>
      </w:r>
      <w:r>
        <w:rPr>
          <w:rFonts w:hint="eastAsia"/>
          <w:sz w:val="28"/>
          <w:szCs w:val="28"/>
          <w:lang w:val="en-US" w:eastAsia="zh-CN"/>
        </w:rPr>
        <w:tab/>
      </w:r>
      <w:r>
        <w:rPr>
          <w:rFonts w:hint="eastAsia"/>
          <w:sz w:val="28"/>
          <w:szCs w:val="28"/>
          <w:lang w:val="en-US" w:eastAsia="zh-CN"/>
        </w:rPr>
        <w:t>无</w:t>
      </w:r>
    </w:p>
    <w:p>
      <w:pPr>
        <w:numPr>
          <w:ilvl w:val="0"/>
          <w:numId w:val="0"/>
        </w:numPr>
        <w:ind w:firstLine="420"/>
        <w:jc w:val="both"/>
        <w:rPr>
          <w:rFonts w:hint="eastAsia"/>
          <w:sz w:val="28"/>
          <w:szCs w:val="28"/>
          <w:lang w:val="en-US" w:eastAsia="zh-CN"/>
        </w:rPr>
      </w:pPr>
      <w:r>
        <w:rPr>
          <w:rFonts w:hint="eastAsia"/>
          <w:sz w:val="28"/>
          <w:szCs w:val="28"/>
          <w:lang w:val="en-US" w:eastAsia="zh-CN"/>
        </w:rPr>
        <w:t>指标2：集成推广绿色高质高效模式(套)</w:t>
      </w:r>
      <w:r>
        <w:rPr>
          <w:rFonts w:hint="eastAsia"/>
          <w:sz w:val="28"/>
          <w:szCs w:val="28"/>
          <w:lang w:val="en-US" w:eastAsia="zh-CN"/>
        </w:rPr>
        <w:tab/>
      </w:r>
      <w:r>
        <w:rPr>
          <w:rFonts w:hint="eastAsia"/>
          <w:sz w:val="28"/>
          <w:szCs w:val="28"/>
          <w:lang w:val="en-US" w:eastAsia="zh-CN"/>
        </w:rPr>
        <w:tab/>
      </w:r>
      <w:r>
        <w:rPr>
          <w:rFonts w:hint="eastAsia"/>
          <w:sz w:val="28"/>
          <w:szCs w:val="28"/>
          <w:lang w:val="en-US" w:eastAsia="zh-CN"/>
        </w:rPr>
        <w:t>1</w:t>
      </w:r>
      <w:r>
        <w:rPr>
          <w:rFonts w:hint="eastAsia"/>
          <w:sz w:val="28"/>
          <w:szCs w:val="28"/>
          <w:lang w:val="en-US" w:eastAsia="zh-CN"/>
        </w:rPr>
        <w:tab/>
      </w:r>
      <w:r>
        <w:rPr>
          <w:rFonts w:hint="eastAsia"/>
          <w:sz w:val="28"/>
          <w:szCs w:val="28"/>
          <w:lang w:val="en-US" w:eastAsia="zh-CN"/>
        </w:rPr>
        <w:t>1</w:t>
      </w:r>
    </w:p>
    <w:p>
      <w:pPr>
        <w:numPr>
          <w:ilvl w:val="0"/>
          <w:numId w:val="0"/>
        </w:numPr>
        <w:ind w:firstLine="420"/>
        <w:jc w:val="both"/>
        <w:rPr>
          <w:rFonts w:hint="eastAsia" w:ascii="CESI黑体-GB2312" w:hAnsi="CESI黑体-GB2312" w:eastAsia="CESI黑体-GB2312" w:cs="CESI黑体-GB2312"/>
          <w:sz w:val="32"/>
          <w:szCs w:val="32"/>
          <w:lang w:val="en-US" w:eastAsia="zh-CN"/>
        </w:rPr>
      </w:pPr>
      <w:r>
        <w:rPr>
          <w:rFonts w:hint="eastAsia" w:ascii="CESI黑体-GB2312" w:hAnsi="CESI黑体-GB2312" w:eastAsia="CESI黑体-GB2312" w:cs="CESI黑体-GB2312"/>
          <w:sz w:val="32"/>
          <w:szCs w:val="32"/>
          <w:lang w:val="en-US" w:eastAsia="zh-CN"/>
        </w:rPr>
        <w:t>生态效益指标：</w:t>
      </w:r>
    </w:p>
    <w:p>
      <w:pPr>
        <w:numPr>
          <w:ilvl w:val="0"/>
          <w:numId w:val="0"/>
        </w:numPr>
        <w:ind w:firstLine="420"/>
        <w:jc w:val="both"/>
        <w:rPr>
          <w:rFonts w:hint="eastAsia"/>
          <w:sz w:val="28"/>
          <w:szCs w:val="28"/>
          <w:lang w:val="en-US" w:eastAsia="zh-CN"/>
        </w:rPr>
      </w:pPr>
      <w:r>
        <w:rPr>
          <w:rFonts w:hint="eastAsia"/>
          <w:sz w:val="28"/>
          <w:szCs w:val="28"/>
          <w:lang w:val="en-US" w:eastAsia="zh-CN"/>
        </w:rPr>
        <w:t>指标1：减轻农药污染程度</w:t>
      </w:r>
      <w:r>
        <w:rPr>
          <w:rFonts w:hint="eastAsia"/>
          <w:sz w:val="28"/>
          <w:szCs w:val="28"/>
          <w:lang w:val="en-US" w:eastAsia="zh-CN"/>
        </w:rPr>
        <w:tab/>
      </w:r>
      <w:r>
        <w:rPr>
          <w:rFonts w:hint="eastAsia"/>
          <w:sz w:val="28"/>
          <w:szCs w:val="28"/>
          <w:lang w:val="en-US" w:eastAsia="zh-CN"/>
        </w:rPr>
        <w:tab/>
      </w:r>
      <w:r>
        <w:rPr>
          <w:rFonts w:hint="eastAsia"/>
          <w:sz w:val="28"/>
          <w:szCs w:val="28"/>
          <w:lang w:val="en-US" w:eastAsia="zh-CN"/>
        </w:rPr>
        <w:t xml:space="preserve">  作用明显</w:t>
      </w:r>
      <w:r>
        <w:rPr>
          <w:rFonts w:hint="eastAsia"/>
          <w:sz w:val="28"/>
          <w:szCs w:val="28"/>
          <w:lang w:val="en-US" w:eastAsia="zh-CN"/>
        </w:rPr>
        <w:tab/>
      </w:r>
      <w:r>
        <w:rPr>
          <w:rFonts w:hint="eastAsia"/>
          <w:sz w:val="28"/>
          <w:szCs w:val="28"/>
          <w:lang w:val="en-US" w:eastAsia="zh-CN"/>
        </w:rPr>
        <w:t xml:space="preserve">   作用明显</w:t>
      </w:r>
    </w:p>
    <w:p>
      <w:pPr>
        <w:numPr>
          <w:ilvl w:val="0"/>
          <w:numId w:val="0"/>
        </w:numPr>
        <w:ind w:firstLine="420"/>
        <w:jc w:val="both"/>
        <w:rPr>
          <w:rFonts w:hint="eastAsia" w:ascii="CESI黑体-GB2312" w:hAnsi="CESI黑体-GB2312" w:eastAsia="CESI黑体-GB2312" w:cs="CESI黑体-GB2312"/>
          <w:sz w:val="32"/>
          <w:szCs w:val="32"/>
          <w:lang w:val="en-US" w:eastAsia="zh-CN"/>
        </w:rPr>
      </w:pPr>
      <w:r>
        <w:rPr>
          <w:rFonts w:hint="eastAsia" w:ascii="CESI黑体-GB2312" w:hAnsi="CESI黑体-GB2312" w:eastAsia="CESI黑体-GB2312" w:cs="CESI黑体-GB2312"/>
          <w:sz w:val="32"/>
          <w:szCs w:val="32"/>
          <w:lang w:val="en-US" w:eastAsia="zh-CN"/>
        </w:rPr>
        <w:t>可持续影响指标：</w:t>
      </w:r>
    </w:p>
    <w:p>
      <w:pPr>
        <w:numPr>
          <w:ilvl w:val="0"/>
          <w:numId w:val="0"/>
        </w:numPr>
        <w:ind w:firstLine="420"/>
        <w:jc w:val="both"/>
        <w:rPr>
          <w:rFonts w:hint="eastAsia"/>
          <w:sz w:val="28"/>
          <w:szCs w:val="28"/>
          <w:lang w:val="en-US" w:eastAsia="zh-CN"/>
        </w:rPr>
      </w:pPr>
      <w:r>
        <w:rPr>
          <w:rFonts w:hint="eastAsia"/>
          <w:sz w:val="28"/>
          <w:szCs w:val="28"/>
          <w:lang w:val="en-US" w:eastAsia="zh-CN"/>
        </w:rPr>
        <w:t>指标1：为农民增收提供持续保障</w:t>
      </w:r>
      <w:r>
        <w:rPr>
          <w:rFonts w:hint="eastAsia"/>
          <w:sz w:val="28"/>
          <w:szCs w:val="28"/>
          <w:lang w:val="en-US" w:eastAsia="zh-CN"/>
        </w:rPr>
        <w:tab/>
      </w:r>
      <w:r>
        <w:rPr>
          <w:rFonts w:hint="eastAsia"/>
          <w:sz w:val="28"/>
          <w:szCs w:val="28"/>
          <w:lang w:val="en-US" w:eastAsia="zh-CN"/>
        </w:rPr>
        <w:t xml:space="preserve"> 作用明显</w:t>
      </w:r>
      <w:r>
        <w:rPr>
          <w:rFonts w:hint="eastAsia"/>
          <w:sz w:val="28"/>
          <w:szCs w:val="28"/>
          <w:lang w:val="en-US" w:eastAsia="zh-CN"/>
        </w:rPr>
        <w:tab/>
      </w:r>
      <w:r>
        <w:rPr>
          <w:rFonts w:hint="eastAsia"/>
          <w:sz w:val="28"/>
          <w:szCs w:val="28"/>
          <w:lang w:val="en-US" w:eastAsia="zh-CN"/>
        </w:rPr>
        <w:t>作用明显</w:t>
      </w:r>
    </w:p>
    <w:p>
      <w:pPr>
        <w:numPr>
          <w:ilvl w:val="0"/>
          <w:numId w:val="0"/>
        </w:numPr>
        <w:ind w:firstLine="420"/>
        <w:jc w:val="both"/>
        <w:rPr>
          <w:rFonts w:hint="eastAsia" w:ascii="CESI黑体-GB2312" w:hAnsi="CESI黑体-GB2312" w:eastAsia="CESI黑体-GB2312" w:cs="CESI黑体-GB2312"/>
          <w:sz w:val="32"/>
          <w:szCs w:val="32"/>
          <w:lang w:val="en-US" w:eastAsia="zh-CN"/>
        </w:rPr>
      </w:pPr>
      <w:r>
        <w:rPr>
          <w:rFonts w:hint="eastAsia" w:ascii="CESI黑体-GB2312" w:hAnsi="CESI黑体-GB2312" w:eastAsia="CESI黑体-GB2312" w:cs="CESI黑体-GB2312"/>
          <w:sz w:val="32"/>
          <w:szCs w:val="32"/>
          <w:lang w:val="en-US" w:eastAsia="zh-CN"/>
        </w:rPr>
        <w:t>服务对象满意度指标：</w:t>
      </w:r>
    </w:p>
    <w:p>
      <w:pPr>
        <w:numPr>
          <w:ilvl w:val="0"/>
          <w:numId w:val="0"/>
        </w:numPr>
        <w:ind w:firstLine="420"/>
        <w:jc w:val="both"/>
        <w:rPr>
          <w:rFonts w:hint="eastAsia"/>
          <w:sz w:val="28"/>
          <w:szCs w:val="28"/>
          <w:lang w:val="en-US" w:eastAsia="zh-CN"/>
        </w:rPr>
      </w:pPr>
      <w:r>
        <w:rPr>
          <w:rFonts w:hint="eastAsia"/>
          <w:sz w:val="28"/>
          <w:szCs w:val="28"/>
          <w:lang w:val="en-US" w:eastAsia="zh-CN"/>
        </w:rPr>
        <w:t>指标1：受益对象满意度(%)</w:t>
      </w:r>
      <w:r>
        <w:rPr>
          <w:rFonts w:hint="eastAsia"/>
          <w:sz w:val="28"/>
          <w:szCs w:val="28"/>
          <w:lang w:val="en-US" w:eastAsia="zh-CN"/>
        </w:rPr>
        <w:tab/>
      </w:r>
      <w:r>
        <w:rPr>
          <w:rFonts w:hint="eastAsia"/>
          <w:sz w:val="28"/>
          <w:szCs w:val="28"/>
          <w:lang w:val="en-US" w:eastAsia="zh-CN"/>
        </w:rPr>
        <w:tab/>
      </w:r>
      <w:r>
        <w:rPr>
          <w:rFonts w:hint="eastAsia"/>
          <w:sz w:val="28"/>
          <w:szCs w:val="28"/>
          <w:lang w:val="en-US" w:eastAsia="zh-CN"/>
        </w:rPr>
        <w:t>≥90</w:t>
      </w:r>
      <w:r>
        <w:rPr>
          <w:rFonts w:hint="eastAsia"/>
          <w:sz w:val="28"/>
          <w:szCs w:val="28"/>
          <w:lang w:val="en-US" w:eastAsia="zh-CN"/>
        </w:rPr>
        <w:tab/>
      </w:r>
      <w:r>
        <w:rPr>
          <w:rFonts w:hint="eastAsia"/>
          <w:sz w:val="28"/>
          <w:szCs w:val="28"/>
          <w:lang w:val="en-US" w:eastAsia="zh-CN"/>
        </w:rPr>
        <w:t>95</w:t>
      </w:r>
    </w:p>
    <w:p>
      <w:pPr>
        <w:numPr>
          <w:ilvl w:val="0"/>
          <w:numId w:val="0"/>
        </w:numPr>
        <w:ind w:firstLine="420"/>
        <w:jc w:val="both"/>
        <w:rPr>
          <w:rFonts w:hint="default"/>
          <w:sz w:val="28"/>
          <w:szCs w:val="28"/>
          <w:lang w:val="en-US" w:eastAsia="zh-CN"/>
        </w:rPr>
      </w:pPr>
      <w:r>
        <w:rPr>
          <w:rFonts w:hint="eastAsia"/>
          <w:sz w:val="28"/>
          <w:szCs w:val="28"/>
          <w:lang w:val="en-US" w:eastAsia="zh-CN"/>
        </w:rPr>
        <w:t>指标1：重点作物绿色高产高效项目区病虫害危害损失率(%)</w:t>
      </w:r>
      <w:r>
        <w:rPr>
          <w:rFonts w:hint="eastAsia"/>
          <w:sz w:val="28"/>
          <w:szCs w:val="28"/>
          <w:lang w:val="en-US" w:eastAsia="zh-CN"/>
        </w:rPr>
        <w:tab/>
      </w:r>
      <w:r>
        <w:rPr>
          <w:rFonts w:hint="eastAsia"/>
          <w:sz w:val="28"/>
          <w:szCs w:val="28"/>
          <w:lang w:val="en-US" w:eastAsia="zh-CN"/>
        </w:rPr>
        <w:tab/>
      </w:r>
      <w:r>
        <w:rPr>
          <w:rFonts w:hint="eastAsia"/>
          <w:sz w:val="28"/>
          <w:szCs w:val="28"/>
          <w:lang w:val="en-US" w:eastAsia="zh-CN"/>
        </w:rPr>
        <w:t xml:space="preserve">&lt;5 </w:t>
      </w:r>
      <w:r>
        <w:rPr>
          <w:rFonts w:hint="eastAsia"/>
          <w:sz w:val="28"/>
          <w:szCs w:val="28"/>
          <w:lang w:val="en-US" w:eastAsia="zh-CN"/>
        </w:rPr>
        <w:tab/>
      </w:r>
      <w:r>
        <w:rPr>
          <w:rFonts w:hint="eastAsia"/>
          <w:sz w:val="28"/>
          <w:szCs w:val="28"/>
          <w:lang w:val="en-US" w:eastAsia="zh-CN"/>
        </w:rPr>
        <w:t>3.24</w:t>
      </w:r>
    </w:p>
    <w:p>
      <w:pPr>
        <w:numPr>
          <w:ilvl w:val="0"/>
          <w:numId w:val="0"/>
        </w:numPr>
        <w:ind w:firstLine="420"/>
        <w:jc w:val="both"/>
        <w:rPr>
          <w:rFonts w:hint="eastAsia"/>
          <w:b/>
          <w:bCs/>
          <w:sz w:val="28"/>
          <w:szCs w:val="28"/>
          <w:lang w:val="en-US" w:eastAsia="zh-CN"/>
        </w:rPr>
      </w:pPr>
      <w:r>
        <w:rPr>
          <w:rFonts w:hint="eastAsia"/>
          <w:b/>
          <w:bCs/>
          <w:sz w:val="28"/>
          <w:szCs w:val="28"/>
          <w:lang w:val="en-US" w:eastAsia="zh-CN"/>
        </w:rPr>
        <w:t>三、偏离绩效目标的原因和下一步改进措施</w:t>
      </w:r>
    </w:p>
    <w:p>
      <w:pPr>
        <w:numPr>
          <w:ilvl w:val="0"/>
          <w:numId w:val="0"/>
        </w:numPr>
        <w:ind w:firstLine="420"/>
        <w:jc w:val="both"/>
        <w:rPr>
          <w:rFonts w:hint="eastAsia"/>
          <w:sz w:val="28"/>
          <w:szCs w:val="28"/>
          <w:lang w:val="en-US" w:eastAsia="zh-CN"/>
        </w:rPr>
      </w:pPr>
      <w:r>
        <w:rPr>
          <w:rFonts w:hint="eastAsia"/>
          <w:sz w:val="28"/>
          <w:szCs w:val="28"/>
          <w:lang w:val="en-US" w:eastAsia="zh-CN"/>
        </w:rPr>
        <w:t>项目已实施完成，因财政资金紧张资金暂未拨付。</w:t>
      </w:r>
    </w:p>
    <w:p>
      <w:pPr>
        <w:numPr>
          <w:ilvl w:val="0"/>
          <w:numId w:val="3"/>
        </w:numPr>
        <w:ind w:firstLine="420"/>
        <w:jc w:val="both"/>
        <w:rPr>
          <w:rFonts w:hint="default"/>
          <w:b/>
          <w:bCs/>
          <w:sz w:val="28"/>
          <w:szCs w:val="28"/>
          <w:lang w:val="en-US" w:eastAsia="zh-CN"/>
        </w:rPr>
      </w:pPr>
      <w:r>
        <w:rPr>
          <w:rFonts w:hint="eastAsia"/>
          <w:b/>
          <w:bCs/>
          <w:sz w:val="28"/>
          <w:szCs w:val="28"/>
          <w:lang w:val="en-US" w:eastAsia="zh-CN"/>
        </w:rPr>
        <w:t>绩效自评结果拟应用和公开情况</w:t>
      </w:r>
    </w:p>
    <w:p>
      <w:pPr>
        <w:numPr>
          <w:ilvl w:val="0"/>
          <w:numId w:val="0"/>
        </w:numPr>
        <w:ind w:firstLine="420"/>
        <w:jc w:val="both"/>
        <w:rPr>
          <w:rFonts w:hint="default"/>
          <w:sz w:val="28"/>
          <w:szCs w:val="28"/>
          <w:lang w:val="en-US" w:eastAsia="zh-CN"/>
        </w:rPr>
      </w:pPr>
      <w:r>
        <w:rPr>
          <w:rFonts w:hint="eastAsia"/>
          <w:sz w:val="28"/>
          <w:szCs w:val="28"/>
          <w:lang w:val="en-US" w:eastAsia="zh-CN"/>
        </w:rPr>
        <w:t>我单位按规定对上级转移支付资金项目开展绩效自评工作，绩效公开情况已在政府部门公开网站上公开。</w:t>
      </w:r>
    </w:p>
    <w:p>
      <w:pPr>
        <w:numPr>
          <w:ilvl w:val="0"/>
          <w:numId w:val="3"/>
        </w:numPr>
        <w:ind w:firstLine="420"/>
        <w:jc w:val="both"/>
        <w:rPr>
          <w:rFonts w:hint="default"/>
          <w:b/>
          <w:bCs/>
          <w:sz w:val="28"/>
          <w:szCs w:val="28"/>
          <w:lang w:val="en-US" w:eastAsia="zh-CN"/>
        </w:rPr>
      </w:pPr>
      <w:r>
        <w:rPr>
          <w:rFonts w:hint="eastAsia"/>
          <w:b/>
          <w:bCs/>
          <w:sz w:val="28"/>
          <w:szCs w:val="28"/>
          <w:lang w:val="en-US" w:eastAsia="zh-CN"/>
        </w:rPr>
        <w:t>其他需要说明的问题</w:t>
      </w:r>
    </w:p>
    <w:p>
      <w:pPr>
        <w:numPr>
          <w:ilvl w:val="0"/>
          <w:numId w:val="0"/>
        </w:numPr>
        <w:ind w:firstLine="420"/>
        <w:jc w:val="both"/>
        <w:rPr>
          <w:rFonts w:hint="eastAsia"/>
          <w:sz w:val="28"/>
          <w:szCs w:val="28"/>
          <w:highlight w:val="none"/>
          <w:lang w:val="en-US" w:eastAsia="zh-CN"/>
        </w:rPr>
      </w:pPr>
      <w:r>
        <w:rPr>
          <w:rFonts w:hint="eastAsia"/>
          <w:sz w:val="28"/>
          <w:szCs w:val="28"/>
          <w:highlight w:val="none"/>
          <w:lang w:val="en-US" w:eastAsia="zh-CN"/>
        </w:rPr>
        <w:t>无</w:t>
      </w:r>
    </w:p>
    <w:p>
      <w:pPr>
        <w:numPr>
          <w:ilvl w:val="0"/>
          <w:numId w:val="3"/>
        </w:numPr>
        <w:ind w:left="0" w:leftChars="0" w:firstLine="420" w:firstLineChars="0"/>
        <w:jc w:val="both"/>
        <w:rPr>
          <w:rFonts w:hint="eastAsia"/>
          <w:b/>
          <w:bCs/>
          <w:sz w:val="28"/>
          <w:szCs w:val="28"/>
          <w:lang w:val="en-US" w:eastAsia="zh-CN"/>
        </w:rPr>
      </w:pPr>
      <w:r>
        <w:rPr>
          <w:rFonts w:hint="eastAsia"/>
          <w:b/>
          <w:bCs/>
          <w:sz w:val="28"/>
          <w:szCs w:val="28"/>
          <w:lang w:val="en-US" w:eastAsia="zh-CN"/>
        </w:rPr>
        <w:t>附件</w:t>
      </w:r>
    </w:p>
    <w:tbl>
      <w:tblPr>
        <w:tblW w:w="925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528"/>
        <w:gridCol w:w="416"/>
        <w:gridCol w:w="416"/>
        <w:gridCol w:w="616"/>
        <w:gridCol w:w="3039"/>
        <w:gridCol w:w="2297"/>
        <w:gridCol w:w="616"/>
        <w:gridCol w:w="13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815" w:hRule="atLeast"/>
        </w:trPr>
        <w:tc>
          <w:tcPr>
            <w:tcW w:w="433" w:type="dxa"/>
            <w:tcBorders>
              <w:top w:val="nil"/>
              <w:left w:val="nil"/>
              <w:bottom w:val="nil"/>
              <w:right w:val="nil"/>
            </w:tcBorders>
            <w:shd w:val="clear"/>
            <w:noWrap/>
            <w:vAlign w:val="center"/>
          </w:tcPr>
          <w:p>
            <w:pPr>
              <w:keepNext w:val="0"/>
              <w:keepLines w:val="0"/>
              <w:widowControl/>
              <w:suppressLineNumbers w:val="0"/>
              <w:jc w:val="left"/>
              <w:textAlignment w:val="center"/>
              <w:rPr>
                <w:rFonts w:ascii="黑体" w:hAnsi="宋体" w:eastAsia="黑体" w:cs="黑体"/>
                <w:i w:val="0"/>
                <w:iCs w:val="0"/>
                <w:color w:val="000000"/>
                <w:sz w:val="24"/>
                <w:szCs w:val="24"/>
                <w:u w:val="none"/>
              </w:rPr>
            </w:pPr>
            <w:r>
              <w:rPr>
                <w:rFonts w:hint="default" w:ascii="黑体" w:hAnsi="宋体" w:eastAsia="黑体" w:cs="黑体"/>
                <w:i w:val="0"/>
                <w:iCs w:val="0"/>
                <w:color w:val="000000"/>
                <w:kern w:val="0"/>
                <w:sz w:val="24"/>
                <w:szCs w:val="24"/>
                <w:u w:val="none"/>
                <w:bdr w:val="none" w:color="auto" w:sz="0" w:space="0"/>
                <w:lang w:val="en-US" w:eastAsia="zh-CN" w:bidi="ar"/>
              </w:rPr>
              <w:t>附件2</w:t>
            </w:r>
          </w:p>
        </w:tc>
        <w:tc>
          <w:tcPr>
            <w:tcW w:w="479" w:type="dxa"/>
            <w:tcBorders>
              <w:top w:val="nil"/>
              <w:left w:val="nil"/>
              <w:bottom w:val="nil"/>
              <w:right w:val="nil"/>
            </w:tcBorders>
            <w:shd w:val="clear"/>
            <w:vAlign w:val="center"/>
          </w:tcPr>
          <w:p>
            <w:pPr>
              <w:rPr>
                <w:rFonts w:hint="default" w:ascii="黑体" w:hAnsi="宋体" w:eastAsia="黑体" w:cs="黑体"/>
                <w:i w:val="0"/>
                <w:iCs w:val="0"/>
                <w:color w:val="000000"/>
                <w:sz w:val="24"/>
                <w:szCs w:val="24"/>
                <w:u w:val="none"/>
              </w:rPr>
            </w:pPr>
          </w:p>
        </w:tc>
        <w:tc>
          <w:tcPr>
            <w:tcW w:w="646" w:type="dxa"/>
            <w:tcBorders>
              <w:top w:val="nil"/>
              <w:left w:val="nil"/>
              <w:bottom w:val="nil"/>
              <w:right w:val="nil"/>
            </w:tcBorders>
            <w:shd w:val="clear"/>
            <w:vAlign w:val="center"/>
          </w:tcPr>
          <w:p>
            <w:pPr>
              <w:rPr>
                <w:rFonts w:hint="default" w:ascii="黑体" w:hAnsi="宋体" w:eastAsia="黑体" w:cs="黑体"/>
                <w:i w:val="0"/>
                <w:iCs w:val="0"/>
                <w:color w:val="000000"/>
                <w:sz w:val="24"/>
                <w:szCs w:val="24"/>
                <w:u w:val="none"/>
              </w:rPr>
            </w:pPr>
          </w:p>
        </w:tc>
        <w:tc>
          <w:tcPr>
            <w:tcW w:w="1137" w:type="dxa"/>
            <w:tcBorders>
              <w:top w:val="nil"/>
              <w:left w:val="nil"/>
              <w:bottom w:val="nil"/>
              <w:right w:val="nil"/>
            </w:tcBorders>
            <w:shd w:val="clear"/>
            <w:vAlign w:val="center"/>
          </w:tcPr>
          <w:p>
            <w:pPr>
              <w:rPr>
                <w:rFonts w:hint="default" w:ascii="黑体" w:hAnsi="宋体" w:eastAsia="黑体" w:cs="黑体"/>
                <w:i w:val="0"/>
                <w:iCs w:val="0"/>
                <w:color w:val="000000"/>
                <w:sz w:val="24"/>
                <w:szCs w:val="24"/>
                <w:u w:val="none"/>
              </w:rPr>
            </w:pPr>
          </w:p>
        </w:tc>
        <w:tc>
          <w:tcPr>
            <w:tcW w:w="2400" w:type="dxa"/>
            <w:tcBorders>
              <w:top w:val="nil"/>
              <w:left w:val="nil"/>
              <w:bottom w:val="nil"/>
              <w:right w:val="nil"/>
            </w:tcBorders>
            <w:shd w:val="clear"/>
            <w:vAlign w:val="center"/>
          </w:tcPr>
          <w:p>
            <w:pPr>
              <w:rPr>
                <w:rFonts w:hint="eastAsia" w:ascii="宋体" w:hAnsi="宋体" w:eastAsia="宋体" w:cs="宋体"/>
                <w:i w:val="0"/>
                <w:iCs w:val="0"/>
                <w:color w:val="000000"/>
                <w:sz w:val="24"/>
                <w:szCs w:val="24"/>
                <w:u w:val="none"/>
              </w:rPr>
            </w:pPr>
          </w:p>
        </w:tc>
        <w:tc>
          <w:tcPr>
            <w:tcW w:w="1763" w:type="dxa"/>
            <w:tcBorders>
              <w:top w:val="nil"/>
              <w:left w:val="nil"/>
              <w:bottom w:val="nil"/>
              <w:right w:val="nil"/>
            </w:tcBorders>
            <w:shd w:val="clear"/>
            <w:vAlign w:val="center"/>
          </w:tcPr>
          <w:p>
            <w:pPr>
              <w:rPr>
                <w:rFonts w:hint="eastAsia" w:ascii="宋体" w:hAnsi="宋体" w:eastAsia="宋体" w:cs="宋体"/>
                <w:i w:val="0"/>
                <w:iCs w:val="0"/>
                <w:color w:val="000000"/>
                <w:sz w:val="24"/>
                <w:szCs w:val="24"/>
                <w:u w:val="none"/>
              </w:rPr>
            </w:pPr>
          </w:p>
        </w:tc>
        <w:tc>
          <w:tcPr>
            <w:tcW w:w="911" w:type="dxa"/>
            <w:tcBorders>
              <w:top w:val="nil"/>
              <w:left w:val="nil"/>
              <w:bottom w:val="nil"/>
              <w:right w:val="nil"/>
            </w:tcBorders>
            <w:shd w:val="clear"/>
            <w:vAlign w:val="center"/>
          </w:tcPr>
          <w:p>
            <w:pPr>
              <w:rPr>
                <w:rFonts w:hint="eastAsia" w:ascii="宋体" w:hAnsi="宋体" w:eastAsia="宋体" w:cs="宋体"/>
                <w:i w:val="0"/>
                <w:iCs w:val="0"/>
                <w:color w:val="000000"/>
                <w:sz w:val="24"/>
                <w:szCs w:val="24"/>
                <w:u w:val="none"/>
              </w:rPr>
            </w:pPr>
          </w:p>
        </w:tc>
        <w:tc>
          <w:tcPr>
            <w:tcW w:w="1487" w:type="dxa"/>
            <w:tcBorders>
              <w:top w:val="nil"/>
              <w:left w:val="nil"/>
              <w:bottom w:val="nil"/>
              <w:right w:val="nil"/>
            </w:tcBorders>
            <w:shd w:val="clear"/>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5" w:hRule="atLeast"/>
        </w:trPr>
        <w:tc>
          <w:tcPr>
            <w:tcW w:w="9256" w:type="dxa"/>
            <w:gridSpan w:val="8"/>
            <w:tcBorders>
              <w:top w:val="nil"/>
              <w:left w:val="nil"/>
              <w:bottom w:val="nil"/>
              <w:right w:val="nil"/>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bdr w:val="none" w:color="auto" w:sz="0" w:space="0"/>
                <w:lang w:val="en-US" w:eastAsia="zh-CN" w:bidi="ar"/>
              </w:rPr>
              <w:t>凤台县粮油生产保障资金项目绩效自评表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5" w:hRule="atLeast"/>
        </w:trPr>
        <w:tc>
          <w:tcPr>
            <w:tcW w:w="9256" w:type="dxa"/>
            <w:gridSpan w:val="8"/>
            <w:tcBorders>
              <w:top w:val="nil"/>
              <w:left w:val="nil"/>
              <w:bottom w:val="single" w:color="000000" w:sz="4" w:space="0"/>
              <w:right w:val="nil"/>
            </w:tcBorders>
            <w:shd w:val="clear"/>
            <w:vAlign w:val="top"/>
          </w:tcPr>
          <w:p>
            <w:pPr>
              <w:keepNext w:val="0"/>
              <w:keepLines w:val="0"/>
              <w:widowControl/>
              <w:suppressLineNumbers w:val="0"/>
              <w:jc w:val="center"/>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15" w:hRule="atLeast"/>
        </w:trPr>
        <w:tc>
          <w:tcPr>
            <w:tcW w:w="1558"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转移支付（项目）名称</w:t>
            </w:r>
          </w:p>
        </w:tc>
        <w:tc>
          <w:tcPr>
            <w:tcW w:w="7698"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粮油生产保障资金</w:t>
            </w:r>
            <w:bookmarkStart w:id="0" w:name="_GoBack"/>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9" w:hRule="atLeast"/>
        </w:trPr>
        <w:tc>
          <w:tcPr>
            <w:tcW w:w="1558"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中央主管部门</w:t>
            </w:r>
          </w:p>
        </w:tc>
        <w:tc>
          <w:tcPr>
            <w:tcW w:w="7698"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农业农村部、财政部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15" w:hRule="atLeast"/>
        </w:trPr>
        <w:tc>
          <w:tcPr>
            <w:tcW w:w="1558"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地方主管部门</w:t>
            </w:r>
          </w:p>
        </w:tc>
        <w:tc>
          <w:tcPr>
            <w:tcW w:w="3537"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省农业农村厅、省财政厅</w:t>
            </w:r>
          </w:p>
        </w:tc>
        <w:tc>
          <w:tcPr>
            <w:tcW w:w="17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资金使用单位</w:t>
            </w:r>
          </w:p>
        </w:tc>
        <w:tc>
          <w:tcPr>
            <w:tcW w:w="239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凤台县农业农村局、凤台县财政局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15" w:hRule="atLeast"/>
        </w:trPr>
        <w:tc>
          <w:tcPr>
            <w:tcW w:w="1558" w:type="dxa"/>
            <w:gridSpan w:val="3"/>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资金投入情况</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（万元）</w:t>
            </w:r>
          </w:p>
        </w:tc>
        <w:tc>
          <w:tcPr>
            <w:tcW w:w="1137"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0"/>
                <w:szCs w:val="20"/>
                <w:u w:val="none"/>
              </w:rPr>
            </w:pPr>
          </w:p>
        </w:tc>
        <w:tc>
          <w:tcPr>
            <w:tcW w:w="24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全年预算数（A）</w:t>
            </w:r>
          </w:p>
        </w:tc>
        <w:tc>
          <w:tcPr>
            <w:tcW w:w="2674"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全年执行数（B）</w:t>
            </w:r>
          </w:p>
        </w:tc>
        <w:tc>
          <w:tcPr>
            <w:tcW w:w="148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预算执行率（B/A</w:t>
            </w:r>
            <w:r>
              <w:rPr>
                <w:rStyle w:val="10"/>
                <w:bdr w:val="none" w:color="auto" w:sz="0" w:space="0"/>
                <w:lang w:val="en-US" w:eastAsia="zh-CN" w:bidi="ar"/>
              </w:rPr>
              <w:t>×</w:t>
            </w:r>
            <w:r>
              <w:rPr>
                <w:rStyle w:val="11"/>
                <w:bdr w:val="none" w:color="auto" w:sz="0" w:space="0"/>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15" w:hRule="atLeast"/>
        </w:trPr>
        <w:tc>
          <w:tcPr>
            <w:tcW w:w="1558" w:type="dxa"/>
            <w:gridSpan w:val="3"/>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13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年度资金总额：</w:t>
            </w:r>
          </w:p>
        </w:tc>
        <w:tc>
          <w:tcPr>
            <w:tcW w:w="24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716</w:t>
            </w:r>
          </w:p>
        </w:tc>
        <w:tc>
          <w:tcPr>
            <w:tcW w:w="2674"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48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15" w:hRule="atLeast"/>
        </w:trPr>
        <w:tc>
          <w:tcPr>
            <w:tcW w:w="1558" w:type="dxa"/>
            <w:gridSpan w:val="3"/>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13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其中：中央财政资金</w:t>
            </w:r>
          </w:p>
        </w:tc>
        <w:tc>
          <w:tcPr>
            <w:tcW w:w="24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华文楷体" w:hAnsi="华文楷体" w:eastAsia="华文楷体" w:cs="华文楷体"/>
                <w:i w:val="0"/>
                <w:iCs w:val="0"/>
                <w:color w:val="000000"/>
                <w:sz w:val="20"/>
                <w:szCs w:val="20"/>
                <w:u w:val="none"/>
              </w:rPr>
            </w:pPr>
            <w:r>
              <w:rPr>
                <w:rFonts w:hint="eastAsia" w:ascii="华文楷体" w:hAnsi="华文楷体" w:eastAsia="华文楷体" w:cs="华文楷体"/>
                <w:i w:val="0"/>
                <w:iCs w:val="0"/>
                <w:color w:val="000000"/>
                <w:kern w:val="0"/>
                <w:sz w:val="20"/>
                <w:szCs w:val="20"/>
                <w:u w:val="none"/>
                <w:bdr w:val="none" w:color="auto" w:sz="0" w:space="0"/>
                <w:lang w:val="en-US" w:eastAsia="zh-CN" w:bidi="ar"/>
              </w:rPr>
              <w:t>716</w:t>
            </w:r>
          </w:p>
        </w:tc>
        <w:tc>
          <w:tcPr>
            <w:tcW w:w="2674"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48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15" w:hRule="atLeast"/>
        </w:trPr>
        <w:tc>
          <w:tcPr>
            <w:tcW w:w="1558" w:type="dxa"/>
            <w:gridSpan w:val="3"/>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13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地方资金</w:t>
            </w:r>
          </w:p>
        </w:tc>
        <w:tc>
          <w:tcPr>
            <w:tcW w:w="240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2674"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487" w:type="dxa"/>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15" w:hRule="atLeast"/>
        </w:trPr>
        <w:tc>
          <w:tcPr>
            <w:tcW w:w="1558" w:type="dxa"/>
            <w:gridSpan w:val="3"/>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13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w:t>
            </w:r>
            <w:r>
              <w:rPr>
                <w:rFonts w:hint="eastAsia" w:ascii="宋体" w:hAnsi="宋体" w:eastAsia="宋体" w:cs="宋体"/>
                <w:i w:val="0"/>
                <w:iCs w:val="0"/>
                <w:color w:val="000000"/>
                <w:kern w:val="0"/>
                <w:sz w:val="20"/>
                <w:szCs w:val="20"/>
                <w:u w:val="none"/>
                <w:bdr w:val="none" w:color="auto" w:sz="0" w:space="0"/>
                <w:lang w:val="en-US" w:eastAsia="zh-CN" w:bidi="ar"/>
              </w:rPr>
              <w:t xml:space="preserve">     其他资金</w:t>
            </w:r>
          </w:p>
        </w:tc>
        <w:tc>
          <w:tcPr>
            <w:tcW w:w="240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2674"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487" w:type="dxa"/>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1558" w:type="dxa"/>
            <w:gridSpan w:val="3"/>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资金管理情况</w:t>
            </w:r>
          </w:p>
        </w:tc>
        <w:tc>
          <w:tcPr>
            <w:tcW w:w="1137"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0"/>
                <w:szCs w:val="20"/>
                <w:u w:val="none"/>
              </w:rPr>
            </w:pPr>
          </w:p>
        </w:tc>
        <w:tc>
          <w:tcPr>
            <w:tcW w:w="4163"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情况说明</w:t>
            </w:r>
          </w:p>
        </w:tc>
        <w:tc>
          <w:tcPr>
            <w:tcW w:w="239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存在问题和改进措施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76" w:hRule="atLeast"/>
        </w:trPr>
        <w:tc>
          <w:tcPr>
            <w:tcW w:w="1558" w:type="dxa"/>
            <w:gridSpan w:val="3"/>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13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分配科学性</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严格按照转移支付管理制度及资金管理办法规定的范围和标准分配资金。</w:t>
            </w:r>
          </w:p>
        </w:tc>
        <w:tc>
          <w:tcPr>
            <w:tcW w:w="239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15" w:hRule="atLeast"/>
        </w:trPr>
        <w:tc>
          <w:tcPr>
            <w:tcW w:w="1558" w:type="dxa"/>
            <w:gridSpan w:val="3"/>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13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下达及时性</w:t>
            </w:r>
          </w:p>
        </w:tc>
        <w:tc>
          <w:tcPr>
            <w:tcW w:w="4163"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严格按照预算法及其实施条例、转移支付管理制度规定以及资金管理办法规定的时限要求分解下达资金。</w:t>
            </w:r>
          </w:p>
        </w:tc>
        <w:tc>
          <w:tcPr>
            <w:tcW w:w="239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89" w:hRule="atLeast"/>
        </w:trPr>
        <w:tc>
          <w:tcPr>
            <w:tcW w:w="1558" w:type="dxa"/>
            <w:gridSpan w:val="3"/>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13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拨付合规性</w:t>
            </w:r>
          </w:p>
        </w:tc>
        <w:tc>
          <w:tcPr>
            <w:tcW w:w="4163"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严格按照国库集中支付制度有关规定支付资金，未出现违规将资金从国库转入财政专户或支付到预算单位实有资金账户等问题。</w:t>
            </w:r>
          </w:p>
        </w:tc>
        <w:tc>
          <w:tcPr>
            <w:tcW w:w="239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15" w:hRule="atLeast"/>
        </w:trPr>
        <w:tc>
          <w:tcPr>
            <w:tcW w:w="1558" w:type="dxa"/>
            <w:gridSpan w:val="3"/>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13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使用规范性</w:t>
            </w:r>
          </w:p>
        </w:tc>
        <w:tc>
          <w:tcPr>
            <w:tcW w:w="4163"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严格按照下达预算的科目和项目执行，未出现截留、挤占、挪用或擅自调整等问题。</w:t>
            </w:r>
          </w:p>
        </w:tc>
        <w:tc>
          <w:tcPr>
            <w:tcW w:w="239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40" w:hRule="atLeast"/>
        </w:trPr>
        <w:tc>
          <w:tcPr>
            <w:tcW w:w="1558" w:type="dxa"/>
            <w:gridSpan w:val="3"/>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13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执行准确性</w:t>
            </w:r>
          </w:p>
        </w:tc>
        <w:tc>
          <w:tcPr>
            <w:tcW w:w="4163"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按照上级下达和本级预算安排的金额执行。</w:t>
            </w:r>
          </w:p>
        </w:tc>
        <w:tc>
          <w:tcPr>
            <w:tcW w:w="239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15" w:hRule="atLeast"/>
        </w:trPr>
        <w:tc>
          <w:tcPr>
            <w:tcW w:w="1558" w:type="dxa"/>
            <w:gridSpan w:val="3"/>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13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预算绩效管理情况</w:t>
            </w:r>
          </w:p>
        </w:tc>
        <w:tc>
          <w:tcPr>
            <w:tcW w:w="4163"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按照下达的绩效目标，开展绩效监控和绩效评价。</w:t>
            </w:r>
          </w:p>
        </w:tc>
        <w:tc>
          <w:tcPr>
            <w:tcW w:w="239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15" w:hRule="atLeast"/>
        </w:trPr>
        <w:tc>
          <w:tcPr>
            <w:tcW w:w="1558" w:type="dxa"/>
            <w:gridSpan w:val="3"/>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13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支出责任履行情况</w:t>
            </w:r>
          </w:p>
        </w:tc>
        <w:tc>
          <w:tcPr>
            <w:tcW w:w="4163"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按照财政事权和支出责任划分有关规定，足额安排资金履行本级支出责任。</w:t>
            </w:r>
          </w:p>
        </w:tc>
        <w:tc>
          <w:tcPr>
            <w:tcW w:w="239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3" w:hRule="atLeast"/>
        </w:trPr>
        <w:tc>
          <w:tcPr>
            <w:tcW w:w="433" w:type="dxa"/>
            <w:vMerge w:val="restart"/>
            <w:tcBorders>
              <w:top w:val="nil"/>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总体目标完成情况</w:t>
            </w:r>
          </w:p>
        </w:tc>
        <w:tc>
          <w:tcPr>
            <w:tcW w:w="4662" w:type="dxa"/>
            <w:gridSpan w:val="4"/>
            <w:tcBorders>
              <w:top w:val="nil"/>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总体目标</w:t>
            </w:r>
          </w:p>
        </w:tc>
        <w:tc>
          <w:tcPr>
            <w:tcW w:w="4161"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全年实际完成情况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118" w:hRule="atLeast"/>
        </w:trPr>
        <w:tc>
          <w:tcPr>
            <w:tcW w:w="433" w:type="dxa"/>
            <w:vMerge w:val="continue"/>
            <w:tcBorders>
              <w:top w:val="nil"/>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4662"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以提高小麦单产为主攻方向，发挥示范主体引领作用，优化产业结构，开展小麦赤霉病全覆盖，提高防控效果，确保午季小麦产量和质量。</w:t>
            </w:r>
          </w:p>
        </w:tc>
        <w:tc>
          <w:tcPr>
            <w:tcW w:w="4161"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安排项目资金用于小麦药剂拌种和化学封闭除草两个关键环节，开展小麦绿色防控区建设，完成小麦赤霉病全覆盖统防统治。项目已实施完成，因财政资金紧张资金暂未拨付。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220" w:hRule="atLeast"/>
        </w:trPr>
        <w:tc>
          <w:tcPr>
            <w:tcW w:w="433" w:type="dxa"/>
            <w:vMerge w:val="restart"/>
            <w:tcBorders>
              <w:top w:val="single" w:color="000000" w:sz="4" w:space="0"/>
              <w:left w:val="single" w:color="000000" w:sz="4" w:space="0"/>
              <w:bottom w:val="single" w:color="000000" w:sz="4" w:space="0"/>
              <w:right w:val="single" w:color="000000" w:sz="4" w:space="0"/>
            </w:tcBorders>
            <w:shd w:val="clear"/>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绩效指标</w:t>
            </w:r>
          </w:p>
        </w:tc>
        <w:tc>
          <w:tcPr>
            <w:tcW w:w="47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一级</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指标</w:t>
            </w:r>
          </w:p>
        </w:tc>
        <w:tc>
          <w:tcPr>
            <w:tcW w:w="64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二级指标</w:t>
            </w:r>
          </w:p>
        </w:tc>
        <w:tc>
          <w:tcPr>
            <w:tcW w:w="3537"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三级指标</w:t>
            </w:r>
          </w:p>
        </w:tc>
        <w:tc>
          <w:tcPr>
            <w:tcW w:w="17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指标值</w:t>
            </w:r>
          </w:p>
        </w:tc>
        <w:tc>
          <w:tcPr>
            <w:tcW w:w="91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全年实际完成值</w:t>
            </w:r>
          </w:p>
        </w:tc>
        <w:tc>
          <w:tcPr>
            <w:tcW w:w="148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未完成原因和改进措施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53"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79"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产</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出</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指</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标</w:t>
            </w:r>
          </w:p>
        </w:tc>
        <w:tc>
          <w:tcPr>
            <w:tcW w:w="646"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数量指标</w:t>
            </w:r>
          </w:p>
        </w:tc>
        <w:tc>
          <w:tcPr>
            <w:tcW w:w="3537"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大豆玉米小麦油菜单产提升整建制推进县数量(个)</w:t>
            </w:r>
          </w:p>
        </w:tc>
        <w:tc>
          <w:tcPr>
            <w:tcW w:w="17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91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148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3"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79"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64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3537" w:type="dxa"/>
            <w:gridSpan w:val="2"/>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0"/>
                <w:szCs w:val="20"/>
                <w:u w:val="none"/>
              </w:rPr>
            </w:pPr>
          </w:p>
        </w:tc>
        <w:tc>
          <w:tcPr>
            <w:tcW w:w="1763"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911"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48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3"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79"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64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3537" w:type="dxa"/>
            <w:gridSpan w:val="2"/>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0"/>
                <w:szCs w:val="20"/>
                <w:u w:val="none"/>
              </w:rPr>
            </w:pPr>
          </w:p>
        </w:tc>
        <w:tc>
          <w:tcPr>
            <w:tcW w:w="1763"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911"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48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18"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79"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646"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质量指标</w:t>
            </w:r>
          </w:p>
        </w:tc>
        <w:tc>
          <w:tcPr>
            <w:tcW w:w="0" w:type="auto"/>
            <w:gridSpan w:val="2"/>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经费支出合规性</w:t>
            </w:r>
          </w:p>
        </w:tc>
        <w:tc>
          <w:tcPr>
            <w:tcW w:w="1763" w:type="dxa"/>
            <w:tcBorders>
              <w:top w:val="nil"/>
              <w:left w:val="nil"/>
              <w:bottom w:val="nil"/>
              <w:right w:val="nil"/>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严格执行相关财经法规、制度</w:t>
            </w:r>
          </w:p>
        </w:tc>
        <w:tc>
          <w:tcPr>
            <w:tcW w:w="911" w:type="dxa"/>
            <w:tcBorders>
              <w:top w:val="nil"/>
              <w:left w:val="nil"/>
              <w:bottom w:val="nil"/>
              <w:right w:val="nil"/>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严格执行相关财经法规、制度</w:t>
            </w:r>
          </w:p>
        </w:tc>
        <w:tc>
          <w:tcPr>
            <w:tcW w:w="148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3"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79"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64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3537"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763"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911"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48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3"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79"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64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3537"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763"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911"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48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15"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79"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646"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时效指标</w:t>
            </w:r>
          </w:p>
        </w:tc>
        <w:tc>
          <w:tcPr>
            <w:tcW w:w="3537"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小麦“一喷三防”措施落实完成时限</w:t>
            </w:r>
          </w:p>
        </w:tc>
        <w:tc>
          <w:tcPr>
            <w:tcW w:w="17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2024年6月30日</w:t>
            </w:r>
          </w:p>
        </w:tc>
        <w:tc>
          <w:tcPr>
            <w:tcW w:w="91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2024年6月30日</w:t>
            </w:r>
          </w:p>
        </w:tc>
        <w:tc>
          <w:tcPr>
            <w:tcW w:w="148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3"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79"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64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3537"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763"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911"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48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3"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79"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64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3537"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763"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911"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48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15"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79"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646"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成本指标</w:t>
            </w:r>
          </w:p>
        </w:tc>
        <w:tc>
          <w:tcPr>
            <w:tcW w:w="3537"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重点作物绿色高产高效项目区节本增效</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水平(%)</w:t>
            </w:r>
          </w:p>
        </w:tc>
        <w:tc>
          <w:tcPr>
            <w:tcW w:w="17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w:t>
            </w:r>
          </w:p>
        </w:tc>
        <w:tc>
          <w:tcPr>
            <w:tcW w:w="91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w:t>
            </w:r>
          </w:p>
        </w:tc>
        <w:tc>
          <w:tcPr>
            <w:tcW w:w="148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3"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79"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64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3537"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763"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911"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48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3"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79"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64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3537"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763"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911"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48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3"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79"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效</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益</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指</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标</w:t>
            </w:r>
          </w:p>
        </w:tc>
        <w:tc>
          <w:tcPr>
            <w:tcW w:w="646"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经济效益</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指标</w:t>
            </w:r>
          </w:p>
        </w:tc>
        <w:tc>
          <w:tcPr>
            <w:tcW w:w="3537"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减少农民农药使用成本</w:t>
            </w:r>
          </w:p>
        </w:tc>
        <w:tc>
          <w:tcPr>
            <w:tcW w:w="17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明显</w:t>
            </w:r>
          </w:p>
        </w:tc>
        <w:tc>
          <w:tcPr>
            <w:tcW w:w="91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明显</w:t>
            </w:r>
          </w:p>
        </w:tc>
        <w:tc>
          <w:tcPr>
            <w:tcW w:w="148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3"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79"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64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3537"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763"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911"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48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3"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79"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64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3537"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763"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911"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48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3"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79"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646"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社会效益</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指标</w:t>
            </w:r>
          </w:p>
        </w:tc>
        <w:tc>
          <w:tcPr>
            <w:tcW w:w="3537"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集成推广绿色高质高效模式(套)</w:t>
            </w:r>
          </w:p>
        </w:tc>
        <w:tc>
          <w:tcPr>
            <w:tcW w:w="17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91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148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3"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79"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64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3537"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资金使用重大违规违纪问题</w:t>
            </w:r>
          </w:p>
        </w:tc>
        <w:tc>
          <w:tcPr>
            <w:tcW w:w="17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无</w:t>
            </w:r>
          </w:p>
        </w:tc>
        <w:tc>
          <w:tcPr>
            <w:tcW w:w="91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无</w:t>
            </w:r>
          </w:p>
        </w:tc>
        <w:tc>
          <w:tcPr>
            <w:tcW w:w="148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3"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79"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64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3537"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763"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911"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48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3"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79"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646"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生态效益</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指标</w:t>
            </w:r>
          </w:p>
        </w:tc>
        <w:tc>
          <w:tcPr>
            <w:tcW w:w="3537"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减轻农药污染程度</w:t>
            </w:r>
          </w:p>
        </w:tc>
        <w:tc>
          <w:tcPr>
            <w:tcW w:w="17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明显</w:t>
            </w:r>
          </w:p>
        </w:tc>
        <w:tc>
          <w:tcPr>
            <w:tcW w:w="91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明显</w:t>
            </w:r>
          </w:p>
        </w:tc>
        <w:tc>
          <w:tcPr>
            <w:tcW w:w="148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3"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79"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64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3537"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763"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911"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48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3"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79"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64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3537"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763"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911"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48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3"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79"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646"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可持续影响指标</w:t>
            </w:r>
          </w:p>
        </w:tc>
        <w:tc>
          <w:tcPr>
            <w:tcW w:w="3537"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为农民增收提供持续保障</w:t>
            </w:r>
          </w:p>
        </w:tc>
        <w:tc>
          <w:tcPr>
            <w:tcW w:w="17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明显</w:t>
            </w:r>
          </w:p>
        </w:tc>
        <w:tc>
          <w:tcPr>
            <w:tcW w:w="91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明显</w:t>
            </w:r>
          </w:p>
        </w:tc>
        <w:tc>
          <w:tcPr>
            <w:tcW w:w="148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3"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79"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64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3537"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763"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911"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48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3"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79"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64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3537"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763"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911"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48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15"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79"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满意度指标</w:t>
            </w:r>
          </w:p>
        </w:tc>
        <w:tc>
          <w:tcPr>
            <w:tcW w:w="646"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服务对象</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满意度指标</w:t>
            </w:r>
          </w:p>
        </w:tc>
        <w:tc>
          <w:tcPr>
            <w:tcW w:w="3537"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重点作物绿色高产高效项目区病虫害危害损失率(%)</w:t>
            </w:r>
          </w:p>
        </w:tc>
        <w:tc>
          <w:tcPr>
            <w:tcW w:w="17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&lt;5</w:t>
            </w:r>
          </w:p>
        </w:tc>
        <w:tc>
          <w:tcPr>
            <w:tcW w:w="91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3.24</w:t>
            </w:r>
          </w:p>
        </w:tc>
        <w:tc>
          <w:tcPr>
            <w:tcW w:w="148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3"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79"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64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3537"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指导服务对象满意度(%)</w:t>
            </w:r>
          </w:p>
        </w:tc>
        <w:tc>
          <w:tcPr>
            <w:tcW w:w="17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≥90</w:t>
            </w:r>
          </w:p>
        </w:tc>
        <w:tc>
          <w:tcPr>
            <w:tcW w:w="91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95</w:t>
            </w:r>
          </w:p>
        </w:tc>
        <w:tc>
          <w:tcPr>
            <w:tcW w:w="148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96"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79"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64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3537"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763"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0"/>
                <w:szCs w:val="20"/>
                <w:u w:val="none"/>
              </w:rPr>
            </w:pPr>
          </w:p>
        </w:tc>
        <w:tc>
          <w:tcPr>
            <w:tcW w:w="911"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0"/>
                <w:szCs w:val="20"/>
                <w:u w:val="none"/>
              </w:rPr>
            </w:pPr>
          </w:p>
        </w:tc>
        <w:tc>
          <w:tcPr>
            <w:tcW w:w="148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15" w:hRule="atLeast"/>
        </w:trPr>
        <w:tc>
          <w:tcPr>
            <w:tcW w:w="43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说明</w:t>
            </w:r>
          </w:p>
        </w:tc>
        <w:tc>
          <w:tcPr>
            <w:tcW w:w="8823" w:type="dxa"/>
            <w:gridSpan w:val="7"/>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34" w:hRule="atLeast"/>
        </w:trPr>
        <w:tc>
          <w:tcPr>
            <w:tcW w:w="9256" w:type="dxa"/>
            <w:gridSpan w:val="8"/>
            <w:tcBorders>
              <w:top w:val="nil"/>
              <w:left w:val="nil"/>
              <w:bottom w:val="nil"/>
              <w:right w:val="nil"/>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注：“资金拨付符合国库集中支付制度 等有关规定”、“资金严格按下达预算的科目和项目执行，未出现截留、挤占、挪用或擅自调整等问题”</w:t>
            </w:r>
          </w:p>
        </w:tc>
      </w:tr>
    </w:tbl>
    <w:p>
      <w:pPr>
        <w:numPr>
          <w:ilvl w:val="0"/>
          <w:numId w:val="0"/>
        </w:numPr>
        <w:ind w:left="420" w:leftChars="0"/>
        <w:jc w:val="both"/>
        <w:rPr>
          <w:rFonts w:hint="default"/>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6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ESI黑体-GB2312">
    <w:panose1 w:val="02000500000000000000"/>
    <w:charset w:val="86"/>
    <w:family w:val="auto"/>
    <w:pitch w:val="default"/>
    <w:sig w:usb0="800002BF" w:usb1="184F6CF8" w:usb2="00000012" w:usb3="00000000" w:csb0="0004000F" w:csb1="00000000"/>
  </w:font>
  <w:font w:name="方正黑体_GBK">
    <w:panose1 w:val="02000000000000000000"/>
    <w:charset w:val="86"/>
    <w:family w:val="auto"/>
    <w:pitch w:val="default"/>
    <w:sig w:usb0="00000001" w:usb1="08000000" w:usb2="00000000" w:usb3="00000000" w:csb0="00040000" w:csb1="00000000"/>
  </w:font>
  <w:font w:name="sans-serif">
    <w:altName w:val="Quicksand Light"/>
    <w:panose1 w:val="00000000000000000000"/>
    <w:charset w:val="00"/>
    <w:family w:val="auto"/>
    <w:pitch w:val="default"/>
    <w:sig w:usb0="00000000" w:usb1="00000000" w:usb2="00000000" w:usb3="00000000" w:csb0="00000000" w:csb1="00000000"/>
  </w:font>
  <w:font w:name="Quicksand Light">
    <w:panose1 w:val="00000400000000000000"/>
    <w:charset w:val="00"/>
    <w:family w:val="auto"/>
    <w:pitch w:val="default"/>
    <w:sig w:usb0="2000000F" w:usb1="00000001" w:usb2="00000000" w:usb3="00000000" w:csb0="20000193" w:csb1="00000000"/>
  </w:font>
  <w:font w:name="方正仿宋_GBK">
    <w:panose1 w:val="02000000000000000000"/>
    <w:charset w:val="86"/>
    <w:family w:val="auto"/>
    <w:pitch w:val="default"/>
    <w:sig w:usb0="00000001" w:usb1="08000000" w:usb2="00000000" w:usb3="00000000" w:csb0="00040000" w:csb1="00000000"/>
  </w:font>
  <w:font w:name="黑体">
    <w:altName w:val="方正黑体_GBK"/>
    <w:panose1 w:val="00000000000000000000"/>
    <w:charset w:val="00"/>
    <w:family w:val="auto"/>
    <w:pitch w:val="default"/>
    <w:sig w:usb0="00000000" w:usb1="00000000" w:usb2="00000000" w:usb3="00000000" w:csb0="00000000" w:csb1="00000000"/>
  </w:font>
  <w:font w:name="汉仪细圆B5">
    <w:altName w:val="Quicksand Light"/>
    <w:panose1 w:val="00000000000000000000"/>
    <w:charset w:val="00"/>
    <w:family w:val="auto"/>
    <w:pitch w:val="default"/>
    <w:sig w:usb0="00000000" w:usb1="00000000" w:usb2="00000000" w:usb3="00000000" w:csb0="00000000" w:csb1="00000000"/>
  </w:font>
  <w:font w:name="华文楷体">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A83B35"/>
    <w:multiLevelType w:val="singleLevel"/>
    <w:tmpl w:val="FBA83B35"/>
    <w:lvl w:ilvl="0" w:tentative="0">
      <w:start w:val="1"/>
      <w:numFmt w:val="chineseCounting"/>
      <w:suff w:val="nothing"/>
      <w:lvlText w:val="%1、"/>
      <w:lvlJc w:val="left"/>
      <w:pPr>
        <w:ind w:left="420" w:leftChars="0" w:firstLine="0" w:firstLineChars="0"/>
      </w:pPr>
      <w:rPr>
        <w:rFonts w:hint="eastAsia"/>
        <w:b/>
        <w:bCs/>
      </w:rPr>
    </w:lvl>
  </w:abstractNum>
  <w:abstractNum w:abstractNumId="1">
    <w:nsid w:val="FD3AE7DD"/>
    <w:multiLevelType w:val="singleLevel"/>
    <w:tmpl w:val="FD3AE7DD"/>
    <w:lvl w:ilvl="0" w:tentative="0">
      <w:start w:val="2"/>
      <w:numFmt w:val="chineseCounting"/>
      <w:suff w:val="nothing"/>
      <w:lvlText w:val="（%1）"/>
      <w:lvlJc w:val="left"/>
      <w:rPr>
        <w:rFonts w:hint="eastAsia"/>
      </w:rPr>
    </w:lvl>
  </w:abstractNum>
  <w:abstractNum w:abstractNumId="2">
    <w:nsid w:val="39DF73BF"/>
    <w:multiLevelType w:val="singleLevel"/>
    <w:tmpl w:val="39DF73BF"/>
    <w:lvl w:ilvl="0" w:tentative="0">
      <w:start w:val="4"/>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5MmVkZmVmNmQ5ODhkYThhNzYxMTkyY2VhOWIwYjIifQ=="/>
  </w:docVars>
  <w:rsids>
    <w:rsidRoot w:val="31F4292D"/>
    <w:rsid w:val="03B48C53"/>
    <w:rsid w:val="0F7468E2"/>
    <w:rsid w:val="157341E8"/>
    <w:rsid w:val="1FFDC3FC"/>
    <w:rsid w:val="23FD0810"/>
    <w:rsid w:val="2DDBA24D"/>
    <w:rsid w:val="2F0F240C"/>
    <w:rsid w:val="31F4292D"/>
    <w:rsid w:val="37B5943D"/>
    <w:rsid w:val="3BD70EAA"/>
    <w:rsid w:val="3F7EBF6B"/>
    <w:rsid w:val="3FED27DA"/>
    <w:rsid w:val="3FFADF32"/>
    <w:rsid w:val="3FFF85EF"/>
    <w:rsid w:val="47FE6CD1"/>
    <w:rsid w:val="4D3DBA73"/>
    <w:rsid w:val="4F1FB562"/>
    <w:rsid w:val="5DFF989F"/>
    <w:rsid w:val="5F7F7300"/>
    <w:rsid w:val="64B90978"/>
    <w:rsid w:val="6BEFCF50"/>
    <w:rsid w:val="6CB7D6C1"/>
    <w:rsid w:val="6FBC5557"/>
    <w:rsid w:val="73E7F61E"/>
    <w:rsid w:val="79E4F39F"/>
    <w:rsid w:val="7BDD795E"/>
    <w:rsid w:val="7BFD287F"/>
    <w:rsid w:val="7BFDFE0A"/>
    <w:rsid w:val="7CC79519"/>
    <w:rsid w:val="7D3DA9B3"/>
    <w:rsid w:val="7EA71647"/>
    <w:rsid w:val="7F7E2586"/>
    <w:rsid w:val="7F7EF6C9"/>
    <w:rsid w:val="7FBF9B64"/>
    <w:rsid w:val="7FFBAEA7"/>
    <w:rsid w:val="9E7DF16E"/>
    <w:rsid w:val="ACA3C90A"/>
    <w:rsid w:val="BEB7AFE3"/>
    <w:rsid w:val="BF32A445"/>
    <w:rsid w:val="BF378288"/>
    <w:rsid w:val="BF7FEC78"/>
    <w:rsid w:val="CFBB4042"/>
    <w:rsid w:val="DB7FEAC8"/>
    <w:rsid w:val="DBCF7B4A"/>
    <w:rsid w:val="DBDFAEEC"/>
    <w:rsid w:val="DF1F4DFF"/>
    <w:rsid w:val="DF7B1118"/>
    <w:rsid w:val="DFF76341"/>
    <w:rsid w:val="DFFEE55E"/>
    <w:rsid w:val="E3FF245A"/>
    <w:rsid w:val="E8FD41A2"/>
    <w:rsid w:val="EB9EE9C6"/>
    <w:rsid w:val="EF7E5249"/>
    <w:rsid w:val="EFBF2841"/>
    <w:rsid w:val="EFDF2CC7"/>
    <w:rsid w:val="EFFDA21E"/>
    <w:rsid w:val="F6BFD931"/>
    <w:rsid w:val="F9FCF9BB"/>
    <w:rsid w:val="FAFF26BB"/>
    <w:rsid w:val="FB4FAC55"/>
    <w:rsid w:val="FB63E110"/>
    <w:rsid w:val="FCBFF5FC"/>
    <w:rsid w:val="FDBD7232"/>
    <w:rsid w:val="FDFF6F7C"/>
    <w:rsid w:val="FF7FA3ED"/>
    <w:rsid w:val="FFBAE85C"/>
    <w:rsid w:val="FFBBDCA5"/>
    <w:rsid w:val="FFBFA90D"/>
    <w:rsid w:val="FFEBE6D7"/>
    <w:rsid w:val="FFEF091A"/>
    <w:rsid w:val="FFFB462E"/>
    <w:rsid w:val="FFFFF0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161"/>
    <w:basedOn w:val="3"/>
    <w:qFormat/>
    <w:uiPriority w:val="0"/>
    <w:rPr>
      <w:rFonts w:hint="eastAsia" w:ascii="宋体" w:hAnsi="宋体" w:eastAsia="宋体" w:cs="宋体"/>
      <w:color w:val="000000"/>
      <w:sz w:val="32"/>
      <w:szCs w:val="32"/>
      <w:u w:val="none"/>
    </w:rPr>
  </w:style>
  <w:style w:type="character" w:customStyle="1" w:styleId="5">
    <w:name w:val="font71"/>
    <w:basedOn w:val="3"/>
    <w:qFormat/>
    <w:uiPriority w:val="0"/>
    <w:rPr>
      <w:rFonts w:ascii="Arial" w:hAnsi="Arial" w:cs="Arial"/>
      <w:color w:val="000000"/>
      <w:sz w:val="20"/>
      <w:szCs w:val="20"/>
      <w:u w:val="none"/>
    </w:rPr>
  </w:style>
  <w:style w:type="character" w:customStyle="1" w:styleId="6">
    <w:name w:val="font81"/>
    <w:basedOn w:val="3"/>
    <w:qFormat/>
    <w:uiPriority w:val="0"/>
    <w:rPr>
      <w:rFonts w:hint="eastAsia" w:ascii="宋体" w:hAnsi="宋体" w:eastAsia="宋体" w:cs="宋体"/>
      <w:color w:val="000000"/>
      <w:sz w:val="20"/>
      <w:szCs w:val="20"/>
      <w:u w:val="none"/>
    </w:rPr>
  </w:style>
  <w:style w:type="character" w:customStyle="1" w:styleId="7">
    <w:name w:val="font21"/>
    <w:basedOn w:val="3"/>
    <w:qFormat/>
    <w:uiPriority w:val="0"/>
    <w:rPr>
      <w:rFonts w:hint="eastAsia" w:ascii="宋体" w:hAnsi="宋体" w:eastAsia="宋体" w:cs="宋体"/>
      <w:color w:val="000000"/>
      <w:sz w:val="18"/>
      <w:szCs w:val="18"/>
      <w:u w:val="none"/>
    </w:rPr>
  </w:style>
  <w:style w:type="character" w:customStyle="1" w:styleId="8">
    <w:name w:val="font91"/>
    <w:basedOn w:val="3"/>
    <w:qFormat/>
    <w:uiPriority w:val="0"/>
    <w:rPr>
      <w:rFonts w:hint="eastAsia" w:ascii="宋体" w:hAnsi="宋体" w:eastAsia="宋体" w:cs="宋体"/>
      <w:color w:val="000000"/>
      <w:sz w:val="20"/>
      <w:szCs w:val="20"/>
      <w:u w:val="none"/>
    </w:rPr>
  </w:style>
  <w:style w:type="character" w:customStyle="1" w:styleId="9">
    <w:name w:val="font12"/>
    <w:basedOn w:val="3"/>
    <w:uiPriority w:val="0"/>
    <w:rPr>
      <w:rFonts w:hint="eastAsia" w:ascii="宋体" w:hAnsi="宋体" w:eastAsia="宋体" w:cs="宋体"/>
      <w:color w:val="FF0000"/>
      <w:sz w:val="32"/>
      <w:szCs w:val="32"/>
      <w:u w:val="none"/>
    </w:rPr>
  </w:style>
  <w:style w:type="character" w:customStyle="1" w:styleId="10">
    <w:name w:val="font01"/>
    <w:basedOn w:val="3"/>
    <w:uiPriority w:val="0"/>
    <w:rPr>
      <w:rFonts w:ascii="汉仪细圆B5" w:hAnsi="汉仪细圆B5" w:eastAsia="汉仪细圆B5" w:cs="汉仪细圆B5"/>
      <w:color w:val="000000"/>
      <w:sz w:val="20"/>
      <w:szCs w:val="20"/>
      <w:u w:val="none"/>
    </w:rPr>
  </w:style>
  <w:style w:type="character" w:customStyle="1" w:styleId="11">
    <w:name w:val="font41"/>
    <w:basedOn w:val="3"/>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2024-03-08T17:49:00Z</dcterms:created>
  <dc:creator>Administrator</dc:creator>
  <cp:lastModifiedBy>uospc</cp:lastModifiedBy>
  <dcterms:modified xsi:type="dcterms:W3CDTF">2025-03-19T09:40:51Z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2052-11.8.2.1132</vt:lpwstr>
  </property>
  <property fmtid="{D5CDD505-2E9C-101B-9397-08002B2CF9AE}" pid="3" name="ICV">
    <vt:lpwstr>005F3AE2A1ADE921A320DA6736E75B07</vt:lpwstr>
  </property>
</Properties>
</file>