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lang w:val="en-US" w:eastAsia="zh-CN"/>
        </w:rPr>
      </w:pPr>
      <w:r>
        <w:rPr>
          <w:rFonts w:hint="eastAsia"/>
          <w:sz w:val="24"/>
          <w:szCs w:val="32"/>
          <w:lang w:val="en-US" w:eastAsia="zh-CN"/>
        </w:rPr>
        <w:t>附件3</w:t>
      </w:r>
    </w:p>
    <w:p>
      <w:pPr>
        <w:jc w:val="center"/>
        <w:rPr>
          <w:rFonts w:hint="eastAsia" w:asciiTheme="majorEastAsia" w:hAnsiTheme="majorEastAsia" w:eastAsiaTheme="majorEastAsia" w:cstheme="majorEastAsia"/>
          <w:b/>
          <w:bCs/>
          <w:sz w:val="40"/>
          <w:szCs w:val="48"/>
          <w:lang w:val="en-US" w:eastAsia="zh-CN"/>
        </w:rPr>
      </w:pPr>
      <w:r>
        <w:rPr>
          <w:rFonts w:hint="eastAsia" w:asciiTheme="majorEastAsia" w:hAnsiTheme="majorEastAsia" w:eastAsiaTheme="majorEastAsia" w:cstheme="majorEastAsia"/>
          <w:b/>
          <w:bCs/>
          <w:sz w:val="40"/>
          <w:szCs w:val="48"/>
          <w:lang w:val="en-US" w:eastAsia="zh-CN"/>
        </w:rPr>
        <w:t>凤台县耕地建设与利用资金2024年度</w:t>
      </w:r>
    </w:p>
    <w:p>
      <w:pPr>
        <w:jc w:val="center"/>
        <w:rPr>
          <w:rFonts w:hint="eastAsia" w:asciiTheme="majorEastAsia" w:hAnsiTheme="majorEastAsia" w:eastAsiaTheme="majorEastAsia" w:cstheme="majorEastAsia"/>
          <w:b/>
          <w:bCs/>
          <w:sz w:val="40"/>
          <w:szCs w:val="48"/>
          <w:lang w:val="en-US" w:eastAsia="zh-CN"/>
        </w:rPr>
      </w:pPr>
      <w:r>
        <w:rPr>
          <w:rFonts w:hint="eastAsia" w:asciiTheme="majorEastAsia" w:hAnsiTheme="majorEastAsia" w:eastAsiaTheme="majorEastAsia" w:cstheme="majorEastAsia"/>
          <w:b/>
          <w:bCs/>
          <w:sz w:val="40"/>
          <w:szCs w:val="48"/>
          <w:lang w:val="en-US" w:eastAsia="zh-CN"/>
        </w:rPr>
        <w:t>绩效自评报告</w:t>
      </w:r>
    </w:p>
    <w:p>
      <w:pPr>
        <w:jc w:val="center"/>
        <w:rPr>
          <w:rFonts w:hint="eastAsia"/>
          <w:sz w:val="28"/>
          <w:szCs w:val="28"/>
          <w:lang w:val="en-US" w:eastAsia="zh-CN"/>
        </w:rPr>
      </w:pPr>
    </w:p>
    <w:p>
      <w:pPr>
        <w:numPr>
          <w:ilvl w:val="0"/>
          <w:numId w:val="1"/>
        </w:numPr>
        <w:ind w:left="420" w:leftChars="0" w:firstLine="0" w:firstLineChars="0"/>
        <w:jc w:val="both"/>
        <w:rPr>
          <w:rFonts w:hint="eastAsia"/>
          <w:b/>
          <w:bCs/>
          <w:sz w:val="28"/>
          <w:szCs w:val="28"/>
          <w:lang w:val="en-US" w:eastAsia="zh-CN"/>
        </w:rPr>
      </w:pPr>
      <w:r>
        <w:rPr>
          <w:rFonts w:hint="eastAsia"/>
          <w:b/>
          <w:bCs/>
          <w:sz w:val="28"/>
          <w:szCs w:val="28"/>
          <w:lang w:val="en-US" w:eastAsia="zh-CN"/>
        </w:rPr>
        <w:t>绩效目标分解下达情况</w:t>
      </w:r>
    </w:p>
    <w:p>
      <w:pPr>
        <w:numPr>
          <w:ilvl w:val="0"/>
          <w:numId w:val="0"/>
        </w:numPr>
        <w:ind w:firstLine="420"/>
        <w:jc w:val="both"/>
        <w:rPr>
          <w:rFonts w:hint="eastAsia"/>
          <w:sz w:val="28"/>
          <w:szCs w:val="28"/>
          <w:lang w:val="en-US" w:eastAsia="zh-CN"/>
        </w:rPr>
      </w:pPr>
      <w:r>
        <w:rPr>
          <w:rFonts w:hint="eastAsia"/>
          <w:sz w:val="28"/>
          <w:szCs w:val="28"/>
          <w:lang w:val="en-US" w:eastAsia="zh-CN"/>
        </w:rPr>
        <w:t>2024年中央下达本县耕地建设与利用资金11434万元，地方配套资金1075万元。</w:t>
      </w:r>
    </w:p>
    <w:p>
      <w:pPr>
        <w:numPr>
          <w:ilvl w:val="0"/>
          <w:numId w:val="0"/>
        </w:numPr>
        <w:ind w:firstLine="420"/>
        <w:jc w:val="both"/>
        <w:rPr>
          <w:rFonts w:hint="default"/>
          <w:sz w:val="28"/>
          <w:szCs w:val="28"/>
          <w:lang w:val="en-US" w:eastAsia="zh-CN"/>
        </w:rPr>
      </w:pPr>
      <w:r>
        <w:rPr>
          <w:rFonts w:hint="eastAsia"/>
          <w:sz w:val="28"/>
          <w:szCs w:val="28"/>
          <w:lang w:val="en-US" w:eastAsia="zh-CN"/>
        </w:rPr>
        <w:t>其中，9402万元用于耕地地力保护补贴支出，组织对全县范围内耕地进行补贴发放；2750万元（中央1975+地方775）用于高标准农田建设支出：在1—2年内完成高标准农田改造提升1.5万亩，平原区田间道路通达度达到100%，通过项目建设，有效改善项目区农田基础设施条件，逐步提升耕地质量和水资源利用率，明显提升粮食综合生产能力，受益群众满意率≥90%；17万元用于化肥减量增效项目支出：全年配方施肥推广面积130万亩次，施肥三新技术推广四万亩次；340万元（中央40+地方300）用于第三次土壤普查，完成外业调查采样和内业测试化验点位数718个。</w:t>
      </w:r>
    </w:p>
    <w:p>
      <w:pPr>
        <w:numPr>
          <w:ilvl w:val="0"/>
          <w:numId w:val="0"/>
        </w:numPr>
        <w:ind w:firstLine="420"/>
        <w:jc w:val="both"/>
        <w:rPr>
          <w:rFonts w:hint="eastAsia"/>
          <w:b/>
          <w:bCs/>
          <w:sz w:val="28"/>
          <w:szCs w:val="28"/>
          <w:lang w:val="en-US" w:eastAsia="zh-CN"/>
        </w:rPr>
      </w:pPr>
      <w:r>
        <w:rPr>
          <w:rFonts w:hint="eastAsia"/>
          <w:b/>
          <w:bCs/>
          <w:sz w:val="28"/>
          <w:szCs w:val="28"/>
          <w:lang w:val="en-US" w:eastAsia="zh-CN"/>
        </w:rPr>
        <w:t>二、绩效情况分析</w:t>
      </w:r>
    </w:p>
    <w:p>
      <w:pPr>
        <w:numPr>
          <w:ilvl w:val="0"/>
          <w:numId w:val="0"/>
        </w:numPr>
        <w:ind w:firstLine="420"/>
        <w:jc w:val="both"/>
        <w:rPr>
          <w:rFonts w:hint="eastAsia"/>
          <w:sz w:val="28"/>
          <w:szCs w:val="28"/>
          <w:lang w:val="en-US" w:eastAsia="zh-CN"/>
        </w:rPr>
      </w:pPr>
      <w:r>
        <w:rPr>
          <w:rFonts w:hint="eastAsia"/>
          <w:b/>
          <w:bCs/>
          <w:sz w:val="28"/>
          <w:szCs w:val="28"/>
          <w:lang w:val="en-US" w:eastAsia="zh-CN"/>
        </w:rPr>
        <w:t>（一）资金投入情况分析。</w:t>
      </w:r>
    </w:p>
    <w:p>
      <w:pPr>
        <w:numPr>
          <w:ilvl w:val="0"/>
          <w:numId w:val="0"/>
        </w:numPr>
        <w:ind w:firstLine="420"/>
        <w:jc w:val="both"/>
        <w:rPr>
          <w:rFonts w:hint="default"/>
          <w:sz w:val="28"/>
          <w:szCs w:val="28"/>
          <w:lang w:val="en-US" w:eastAsia="zh-CN"/>
        </w:rPr>
      </w:pPr>
      <w:r>
        <w:rPr>
          <w:rFonts w:hint="eastAsia"/>
          <w:sz w:val="28"/>
          <w:szCs w:val="28"/>
          <w:lang w:val="en-US" w:eastAsia="zh-CN"/>
        </w:rPr>
        <w:t>我县耕地建设与利用资金投入共12509万元，全年执行数为9989万元，预算执行率为79.85%。</w:t>
      </w:r>
    </w:p>
    <w:p>
      <w:pPr>
        <w:numPr>
          <w:ilvl w:val="0"/>
          <w:numId w:val="2"/>
        </w:numPr>
        <w:ind w:firstLine="420"/>
        <w:jc w:val="both"/>
        <w:rPr>
          <w:rFonts w:hint="eastAsia"/>
          <w:sz w:val="28"/>
          <w:szCs w:val="28"/>
          <w:lang w:val="en-US" w:eastAsia="zh-CN"/>
        </w:rPr>
      </w:pPr>
      <w:r>
        <w:rPr>
          <w:rFonts w:hint="eastAsia"/>
          <w:b/>
          <w:bCs/>
          <w:sz w:val="28"/>
          <w:szCs w:val="28"/>
          <w:lang w:val="en-US" w:eastAsia="zh-CN"/>
        </w:rPr>
        <w:t>资金管理情况分析。</w:t>
      </w:r>
    </w:p>
    <w:p>
      <w:pPr>
        <w:numPr>
          <w:ilvl w:val="0"/>
          <w:numId w:val="0"/>
        </w:numPr>
        <w:ind w:firstLine="560" w:firstLineChars="200"/>
        <w:jc w:val="both"/>
        <w:rPr>
          <w:rFonts w:hint="eastAsia"/>
          <w:sz w:val="28"/>
          <w:szCs w:val="28"/>
          <w:lang w:val="en-US" w:eastAsia="zh-CN"/>
        </w:rPr>
      </w:pPr>
      <w:r>
        <w:rPr>
          <w:rFonts w:hint="eastAsia"/>
          <w:sz w:val="28"/>
          <w:szCs w:val="28"/>
          <w:lang w:val="en-US" w:eastAsia="zh-CN"/>
        </w:rPr>
        <w:t>其中，耕地地力保护补贴项目投入9402万元，资金已全部拨付到位，执行率100%；高标准农田建设项目投入2750万元，已支出547万元，执行率19.89%；化肥减量增效项目投入17万元，已支出17万元，执行率100%；第三次土壤普查项目投入40万元，已支出0元，执行率0%。</w:t>
      </w:r>
    </w:p>
    <w:p>
      <w:pPr>
        <w:numPr>
          <w:ilvl w:val="0"/>
          <w:numId w:val="0"/>
        </w:numPr>
        <w:ind w:firstLine="420"/>
        <w:jc w:val="both"/>
        <w:rPr>
          <w:rFonts w:hint="eastAsia"/>
          <w:sz w:val="28"/>
          <w:szCs w:val="28"/>
          <w:highlight w:val="yellow"/>
          <w:lang w:val="en-US" w:eastAsia="zh-CN"/>
        </w:rPr>
      </w:pPr>
      <w:r>
        <w:rPr>
          <w:rFonts w:hint="eastAsia"/>
          <w:b/>
          <w:bCs/>
          <w:sz w:val="28"/>
          <w:szCs w:val="28"/>
          <w:lang w:val="en-US" w:eastAsia="zh-CN"/>
        </w:rPr>
        <w:t>（三）总体绩效目标完成情况分析。</w:t>
      </w:r>
    </w:p>
    <w:p>
      <w:pPr>
        <w:numPr>
          <w:ilvl w:val="0"/>
          <w:numId w:val="0"/>
        </w:numPr>
        <w:ind w:firstLine="420"/>
        <w:jc w:val="both"/>
        <w:rPr>
          <w:rFonts w:hint="eastAsia"/>
          <w:sz w:val="28"/>
          <w:szCs w:val="28"/>
          <w:lang w:val="en-US" w:eastAsia="zh-CN"/>
        </w:rPr>
      </w:pPr>
      <w:r>
        <w:rPr>
          <w:rFonts w:hint="eastAsia"/>
          <w:sz w:val="28"/>
          <w:szCs w:val="28"/>
          <w:lang w:val="en-US" w:eastAsia="zh-CN"/>
        </w:rPr>
        <w:t>目标1.根据我县实际情况制定补贴发放实施方案，按照村组登记、乡镇审核、县级核定的程序，9402万元资金已全部发放到位，提高了农民的补贴和种粮积极性。 目标2.完成0.65万亩高标准农田建设改造提升，已拨付资金约570万元（中央547+省级23）。 目标3.2024年5月30日完成688个表层样点采集工作，8月完成剖面样点采集30个，现表层样及剖面样检测共949个已全部完成，资金暂未拨付。 目标4.完成稻麦3414、肥料利用率等田间试验7个；开展农户施肥情况调查180户；主要农作物测土配方施肥技术覆盖率93%；完成年度耕地质量等级评价更新，17万元已全部拨付到位。</w:t>
      </w:r>
    </w:p>
    <w:p>
      <w:pPr>
        <w:numPr>
          <w:ilvl w:val="0"/>
          <w:numId w:val="0"/>
        </w:numPr>
        <w:ind w:firstLine="420"/>
        <w:jc w:val="both"/>
        <w:rPr>
          <w:rFonts w:hint="eastAsia"/>
          <w:sz w:val="28"/>
          <w:szCs w:val="28"/>
          <w:highlight w:val="yellow"/>
          <w:lang w:val="en-US" w:eastAsia="zh-CN"/>
        </w:rPr>
      </w:pPr>
      <w:r>
        <w:rPr>
          <w:rFonts w:hint="eastAsia"/>
          <w:b/>
          <w:bCs/>
          <w:sz w:val="28"/>
          <w:szCs w:val="28"/>
          <w:lang w:val="en-US" w:eastAsia="zh-CN"/>
        </w:rPr>
        <w:t>（四）绩效指标完成情况分析。</w:t>
      </w:r>
    </w:p>
    <w:p>
      <w:pPr>
        <w:numPr>
          <w:ilvl w:val="0"/>
          <w:numId w:val="0"/>
        </w:numPr>
        <w:ind w:firstLine="420"/>
        <w:jc w:val="both"/>
        <w:rPr>
          <w:rFonts w:hint="eastAsia" w:ascii="CESI黑体-GB2312" w:hAnsi="CESI黑体-GB2312" w:eastAsia="CESI黑体-GB2312" w:cs="CESI黑体-GB2312"/>
          <w:sz w:val="32"/>
          <w:szCs w:val="32"/>
          <w:lang w:val="en-US" w:eastAsia="zh-CN"/>
        </w:rPr>
      </w:pPr>
      <w:r>
        <w:rPr>
          <w:rFonts w:hint="eastAsia" w:ascii="CESI黑体-GB2312" w:hAnsi="CESI黑体-GB2312" w:eastAsia="CESI黑体-GB2312" w:cs="CESI黑体-GB2312"/>
          <w:sz w:val="32"/>
          <w:szCs w:val="32"/>
          <w:lang w:val="en-US" w:eastAsia="zh-CN"/>
        </w:rPr>
        <w:t>数量指标：</w:t>
      </w:r>
    </w:p>
    <w:p>
      <w:pPr>
        <w:numPr>
          <w:ilvl w:val="0"/>
          <w:numId w:val="0"/>
        </w:numPr>
        <w:ind w:firstLine="420"/>
        <w:jc w:val="both"/>
        <w:rPr>
          <w:rFonts w:hint="eastAsia"/>
          <w:sz w:val="28"/>
          <w:szCs w:val="28"/>
          <w:lang w:val="en-US" w:eastAsia="zh-CN"/>
        </w:rPr>
      </w:pPr>
      <w:r>
        <w:rPr>
          <w:rFonts w:hint="eastAsia"/>
          <w:sz w:val="28"/>
          <w:szCs w:val="28"/>
          <w:lang w:val="en-US" w:eastAsia="zh-CN"/>
        </w:rPr>
        <w:t>指标1：改造提升高标准农田面积（万亩）</w:t>
      </w:r>
      <w:r>
        <w:rPr>
          <w:rFonts w:hint="eastAsia"/>
          <w:sz w:val="28"/>
          <w:szCs w:val="28"/>
          <w:lang w:val="en-US" w:eastAsia="zh-CN"/>
        </w:rPr>
        <w:tab/>
      </w:r>
      <w:r>
        <w:rPr>
          <w:rFonts w:hint="eastAsia"/>
          <w:sz w:val="28"/>
          <w:szCs w:val="28"/>
          <w:lang w:val="en-US" w:eastAsia="zh-CN"/>
        </w:rPr>
        <w:tab/>
      </w:r>
      <w:r>
        <w:rPr>
          <w:rFonts w:hint="eastAsia"/>
          <w:sz w:val="28"/>
          <w:szCs w:val="28"/>
          <w:lang w:val="en-US" w:eastAsia="zh-CN"/>
        </w:rPr>
        <w:t>1  0.65</w:t>
      </w:r>
      <w:r>
        <w:rPr>
          <w:rFonts w:hint="eastAsia"/>
          <w:sz w:val="28"/>
          <w:szCs w:val="28"/>
          <w:lang w:val="en-US" w:eastAsia="zh-CN"/>
        </w:rPr>
        <w:tab/>
      </w:r>
      <w:r>
        <w:rPr>
          <w:rFonts w:hint="eastAsia"/>
          <w:sz w:val="28"/>
          <w:szCs w:val="28"/>
          <w:lang w:val="en-US" w:eastAsia="zh-CN"/>
        </w:rPr>
        <w:t xml:space="preserve"> 项目正在有序推进中</w:t>
      </w:r>
    </w:p>
    <w:p>
      <w:pPr>
        <w:numPr>
          <w:ilvl w:val="0"/>
          <w:numId w:val="0"/>
        </w:numPr>
        <w:ind w:firstLine="420"/>
        <w:jc w:val="both"/>
        <w:rPr>
          <w:rFonts w:hint="eastAsia"/>
          <w:sz w:val="28"/>
          <w:szCs w:val="28"/>
          <w:lang w:val="en-US" w:eastAsia="zh-CN"/>
        </w:rPr>
      </w:pPr>
      <w:r>
        <w:rPr>
          <w:rFonts w:hint="eastAsia"/>
          <w:sz w:val="28"/>
          <w:szCs w:val="28"/>
          <w:lang w:val="en-US" w:eastAsia="zh-CN"/>
        </w:rPr>
        <w:t>指标2：农户施肥调查数量(户)</w:t>
      </w:r>
      <w:r>
        <w:rPr>
          <w:rFonts w:hint="eastAsia"/>
          <w:sz w:val="28"/>
          <w:szCs w:val="28"/>
          <w:lang w:val="en-US" w:eastAsia="zh-CN"/>
        </w:rPr>
        <w:tab/>
      </w:r>
      <w:r>
        <w:rPr>
          <w:rFonts w:hint="eastAsia"/>
          <w:sz w:val="28"/>
          <w:szCs w:val="28"/>
          <w:lang w:val="en-US" w:eastAsia="zh-CN"/>
        </w:rPr>
        <w:tab/>
      </w:r>
      <w:r>
        <w:rPr>
          <w:rFonts w:hint="eastAsia"/>
          <w:sz w:val="28"/>
          <w:szCs w:val="28"/>
          <w:lang w:val="en-US" w:eastAsia="zh-CN"/>
        </w:rPr>
        <w:t xml:space="preserve">180户 </w:t>
      </w:r>
      <w:r>
        <w:rPr>
          <w:rFonts w:hint="eastAsia"/>
          <w:sz w:val="28"/>
          <w:szCs w:val="28"/>
          <w:lang w:val="en-US" w:eastAsia="zh-CN"/>
        </w:rPr>
        <w:tab/>
      </w:r>
      <w:r>
        <w:rPr>
          <w:rFonts w:hint="eastAsia"/>
          <w:sz w:val="28"/>
          <w:szCs w:val="28"/>
          <w:lang w:val="en-US" w:eastAsia="zh-CN"/>
        </w:rPr>
        <w:t>180户</w:t>
      </w:r>
      <w:r>
        <w:rPr>
          <w:rFonts w:hint="eastAsia"/>
          <w:sz w:val="28"/>
          <w:szCs w:val="28"/>
          <w:lang w:val="en-US" w:eastAsia="zh-CN"/>
        </w:rPr>
        <w:tab/>
      </w:r>
      <w:r>
        <w:rPr>
          <w:rFonts w:hint="eastAsia"/>
          <w:sz w:val="28"/>
          <w:szCs w:val="28"/>
          <w:lang w:val="en-US" w:eastAsia="zh-CN"/>
        </w:rPr>
        <w:tab/>
      </w:r>
    </w:p>
    <w:p>
      <w:pPr>
        <w:numPr>
          <w:ilvl w:val="0"/>
          <w:numId w:val="0"/>
        </w:numPr>
        <w:ind w:firstLine="420"/>
        <w:jc w:val="both"/>
        <w:rPr>
          <w:rFonts w:hint="eastAsia"/>
          <w:sz w:val="28"/>
          <w:szCs w:val="28"/>
          <w:lang w:val="en-US" w:eastAsia="zh-CN"/>
        </w:rPr>
      </w:pPr>
      <w:r>
        <w:rPr>
          <w:rFonts w:hint="eastAsia"/>
          <w:sz w:val="28"/>
          <w:szCs w:val="28"/>
          <w:lang w:val="en-US" w:eastAsia="zh-CN"/>
        </w:rPr>
        <w:t>指标3：田间试验数量(个)</w:t>
      </w:r>
      <w:r>
        <w:rPr>
          <w:rFonts w:hint="eastAsia"/>
          <w:sz w:val="28"/>
          <w:szCs w:val="28"/>
          <w:lang w:val="en-US" w:eastAsia="zh-CN"/>
        </w:rPr>
        <w:tab/>
      </w:r>
      <w:r>
        <w:rPr>
          <w:rFonts w:hint="eastAsia"/>
          <w:sz w:val="28"/>
          <w:szCs w:val="28"/>
          <w:lang w:val="en-US" w:eastAsia="zh-CN"/>
        </w:rPr>
        <w:t xml:space="preserve">   7 </w:t>
      </w:r>
      <w:r>
        <w:rPr>
          <w:rFonts w:hint="eastAsia"/>
          <w:sz w:val="28"/>
          <w:szCs w:val="28"/>
          <w:lang w:val="en-US" w:eastAsia="zh-CN"/>
        </w:rPr>
        <w:tab/>
      </w:r>
      <w:r>
        <w:rPr>
          <w:rFonts w:hint="eastAsia"/>
          <w:sz w:val="28"/>
          <w:szCs w:val="28"/>
          <w:lang w:val="en-US" w:eastAsia="zh-CN"/>
        </w:rPr>
        <w:t xml:space="preserve">   7</w:t>
      </w:r>
    </w:p>
    <w:p>
      <w:pPr>
        <w:numPr>
          <w:ilvl w:val="0"/>
          <w:numId w:val="0"/>
        </w:numPr>
        <w:ind w:firstLine="420"/>
        <w:jc w:val="both"/>
        <w:rPr>
          <w:rFonts w:hint="eastAsia"/>
          <w:sz w:val="28"/>
          <w:szCs w:val="28"/>
          <w:lang w:val="en-US" w:eastAsia="zh-CN"/>
        </w:rPr>
      </w:pPr>
      <w:r>
        <w:rPr>
          <w:rFonts w:hint="eastAsia"/>
          <w:sz w:val="28"/>
          <w:szCs w:val="28"/>
          <w:lang w:val="en-US" w:eastAsia="zh-CN"/>
        </w:rPr>
        <w:t>指标4：外业调查采样和内业测试化验点位数(个)</w:t>
      </w:r>
      <w:r>
        <w:rPr>
          <w:rFonts w:hint="eastAsia"/>
          <w:sz w:val="28"/>
          <w:szCs w:val="28"/>
          <w:lang w:val="en-US" w:eastAsia="zh-CN"/>
        </w:rPr>
        <w:tab/>
      </w:r>
      <w:r>
        <w:rPr>
          <w:rFonts w:hint="eastAsia"/>
          <w:sz w:val="28"/>
          <w:szCs w:val="28"/>
          <w:lang w:val="en-US" w:eastAsia="zh-CN"/>
        </w:rPr>
        <w:tab/>
      </w:r>
      <w:r>
        <w:rPr>
          <w:rFonts w:hint="eastAsia"/>
          <w:sz w:val="28"/>
          <w:szCs w:val="28"/>
          <w:lang w:val="en-US" w:eastAsia="zh-CN"/>
        </w:rPr>
        <w:t>718</w:t>
      </w:r>
      <w:r>
        <w:rPr>
          <w:rFonts w:hint="eastAsia"/>
          <w:sz w:val="28"/>
          <w:szCs w:val="28"/>
          <w:lang w:val="en-US" w:eastAsia="zh-CN"/>
        </w:rPr>
        <w:tab/>
      </w:r>
      <w:r>
        <w:rPr>
          <w:rFonts w:hint="eastAsia"/>
          <w:sz w:val="28"/>
          <w:szCs w:val="28"/>
          <w:lang w:val="en-US" w:eastAsia="zh-CN"/>
        </w:rPr>
        <w:t>949</w:t>
      </w:r>
      <w:r>
        <w:rPr>
          <w:rFonts w:hint="eastAsia"/>
          <w:sz w:val="28"/>
          <w:szCs w:val="28"/>
          <w:lang w:val="en-US" w:eastAsia="zh-CN"/>
        </w:rPr>
        <w:tab/>
      </w:r>
    </w:p>
    <w:p>
      <w:pPr>
        <w:numPr>
          <w:ilvl w:val="0"/>
          <w:numId w:val="0"/>
        </w:numPr>
        <w:ind w:firstLine="420"/>
        <w:jc w:val="both"/>
        <w:rPr>
          <w:rFonts w:hint="eastAsia" w:ascii="CESI黑体-GB2312" w:hAnsi="CESI黑体-GB2312" w:eastAsia="CESI黑体-GB2312" w:cs="CESI黑体-GB2312"/>
          <w:sz w:val="32"/>
          <w:szCs w:val="32"/>
          <w:lang w:val="en-US" w:eastAsia="zh-CN"/>
        </w:rPr>
      </w:pPr>
      <w:r>
        <w:rPr>
          <w:rFonts w:hint="eastAsia" w:ascii="CESI黑体-GB2312" w:hAnsi="CESI黑体-GB2312" w:eastAsia="CESI黑体-GB2312" w:cs="CESI黑体-GB2312"/>
          <w:sz w:val="32"/>
          <w:szCs w:val="32"/>
          <w:lang w:val="en-US" w:eastAsia="zh-CN"/>
        </w:rPr>
        <w:t>质量指标：</w:t>
      </w:r>
    </w:p>
    <w:p>
      <w:pPr>
        <w:numPr>
          <w:ilvl w:val="0"/>
          <w:numId w:val="0"/>
        </w:numPr>
        <w:ind w:firstLine="420"/>
        <w:jc w:val="both"/>
        <w:rPr>
          <w:rFonts w:hint="eastAsia"/>
          <w:sz w:val="28"/>
          <w:szCs w:val="28"/>
          <w:lang w:val="en-US" w:eastAsia="zh-CN"/>
        </w:rPr>
      </w:pPr>
      <w:r>
        <w:rPr>
          <w:rFonts w:hint="eastAsia"/>
          <w:sz w:val="28"/>
          <w:szCs w:val="28"/>
          <w:lang w:val="en-US" w:eastAsia="zh-CN"/>
        </w:rPr>
        <w:t>指标1：高标准农田建设项目验收合格率(%)</w:t>
      </w:r>
      <w:r>
        <w:rPr>
          <w:rFonts w:hint="eastAsia"/>
          <w:sz w:val="28"/>
          <w:szCs w:val="28"/>
          <w:lang w:val="en-US" w:eastAsia="zh-CN"/>
        </w:rPr>
        <w:tab/>
      </w:r>
      <w:r>
        <w:rPr>
          <w:rFonts w:hint="eastAsia"/>
          <w:sz w:val="28"/>
          <w:szCs w:val="28"/>
          <w:lang w:val="en-US" w:eastAsia="zh-CN"/>
        </w:rPr>
        <w:tab/>
      </w:r>
      <w:r>
        <w:rPr>
          <w:rFonts w:hint="eastAsia"/>
          <w:sz w:val="28"/>
          <w:szCs w:val="28"/>
          <w:lang w:val="en-US" w:eastAsia="zh-CN"/>
        </w:rPr>
        <w:t>≥95%</w:t>
      </w:r>
      <w:r>
        <w:rPr>
          <w:rFonts w:hint="eastAsia"/>
          <w:sz w:val="28"/>
          <w:szCs w:val="28"/>
          <w:lang w:val="en-US" w:eastAsia="zh-CN"/>
        </w:rPr>
        <w:tab/>
      </w:r>
      <w:r>
        <w:rPr>
          <w:rFonts w:hint="eastAsia"/>
          <w:sz w:val="28"/>
          <w:szCs w:val="28"/>
          <w:lang w:val="en-US" w:eastAsia="zh-CN"/>
        </w:rPr>
        <w:t xml:space="preserve"> 项目正在有序推进中</w:t>
      </w:r>
    </w:p>
    <w:p>
      <w:pPr>
        <w:numPr>
          <w:ilvl w:val="0"/>
          <w:numId w:val="0"/>
        </w:numPr>
        <w:ind w:firstLine="420"/>
        <w:jc w:val="both"/>
        <w:rPr>
          <w:rFonts w:hint="eastAsia" w:ascii="CESI黑体-GB2312" w:hAnsi="CESI黑体-GB2312" w:eastAsia="CESI黑体-GB2312" w:cs="CESI黑体-GB2312"/>
          <w:sz w:val="32"/>
          <w:szCs w:val="32"/>
          <w:lang w:val="en-US" w:eastAsia="zh-CN"/>
        </w:rPr>
      </w:pPr>
      <w:r>
        <w:rPr>
          <w:rFonts w:hint="eastAsia" w:ascii="CESI黑体-GB2312" w:hAnsi="CESI黑体-GB2312" w:eastAsia="CESI黑体-GB2312" w:cs="CESI黑体-GB2312"/>
          <w:sz w:val="32"/>
          <w:szCs w:val="32"/>
          <w:lang w:val="en-US" w:eastAsia="zh-CN"/>
        </w:rPr>
        <w:t>时效指标：</w:t>
      </w:r>
    </w:p>
    <w:p>
      <w:pPr>
        <w:numPr>
          <w:ilvl w:val="0"/>
          <w:numId w:val="0"/>
        </w:numPr>
        <w:ind w:firstLine="420"/>
        <w:jc w:val="both"/>
        <w:rPr>
          <w:rFonts w:hint="default"/>
          <w:sz w:val="28"/>
          <w:szCs w:val="28"/>
          <w:lang w:val="en-US" w:eastAsia="zh-CN"/>
        </w:rPr>
      </w:pPr>
      <w:r>
        <w:rPr>
          <w:rFonts w:hint="eastAsia"/>
          <w:sz w:val="28"/>
          <w:szCs w:val="28"/>
          <w:lang w:val="en-US" w:eastAsia="zh-CN"/>
        </w:rPr>
        <w:t>指标1：耕地地力保护补贴发放时限</w:t>
      </w:r>
      <w:r>
        <w:rPr>
          <w:rFonts w:hint="eastAsia"/>
          <w:sz w:val="28"/>
          <w:szCs w:val="28"/>
          <w:lang w:val="en-US" w:eastAsia="zh-CN"/>
        </w:rPr>
        <w:tab/>
      </w:r>
      <w:r>
        <w:rPr>
          <w:rFonts w:hint="eastAsia"/>
          <w:sz w:val="28"/>
          <w:szCs w:val="28"/>
          <w:lang w:val="en-US" w:eastAsia="zh-CN"/>
        </w:rPr>
        <w:tab/>
      </w:r>
      <w:r>
        <w:rPr>
          <w:rFonts w:hint="eastAsia"/>
          <w:sz w:val="28"/>
          <w:szCs w:val="28"/>
          <w:lang w:val="en-US" w:eastAsia="zh-CN"/>
        </w:rPr>
        <w:t>2023年6月30日 按时完成</w:t>
      </w:r>
    </w:p>
    <w:p>
      <w:pPr>
        <w:numPr>
          <w:ilvl w:val="0"/>
          <w:numId w:val="0"/>
        </w:numPr>
        <w:ind w:firstLine="420"/>
        <w:jc w:val="both"/>
        <w:rPr>
          <w:rFonts w:hint="eastAsia"/>
          <w:sz w:val="28"/>
          <w:szCs w:val="28"/>
          <w:lang w:val="en-US" w:eastAsia="zh-CN"/>
        </w:rPr>
      </w:pPr>
      <w:r>
        <w:rPr>
          <w:rFonts w:hint="eastAsia"/>
          <w:sz w:val="28"/>
          <w:szCs w:val="28"/>
          <w:lang w:val="en-US" w:eastAsia="zh-CN"/>
        </w:rPr>
        <w:t>指标2：高标准农田建设任务完成及时性</w:t>
      </w:r>
      <w:r>
        <w:rPr>
          <w:rFonts w:hint="eastAsia"/>
          <w:sz w:val="28"/>
          <w:szCs w:val="28"/>
          <w:lang w:val="en-US" w:eastAsia="zh-CN"/>
        </w:rPr>
        <w:tab/>
      </w:r>
      <w:r>
        <w:rPr>
          <w:rFonts w:hint="eastAsia"/>
          <w:sz w:val="28"/>
          <w:szCs w:val="28"/>
          <w:lang w:val="en-US" w:eastAsia="zh-CN"/>
        </w:rPr>
        <w:tab/>
      </w:r>
      <w:r>
        <w:rPr>
          <w:rFonts w:hint="eastAsia"/>
          <w:sz w:val="28"/>
          <w:szCs w:val="28"/>
          <w:lang w:val="en-US" w:eastAsia="zh-CN"/>
        </w:rPr>
        <w:t>1-2年</w:t>
      </w:r>
      <w:r>
        <w:rPr>
          <w:rFonts w:hint="eastAsia"/>
          <w:sz w:val="28"/>
          <w:szCs w:val="28"/>
          <w:lang w:val="en-US" w:eastAsia="zh-CN"/>
        </w:rPr>
        <w:tab/>
      </w:r>
      <w:r>
        <w:rPr>
          <w:rFonts w:hint="eastAsia"/>
          <w:sz w:val="28"/>
          <w:szCs w:val="28"/>
          <w:lang w:val="en-US" w:eastAsia="zh-CN"/>
        </w:rPr>
        <w:t>项目正在有序推进中</w:t>
      </w:r>
    </w:p>
    <w:p>
      <w:pPr>
        <w:numPr>
          <w:ilvl w:val="0"/>
          <w:numId w:val="0"/>
        </w:numPr>
        <w:ind w:firstLine="420"/>
        <w:jc w:val="both"/>
        <w:rPr>
          <w:rFonts w:hint="eastAsia" w:ascii="CESI黑体-GB2312" w:hAnsi="CESI黑体-GB2312" w:eastAsia="CESI黑体-GB2312" w:cs="CESI黑体-GB2312"/>
          <w:sz w:val="32"/>
          <w:szCs w:val="32"/>
          <w:lang w:val="en-US" w:eastAsia="zh-CN"/>
        </w:rPr>
      </w:pPr>
      <w:r>
        <w:rPr>
          <w:rFonts w:hint="eastAsia" w:ascii="CESI黑体-GB2312" w:hAnsi="CESI黑体-GB2312" w:eastAsia="CESI黑体-GB2312" w:cs="CESI黑体-GB2312"/>
          <w:sz w:val="32"/>
          <w:szCs w:val="32"/>
          <w:lang w:val="en-US" w:eastAsia="zh-CN"/>
        </w:rPr>
        <w:t>成本指标：</w:t>
      </w:r>
    </w:p>
    <w:p>
      <w:pPr>
        <w:numPr>
          <w:ilvl w:val="0"/>
          <w:numId w:val="0"/>
        </w:numPr>
        <w:ind w:firstLine="420"/>
        <w:jc w:val="both"/>
        <w:rPr>
          <w:rFonts w:hint="eastAsia"/>
          <w:sz w:val="28"/>
          <w:szCs w:val="28"/>
          <w:lang w:val="en-US" w:eastAsia="zh-CN"/>
        </w:rPr>
      </w:pPr>
      <w:r>
        <w:rPr>
          <w:rFonts w:hint="eastAsia"/>
          <w:sz w:val="28"/>
          <w:szCs w:val="28"/>
          <w:lang w:val="en-US" w:eastAsia="zh-CN"/>
        </w:rPr>
        <w:t>指标1：项目总成本（万元）</w:t>
      </w:r>
      <w:r>
        <w:rPr>
          <w:rFonts w:hint="eastAsia"/>
          <w:sz w:val="28"/>
          <w:szCs w:val="28"/>
          <w:lang w:val="en-US" w:eastAsia="zh-CN"/>
        </w:rPr>
        <w:tab/>
      </w:r>
      <w:r>
        <w:rPr>
          <w:rFonts w:hint="eastAsia"/>
          <w:sz w:val="28"/>
          <w:szCs w:val="28"/>
          <w:lang w:val="en-US" w:eastAsia="zh-CN"/>
        </w:rPr>
        <w:tab/>
      </w:r>
      <w:r>
        <w:rPr>
          <w:rFonts w:hint="eastAsia"/>
          <w:sz w:val="28"/>
          <w:szCs w:val="28"/>
          <w:lang w:val="en-US" w:eastAsia="zh-CN"/>
        </w:rPr>
        <w:t xml:space="preserve">12509 </w:t>
      </w:r>
      <w:r>
        <w:rPr>
          <w:rFonts w:hint="eastAsia"/>
          <w:sz w:val="28"/>
          <w:szCs w:val="28"/>
          <w:lang w:val="en-US" w:eastAsia="zh-CN"/>
        </w:rPr>
        <w:tab/>
      </w:r>
      <w:r>
        <w:rPr>
          <w:rFonts w:hint="eastAsia"/>
          <w:sz w:val="28"/>
          <w:szCs w:val="28"/>
          <w:lang w:val="en-US" w:eastAsia="zh-CN"/>
        </w:rPr>
        <w:t>9989</w:t>
      </w:r>
      <w:r>
        <w:rPr>
          <w:rFonts w:hint="eastAsia"/>
          <w:sz w:val="28"/>
          <w:szCs w:val="28"/>
          <w:lang w:val="en-US" w:eastAsia="zh-CN"/>
        </w:rPr>
        <w:tab/>
      </w:r>
      <w:r>
        <w:rPr>
          <w:rFonts w:hint="eastAsia"/>
          <w:sz w:val="28"/>
          <w:szCs w:val="28"/>
          <w:lang w:val="en-US" w:eastAsia="zh-CN"/>
        </w:rPr>
        <w:t>项目实施期限未到，目前正在推进中</w:t>
      </w:r>
    </w:p>
    <w:p>
      <w:pPr>
        <w:numPr>
          <w:ilvl w:val="0"/>
          <w:numId w:val="0"/>
        </w:numPr>
        <w:ind w:firstLine="420"/>
        <w:jc w:val="both"/>
        <w:rPr>
          <w:rFonts w:hint="eastAsia" w:ascii="CESI黑体-GB2312" w:hAnsi="CESI黑体-GB2312" w:eastAsia="CESI黑体-GB2312" w:cs="CESI黑体-GB2312"/>
          <w:sz w:val="32"/>
          <w:szCs w:val="32"/>
          <w:lang w:val="en-US" w:eastAsia="zh-CN"/>
        </w:rPr>
      </w:pPr>
      <w:r>
        <w:rPr>
          <w:rFonts w:hint="eastAsia" w:ascii="CESI黑体-GB2312" w:hAnsi="CESI黑体-GB2312" w:eastAsia="CESI黑体-GB2312" w:cs="CESI黑体-GB2312"/>
          <w:sz w:val="32"/>
          <w:szCs w:val="32"/>
          <w:lang w:val="en-US" w:eastAsia="zh-CN"/>
        </w:rPr>
        <w:t>经济效益指标：</w:t>
      </w:r>
    </w:p>
    <w:p>
      <w:pPr>
        <w:numPr>
          <w:ilvl w:val="0"/>
          <w:numId w:val="0"/>
        </w:numPr>
        <w:ind w:firstLine="420"/>
        <w:jc w:val="both"/>
        <w:rPr>
          <w:rFonts w:hint="eastAsia"/>
          <w:sz w:val="28"/>
          <w:szCs w:val="28"/>
          <w:lang w:val="en-US" w:eastAsia="zh-CN"/>
        </w:rPr>
      </w:pPr>
      <w:r>
        <w:rPr>
          <w:rFonts w:hint="eastAsia"/>
          <w:sz w:val="28"/>
          <w:szCs w:val="28"/>
          <w:lang w:val="en-US" w:eastAsia="zh-CN"/>
        </w:rPr>
        <w:t>指标1：提升农民粮食产量及效益促进农民增收</w:t>
      </w:r>
      <w:r>
        <w:rPr>
          <w:rFonts w:hint="eastAsia"/>
          <w:sz w:val="28"/>
          <w:szCs w:val="28"/>
          <w:lang w:val="en-US" w:eastAsia="zh-CN"/>
        </w:rPr>
        <w:tab/>
      </w:r>
      <w:r>
        <w:rPr>
          <w:rFonts w:hint="eastAsia"/>
          <w:sz w:val="28"/>
          <w:szCs w:val="28"/>
          <w:lang w:val="en-US" w:eastAsia="zh-CN"/>
        </w:rPr>
        <w:tab/>
      </w:r>
      <w:r>
        <w:rPr>
          <w:rFonts w:hint="eastAsia"/>
          <w:sz w:val="28"/>
          <w:szCs w:val="28"/>
          <w:lang w:val="en-US" w:eastAsia="zh-CN"/>
        </w:rPr>
        <w:t xml:space="preserve">明显提升 </w:t>
      </w:r>
      <w:r>
        <w:rPr>
          <w:rFonts w:hint="eastAsia"/>
          <w:sz w:val="28"/>
          <w:szCs w:val="28"/>
          <w:lang w:val="en-US" w:eastAsia="zh-CN"/>
        </w:rPr>
        <w:tab/>
      </w:r>
      <w:r>
        <w:rPr>
          <w:rFonts w:hint="eastAsia"/>
          <w:sz w:val="28"/>
          <w:szCs w:val="28"/>
          <w:lang w:val="en-US" w:eastAsia="zh-CN"/>
        </w:rPr>
        <w:t>明显提升</w:t>
      </w:r>
      <w:r>
        <w:rPr>
          <w:rFonts w:hint="eastAsia"/>
          <w:sz w:val="28"/>
          <w:szCs w:val="28"/>
          <w:lang w:val="en-US" w:eastAsia="zh-CN"/>
        </w:rPr>
        <w:tab/>
      </w:r>
    </w:p>
    <w:p>
      <w:pPr>
        <w:numPr>
          <w:ilvl w:val="0"/>
          <w:numId w:val="0"/>
        </w:numPr>
        <w:ind w:firstLine="420"/>
        <w:jc w:val="both"/>
        <w:rPr>
          <w:rFonts w:hint="eastAsia" w:ascii="CESI黑体-GB2312" w:hAnsi="CESI黑体-GB2312" w:eastAsia="CESI黑体-GB2312" w:cs="CESI黑体-GB2312"/>
          <w:sz w:val="32"/>
          <w:szCs w:val="32"/>
          <w:lang w:val="en-US" w:eastAsia="zh-CN"/>
        </w:rPr>
      </w:pPr>
      <w:r>
        <w:rPr>
          <w:rFonts w:hint="eastAsia" w:ascii="CESI黑体-GB2312" w:hAnsi="CESI黑体-GB2312" w:eastAsia="CESI黑体-GB2312" w:cs="CESI黑体-GB2312"/>
          <w:sz w:val="32"/>
          <w:szCs w:val="32"/>
          <w:lang w:val="en-US" w:eastAsia="zh-CN"/>
        </w:rPr>
        <w:t>社会效益指标：</w:t>
      </w:r>
    </w:p>
    <w:p>
      <w:pPr>
        <w:numPr>
          <w:ilvl w:val="0"/>
          <w:numId w:val="0"/>
        </w:numPr>
        <w:ind w:firstLine="420"/>
        <w:jc w:val="both"/>
        <w:rPr>
          <w:rFonts w:hint="eastAsia"/>
          <w:sz w:val="28"/>
          <w:szCs w:val="28"/>
          <w:lang w:val="en-US" w:eastAsia="zh-CN"/>
        </w:rPr>
      </w:pPr>
      <w:r>
        <w:rPr>
          <w:rFonts w:hint="eastAsia"/>
          <w:sz w:val="28"/>
          <w:szCs w:val="28"/>
          <w:lang w:val="en-US" w:eastAsia="zh-CN"/>
        </w:rPr>
        <w:t>指标1：粮食综合生产能力</w:t>
      </w:r>
      <w:r>
        <w:rPr>
          <w:rFonts w:hint="eastAsia"/>
          <w:sz w:val="28"/>
          <w:szCs w:val="28"/>
          <w:lang w:val="en-US" w:eastAsia="zh-CN"/>
        </w:rPr>
        <w:tab/>
      </w:r>
      <w:r>
        <w:rPr>
          <w:rFonts w:hint="eastAsia"/>
          <w:sz w:val="28"/>
          <w:szCs w:val="28"/>
          <w:lang w:val="en-US" w:eastAsia="zh-CN"/>
        </w:rPr>
        <w:tab/>
      </w:r>
      <w:r>
        <w:rPr>
          <w:rFonts w:hint="eastAsia"/>
          <w:sz w:val="28"/>
          <w:szCs w:val="28"/>
          <w:lang w:val="en-US" w:eastAsia="zh-CN"/>
        </w:rPr>
        <w:t xml:space="preserve">明显提升 </w:t>
      </w:r>
      <w:r>
        <w:rPr>
          <w:rFonts w:hint="eastAsia"/>
          <w:sz w:val="28"/>
          <w:szCs w:val="28"/>
          <w:lang w:val="en-US" w:eastAsia="zh-CN"/>
        </w:rPr>
        <w:tab/>
      </w:r>
      <w:r>
        <w:rPr>
          <w:rFonts w:hint="eastAsia"/>
          <w:sz w:val="28"/>
          <w:szCs w:val="28"/>
          <w:lang w:val="en-US" w:eastAsia="zh-CN"/>
        </w:rPr>
        <w:t>明显提升</w:t>
      </w:r>
      <w:r>
        <w:rPr>
          <w:rFonts w:hint="eastAsia"/>
          <w:sz w:val="28"/>
          <w:szCs w:val="28"/>
          <w:lang w:val="en-US" w:eastAsia="zh-CN"/>
        </w:rPr>
        <w:tab/>
      </w:r>
    </w:p>
    <w:p>
      <w:pPr>
        <w:numPr>
          <w:ilvl w:val="0"/>
          <w:numId w:val="0"/>
        </w:numPr>
        <w:ind w:firstLine="420"/>
        <w:jc w:val="both"/>
        <w:rPr>
          <w:rFonts w:hint="eastAsia"/>
          <w:sz w:val="28"/>
          <w:szCs w:val="28"/>
          <w:lang w:val="en-US" w:eastAsia="zh-CN"/>
        </w:rPr>
      </w:pPr>
      <w:r>
        <w:rPr>
          <w:rFonts w:hint="eastAsia"/>
          <w:sz w:val="28"/>
          <w:szCs w:val="28"/>
          <w:lang w:val="en-US" w:eastAsia="zh-CN"/>
        </w:rPr>
        <w:t>指标2：资金使用违纪违规问题</w:t>
      </w:r>
      <w:r>
        <w:rPr>
          <w:rFonts w:hint="eastAsia"/>
          <w:sz w:val="28"/>
          <w:szCs w:val="28"/>
          <w:lang w:val="en-US" w:eastAsia="zh-CN"/>
        </w:rPr>
        <w:tab/>
      </w:r>
      <w:r>
        <w:rPr>
          <w:rFonts w:hint="eastAsia"/>
          <w:sz w:val="28"/>
          <w:szCs w:val="28"/>
          <w:lang w:val="en-US" w:eastAsia="zh-CN"/>
        </w:rPr>
        <w:tab/>
      </w:r>
      <w:r>
        <w:rPr>
          <w:rFonts w:hint="eastAsia"/>
          <w:sz w:val="28"/>
          <w:szCs w:val="28"/>
          <w:lang w:val="en-US" w:eastAsia="zh-CN"/>
        </w:rPr>
        <w:t>无</w:t>
      </w:r>
      <w:r>
        <w:rPr>
          <w:rFonts w:hint="eastAsia"/>
          <w:sz w:val="28"/>
          <w:szCs w:val="28"/>
          <w:lang w:val="en-US" w:eastAsia="zh-CN"/>
        </w:rPr>
        <w:tab/>
      </w:r>
      <w:r>
        <w:rPr>
          <w:rFonts w:hint="eastAsia"/>
          <w:sz w:val="28"/>
          <w:szCs w:val="28"/>
          <w:lang w:val="en-US" w:eastAsia="zh-CN"/>
        </w:rPr>
        <w:t xml:space="preserve"> 无</w:t>
      </w:r>
      <w:r>
        <w:rPr>
          <w:rFonts w:hint="eastAsia"/>
          <w:sz w:val="28"/>
          <w:szCs w:val="28"/>
          <w:lang w:val="en-US" w:eastAsia="zh-CN"/>
        </w:rPr>
        <w:tab/>
      </w:r>
    </w:p>
    <w:p>
      <w:pPr>
        <w:numPr>
          <w:ilvl w:val="0"/>
          <w:numId w:val="0"/>
        </w:numPr>
        <w:ind w:firstLine="420"/>
        <w:jc w:val="both"/>
        <w:rPr>
          <w:rFonts w:hint="eastAsia" w:ascii="CESI黑体-GB2312" w:hAnsi="CESI黑体-GB2312" w:eastAsia="CESI黑体-GB2312" w:cs="CESI黑体-GB2312"/>
          <w:sz w:val="32"/>
          <w:szCs w:val="32"/>
          <w:lang w:val="en-US" w:eastAsia="zh-CN"/>
        </w:rPr>
      </w:pPr>
      <w:r>
        <w:rPr>
          <w:rFonts w:hint="eastAsia" w:ascii="CESI黑体-GB2312" w:hAnsi="CESI黑体-GB2312" w:eastAsia="CESI黑体-GB2312" w:cs="CESI黑体-GB2312"/>
          <w:sz w:val="32"/>
          <w:szCs w:val="32"/>
          <w:lang w:val="en-US" w:eastAsia="zh-CN"/>
        </w:rPr>
        <w:t>生态效益指标：</w:t>
      </w:r>
    </w:p>
    <w:p>
      <w:pPr>
        <w:numPr>
          <w:ilvl w:val="0"/>
          <w:numId w:val="0"/>
        </w:numPr>
        <w:ind w:firstLine="420"/>
        <w:jc w:val="both"/>
        <w:rPr>
          <w:rFonts w:hint="eastAsia"/>
          <w:sz w:val="28"/>
          <w:szCs w:val="28"/>
          <w:lang w:val="en-US" w:eastAsia="zh-CN"/>
        </w:rPr>
      </w:pPr>
      <w:r>
        <w:rPr>
          <w:rFonts w:hint="eastAsia"/>
          <w:sz w:val="28"/>
          <w:szCs w:val="28"/>
          <w:lang w:val="en-US" w:eastAsia="zh-CN"/>
        </w:rPr>
        <w:t>指标1：耕地质量</w:t>
      </w:r>
      <w:r>
        <w:rPr>
          <w:rFonts w:hint="eastAsia"/>
          <w:sz w:val="28"/>
          <w:szCs w:val="28"/>
          <w:lang w:val="en-US" w:eastAsia="zh-CN"/>
        </w:rPr>
        <w:tab/>
      </w:r>
      <w:r>
        <w:rPr>
          <w:rFonts w:hint="eastAsia"/>
          <w:sz w:val="28"/>
          <w:szCs w:val="28"/>
          <w:lang w:val="en-US" w:eastAsia="zh-CN"/>
        </w:rPr>
        <w:tab/>
      </w:r>
      <w:r>
        <w:rPr>
          <w:rFonts w:hint="eastAsia"/>
          <w:sz w:val="28"/>
          <w:szCs w:val="28"/>
          <w:lang w:val="en-US" w:eastAsia="zh-CN"/>
        </w:rPr>
        <w:t xml:space="preserve">逐步提升 </w:t>
      </w:r>
      <w:r>
        <w:rPr>
          <w:rFonts w:hint="eastAsia"/>
          <w:sz w:val="28"/>
          <w:szCs w:val="28"/>
          <w:lang w:val="en-US" w:eastAsia="zh-CN"/>
        </w:rPr>
        <w:tab/>
      </w:r>
      <w:r>
        <w:rPr>
          <w:rFonts w:hint="eastAsia"/>
          <w:sz w:val="28"/>
          <w:szCs w:val="28"/>
          <w:lang w:val="en-US" w:eastAsia="zh-CN"/>
        </w:rPr>
        <w:t>耕地质量正在逐步提升</w:t>
      </w:r>
      <w:r>
        <w:rPr>
          <w:rFonts w:hint="eastAsia"/>
          <w:sz w:val="28"/>
          <w:szCs w:val="28"/>
          <w:lang w:val="en-US" w:eastAsia="zh-CN"/>
        </w:rPr>
        <w:tab/>
      </w:r>
    </w:p>
    <w:p>
      <w:pPr>
        <w:numPr>
          <w:ilvl w:val="0"/>
          <w:numId w:val="0"/>
        </w:numPr>
        <w:ind w:firstLine="420"/>
        <w:jc w:val="both"/>
        <w:rPr>
          <w:rFonts w:hint="eastAsia" w:ascii="CESI黑体-GB2312" w:hAnsi="CESI黑体-GB2312" w:eastAsia="CESI黑体-GB2312" w:cs="CESI黑体-GB2312"/>
          <w:sz w:val="32"/>
          <w:szCs w:val="32"/>
          <w:lang w:val="en-US" w:eastAsia="zh-CN"/>
        </w:rPr>
      </w:pPr>
      <w:r>
        <w:rPr>
          <w:rFonts w:hint="eastAsia" w:ascii="CESI黑体-GB2312" w:hAnsi="CESI黑体-GB2312" w:eastAsia="CESI黑体-GB2312" w:cs="CESI黑体-GB2312"/>
          <w:sz w:val="32"/>
          <w:szCs w:val="32"/>
          <w:lang w:val="en-US" w:eastAsia="zh-CN"/>
        </w:rPr>
        <w:t>可持续影响指标：</w:t>
      </w:r>
    </w:p>
    <w:p>
      <w:pPr>
        <w:numPr>
          <w:ilvl w:val="0"/>
          <w:numId w:val="0"/>
        </w:numPr>
        <w:ind w:firstLine="420"/>
        <w:jc w:val="both"/>
        <w:rPr>
          <w:rFonts w:hint="eastAsia"/>
          <w:sz w:val="28"/>
          <w:szCs w:val="28"/>
          <w:lang w:val="en-US" w:eastAsia="zh-CN"/>
        </w:rPr>
      </w:pPr>
      <w:r>
        <w:rPr>
          <w:rFonts w:hint="eastAsia"/>
          <w:sz w:val="28"/>
          <w:szCs w:val="28"/>
          <w:lang w:val="en-US" w:eastAsia="zh-CN"/>
        </w:rPr>
        <w:t>指标1：水资源利用率</w:t>
      </w:r>
      <w:r>
        <w:rPr>
          <w:rFonts w:hint="eastAsia"/>
          <w:sz w:val="28"/>
          <w:szCs w:val="28"/>
          <w:lang w:val="en-US" w:eastAsia="zh-CN"/>
        </w:rPr>
        <w:tab/>
      </w:r>
      <w:r>
        <w:rPr>
          <w:rFonts w:hint="eastAsia"/>
          <w:sz w:val="28"/>
          <w:szCs w:val="28"/>
          <w:lang w:val="en-US" w:eastAsia="zh-CN"/>
        </w:rPr>
        <w:t>逐步提升</w:t>
      </w:r>
      <w:r>
        <w:rPr>
          <w:rFonts w:hint="eastAsia"/>
          <w:sz w:val="28"/>
          <w:szCs w:val="28"/>
          <w:lang w:val="en-US" w:eastAsia="zh-CN"/>
        </w:rPr>
        <w:tab/>
      </w:r>
      <w:r>
        <w:rPr>
          <w:rFonts w:hint="eastAsia"/>
          <w:sz w:val="28"/>
          <w:szCs w:val="28"/>
          <w:lang w:val="en-US" w:eastAsia="zh-CN"/>
        </w:rPr>
        <w:t>水资源利用率正在逐步提升</w:t>
      </w:r>
    </w:p>
    <w:p>
      <w:pPr>
        <w:numPr>
          <w:ilvl w:val="0"/>
          <w:numId w:val="0"/>
        </w:numPr>
        <w:ind w:firstLine="420"/>
        <w:jc w:val="both"/>
        <w:rPr>
          <w:rFonts w:hint="eastAsia"/>
          <w:sz w:val="28"/>
          <w:szCs w:val="28"/>
          <w:lang w:val="en-US" w:eastAsia="zh-CN"/>
        </w:rPr>
      </w:pPr>
      <w:r>
        <w:rPr>
          <w:rFonts w:hint="eastAsia"/>
          <w:sz w:val="28"/>
          <w:szCs w:val="28"/>
          <w:lang w:val="en-US" w:eastAsia="zh-CN"/>
        </w:rPr>
        <w:t>指标2：提出并完善耕地土壤退化（酸化）治理修复对策</w:t>
      </w:r>
      <w:r>
        <w:rPr>
          <w:rFonts w:hint="eastAsia"/>
          <w:sz w:val="28"/>
          <w:szCs w:val="28"/>
          <w:lang w:val="en-US" w:eastAsia="zh-CN"/>
        </w:rPr>
        <w:tab/>
      </w:r>
      <w:r>
        <w:rPr>
          <w:rFonts w:hint="eastAsia"/>
          <w:sz w:val="28"/>
          <w:szCs w:val="28"/>
          <w:lang w:val="en-US" w:eastAsia="zh-CN"/>
        </w:rPr>
        <w:tab/>
      </w:r>
      <w:r>
        <w:rPr>
          <w:rFonts w:hint="eastAsia"/>
          <w:sz w:val="28"/>
          <w:szCs w:val="28"/>
          <w:lang w:val="en-US" w:eastAsia="zh-CN"/>
        </w:rPr>
        <w:t>逐步完善</w:t>
      </w:r>
      <w:r>
        <w:rPr>
          <w:rFonts w:hint="eastAsia"/>
          <w:sz w:val="28"/>
          <w:szCs w:val="28"/>
          <w:lang w:val="en-US" w:eastAsia="zh-CN"/>
        </w:rPr>
        <w:tab/>
      </w:r>
      <w:r>
        <w:rPr>
          <w:rFonts w:hint="eastAsia"/>
          <w:sz w:val="28"/>
          <w:szCs w:val="28"/>
          <w:lang w:val="en-US" w:eastAsia="zh-CN"/>
        </w:rPr>
        <w:t>逐步完善耕地土壤退化（酸化）治理修复对策</w:t>
      </w:r>
      <w:r>
        <w:rPr>
          <w:rFonts w:hint="eastAsia"/>
          <w:sz w:val="28"/>
          <w:szCs w:val="28"/>
          <w:lang w:val="en-US" w:eastAsia="zh-CN"/>
        </w:rPr>
        <w:tab/>
      </w:r>
    </w:p>
    <w:p>
      <w:pPr>
        <w:numPr>
          <w:ilvl w:val="0"/>
          <w:numId w:val="0"/>
        </w:numPr>
        <w:ind w:firstLine="420"/>
        <w:jc w:val="both"/>
        <w:rPr>
          <w:rFonts w:hint="eastAsia" w:ascii="CESI黑体-GB2312" w:hAnsi="CESI黑体-GB2312" w:eastAsia="CESI黑体-GB2312" w:cs="CESI黑体-GB2312"/>
          <w:sz w:val="32"/>
          <w:szCs w:val="32"/>
          <w:lang w:val="en-US" w:eastAsia="zh-CN"/>
        </w:rPr>
      </w:pPr>
      <w:r>
        <w:rPr>
          <w:rFonts w:hint="eastAsia" w:ascii="CESI黑体-GB2312" w:hAnsi="CESI黑体-GB2312" w:eastAsia="CESI黑体-GB2312" w:cs="CESI黑体-GB2312"/>
          <w:sz w:val="32"/>
          <w:szCs w:val="32"/>
          <w:lang w:val="en-US" w:eastAsia="zh-CN"/>
        </w:rPr>
        <w:t>服务对象满意度指标：</w:t>
      </w:r>
    </w:p>
    <w:p>
      <w:pPr>
        <w:numPr>
          <w:ilvl w:val="0"/>
          <w:numId w:val="0"/>
        </w:numPr>
        <w:ind w:firstLine="420"/>
        <w:jc w:val="both"/>
        <w:rPr>
          <w:rFonts w:hint="eastAsia"/>
          <w:sz w:val="28"/>
          <w:szCs w:val="28"/>
          <w:lang w:val="en-US" w:eastAsia="zh-CN"/>
        </w:rPr>
      </w:pPr>
      <w:r>
        <w:rPr>
          <w:rFonts w:hint="eastAsia"/>
          <w:sz w:val="28"/>
          <w:szCs w:val="28"/>
          <w:lang w:val="en-US" w:eastAsia="zh-CN"/>
        </w:rPr>
        <w:t>指标1：耕地地力保护补贴政策满意度（%）</w:t>
      </w:r>
      <w:r>
        <w:rPr>
          <w:rFonts w:hint="eastAsia"/>
          <w:sz w:val="28"/>
          <w:szCs w:val="28"/>
          <w:lang w:val="en-US" w:eastAsia="zh-CN"/>
        </w:rPr>
        <w:tab/>
      </w:r>
      <w:r>
        <w:rPr>
          <w:rFonts w:hint="eastAsia"/>
          <w:sz w:val="28"/>
          <w:szCs w:val="28"/>
          <w:lang w:val="en-US" w:eastAsia="zh-CN"/>
        </w:rPr>
        <w:t xml:space="preserve">≥90  </w:t>
      </w:r>
      <w:r>
        <w:rPr>
          <w:rFonts w:hint="eastAsia"/>
          <w:sz w:val="28"/>
          <w:szCs w:val="28"/>
          <w:lang w:val="en-US" w:eastAsia="zh-CN"/>
        </w:rPr>
        <w:tab/>
      </w:r>
      <w:r>
        <w:rPr>
          <w:rFonts w:hint="eastAsia"/>
          <w:sz w:val="28"/>
          <w:szCs w:val="28"/>
          <w:lang w:val="en-US" w:eastAsia="zh-CN"/>
        </w:rPr>
        <w:t>100</w:t>
      </w:r>
    </w:p>
    <w:p>
      <w:pPr>
        <w:numPr>
          <w:ilvl w:val="0"/>
          <w:numId w:val="0"/>
        </w:numPr>
        <w:ind w:firstLine="420"/>
        <w:jc w:val="both"/>
        <w:rPr>
          <w:rFonts w:hint="eastAsia"/>
          <w:b/>
          <w:bCs/>
          <w:sz w:val="28"/>
          <w:szCs w:val="28"/>
          <w:lang w:val="en-US" w:eastAsia="zh-CN"/>
        </w:rPr>
      </w:pPr>
      <w:r>
        <w:rPr>
          <w:rFonts w:hint="eastAsia"/>
          <w:b/>
          <w:bCs/>
          <w:sz w:val="28"/>
          <w:szCs w:val="28"/>
          <w:lang w:val="en-US" w:eastAsia="zh-CN"/>
        </w:rPr>
        <w:t>三、偏离绩效目标的原因和下一步改进措施</w:t>
      </w:r>
    </w:p>
    <w:p>
      <w:pPr>
        <w:numPr>
          <w:ilvl w:val="0"/>
          <w:numId w:val="0"/>
        </w:numPr>
        <w:ind w:firstLine="420"/>
        <w:jc w:val="both"/>
        <w:rPr>
          <w:rFonts w:hint="eastAsia"/>
          <w:sz w:val="28"/>
          <w:szCs w:val="28"/>
          <w:lang w:val="en-US" w:eastAsia="zh-CN"/>
        </w:rPr>
      </w:pPr>
      <w:r>
        <w:rPr>
          <w:rFonts w:hint="eastAsia"/>
          <w:sz w:val="28"/>
          <w:szCs w:val="28"/>
          <w:lang w:val="en-US" w:eastAsia="zh-CN"/>
        </w:rPr>
        <w:t>第三次土壤普查项目实施期限未到，目前正在推进中；高标准农田建设支出项目目前正在推进中。</w:t>
      </w:r>
    </w:p>
    <w:p>
      <w:pPr>
        <w:numPr>
          <w:ilvl w:val="0"/>
          <w:numId w:val="3"/>
        </w:numPr>
        <w:ind w:firstLine="420"/>
        <w:jc w:val="both"/>
        <w:rPr>
          <w:rFonts w:hint="default"/>
          <w:b/>
          <w:bCs/>
          <w:sz w:val="28"/>
          <w:szCs w:val="28"/>
          <w:lang w:val="en-US" w:eastAsia="zh-CN"/>
        </w:rPr>
      </w:pPr>
      <w:r>
        <w:rPr>
          <w:rFonts w:hint="eastAsia"/>
          <w:b/>
          <w:bCs/>
          <w:sz w:val="28"/>
          <w:szCs w:val="28"/>
          <w:lang w:val="en-US" w:eastAsia="zh-CN"/>
        </w:rPr>
        <w:t>绩效自评结果拟应用和公开情况</w:t>
      </w:r>
    </w:p>
    <w:p>
      <w:pPr>
        <w:numPr>
          <w:ilvl w:val="0"/>
          <w:numId w:val="0"/>
        </w:numPr>
        <w:ind w:firstLine="420"/>
        <w:jc w:val="both"/>
        <w:rPr>
          <w:rFonts w:hint="default"/>
          <w:sz w:val="28"/>
          <w:szCs w:val="28"/>
          <w:lang w:val="en-US" w:eastAsia="zh-CN"/>
        </w:rPr>
      </w:pPr>
      <w:r>
        <w:rPr>
          <w:rFonts w:hint="eastAsia"/>
          <w:sz w:val="28"/>
          <w:szCs w:val="28"/>
          <w:lang w:val="en-US" w:eastAsia="zh-CN"/>
        </w:rPr>
        <w:t>我单位按规定对上级转移支付资金项目开展绩效自评工作，绩效公开情况已在政府部门公开网站上公开。</w:t>
      </w:r>
    </w:p>
    <w:p>
      <w:pPr>
        <w:numPr>
          <w:ilvl w:val="0"/>
          <w:numId w:val="3"/>
        </w:numPr>
        <w:ind w:firstLine="420"/>
        <w:jc w:val="both"/>
        <w:rPr>
          <w:rFonts w:hint="default"/>
          <w:sz w:val="28"/>
          <w:szCs w:val="28"/>
          <w:highlight w:val="none"/>
          <w:lang w:val="en-US" w:eastAsia="zh-CN"/>
        </w:rPr>
      </w:pPr>
      <w:r>
        <w:rPr>
          <w:rFonts w:hint="eastAsia"/>
          <w:b/>
          <w:bCs/>
          <w:sz w:val="28"/>
          <w:szCs w:val="28"/>
          <w:lang w:val="en-US" w:eastAsia="zh-CN"/>
        </w:rPr>
        <w:t>其他需要说明的问题</w:t>
      </w:r>
    </w:p>
    <w:p>
      <w:pPr>
        <w:numPr>
          <w:ilvl w:val="0"/>
          <w:numId w:val="0"/>
        </w:numPr>
        <w:jc w:val="both"/>
        <w:rPr>
          <w:rFonts w:hint="default"/>
          <w:sz w:val="28"/>
          <w:szCs w:val="28"/>
          <w:highlight w:val="none"/>
          <w:lang w:val="en-US" w:eastAsia="zh-CN"/>
        </w:rPr>
      </w:pPr>
      <w:r>
        <w:rPr>
          <w:rFonts w:hint="eastAsia"/>
          <w:sz w:val="28"/>
          <w:szCs w:val="28"/>
          <w:highlight w:val="none"/>
          <w:lang w:val="en-US" w:eastAsia="zh-CN"/>
        </w:rPr>
        <w:t xml:space="preserve">   无</w:t>
      </w:r>
    </w:p>
    <w:p>
      <w:pPr>
        <w:numPr>
          <w:ilvl w:val="0"/>
          <w:numId w:val="3"/>
        </w:numPr>
        <w:ind w:left="0" w:leftChars="0" w:firstLine="420" w:firstLineChars="0"/>
        <w:jc w:val="both"/>
        <w:rPr>
          <w:rFonts w:hint="eastAsia"/>
          <w:b/>
          <w:bCs/>
          <w:sz w:val="28"/>
          <w:szCs w:val="28"/>
          <w:lang w:val="en-US" w:eastAsia="zh-CN"/>
        </w:rPr>
      </w:pPr>
      <w:r>
        <w:rPr>
          <w:rFonts w:hint="eastAsia"/>
          <w:b/>
          <w:bCs/>
          <w:sz w:val="28"/>
          <w:szCs w:val="28"/>
          <w:lang w:val="en-US" w:eastAsia="zh-CN"/>
        </w:rPr>
        <w:t>附件</w:t>
      </w:r>
    </w:p>
    <w:tbl>
      <w:tblPr>
        <w:tblW w:w="9596"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528"/>
        <w:gridCol w:w="443"/>
        <w:gridCol w:w="986"/>
        <w:gridCol w:w="1566"/>
        <w:gridCol w:w="1368"/>
        <w:gridCol w:w="1226"/>
        <w:gridCol w:w="1497"/>
        <w:gridCol w:w="198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813" w:hRule="atLeast"/>
        </w:trPr>
        <w:tc>
          <w:tcPr>
            <w:tcW w:w="444" w:type="dxa"/>
            <w:tcBorders>
              <w:top w:val="nil"/>
              <w:left w:val="nil"/>
              <w:bottom w:val="nil"/>
              <w:right w:val="nil"/>
            </w:tcBorders>
            <w:shd w:val="clear"/>
            <w:noWrap/>
            <w:vAlign w:val="center"/>
          </w:tcPr>
          <w:p>
            <w:pPr>
              <w:keepNext w:val="0"/>
              <w:keepLines w:val="0"/>
              <w:widowControl/>
              <w:suppressLineNumbers w:val="0"/>
              <w:jc w:val="left"/>
              <w:textAlignment w:val="center"/>
              <w:rPr>
                <w:rFonts w:ascii="黑体" w:hAnsi="宋体" w:eastAsia="黑体" w:cs="黑体"/>
                <w:i w:val="0"/>
                <w:iCs w:val="0"/>
                <w:color w:val="000000"/>
                <w:sz w:val="24"/>
                <w:szCs w:val="24"/>
                <w:u w:val="none"/>
              </w:rPr>
            </w:pPr>
            <w:r>
              <w:rPr>
                <w:rFonts w:hint="default" w:ascii="黑体" w:hAnsi="宋体" w:eastAsia="黑体" w:cs="黑体"/>
                <w:i w:val="0"/>
                <w:iCs w:val="0"/>
                <w:color w:val="000000"/>
                <w:kern w:val="0"/>
                <w:sz w:val="24"/>
                <w:szCs w:val="24"/>
                <w:u w:val="none"/>
                <w:bdr w:val="none" w:color="auto" w:sz="0" w:space="0"/>
                <w:lang w:val="en-US" w:eastAsia="zh-CN" w:bidi="ar"/>
              </w:rPr>
              <w:t>附件2</w:t>
            </w:r>
          </w:p>
        </w:tc>
        <w:tc>
          <w:tcPr>
            <w:tcW w:w="444" w:type="dxa"/>
            <w:tcBorders>
              <w:top w:val="nil"/>
              <w:left w:val="nil"/>
              <w:bottom w:val="nil"/>
              <w:right w:val="nil"/>
            </w:tcBorders>
            <w:shd w:val="clear"/>
            <w:vAlign w:val="center"/>
          </w:tcPr>
          <w:p>
            <w:pPr>
              <w:rPr>
                <w:rFonts w:hint="default" w:ascii="黑体" w:hAnsi="宋体" w:eastAsia="黑体" w:cs="黑体"/>
                <w:i w:val="0"/>
                <w:iCs w:val="0"/>
                <w:color w:val="000000"/>
                <w:sz w:val="24"/>
                <w:szCs w:val="24"/>
                <w:u w:val="none"/>
              </w:rPr>
            </w:pPr>
          </w:p>
        </w:tc>
        <w:tc>
          <w:tcPr>
            <w:tcW w:w="997" w:type="dxa"/>
            <w:tcBorders>
              <w:top w:val="nil"/>
              <w:left w:val="nil"/>
              <w:bottom w:val="nil"/>
              <w:right w:val="nil"/>
            </w:tcBorders>
            <w:shd w:val="clear"/>
            <w:vAlign w:val="center"/>
          </w:tcPr>
          <w:p>
            <w:pPr>
              <w:rPr>
                <w:rFonts w:hint="default" w:ascii="黑体" w:hAnsi="宋体" w:eastAsia="黑体" w:cs="黑体"/>
                <w:i w:val="0"/>
                <w:iCs w:val="0"/>
                <w:color w:val="000000"/>
                <w:sz w:val="24"/>
                <w:szCs w:val="24"/>
                <w:u w:val="none"/>
              </w:rPr>
            </w:pPr>
          </w:p>
        </w:tc>
        <w:tc>
          <w:tcPr>
            <w:tcW w:w="1585" w:type="dxa"/>
            <w:tcBorders>
              <w:top w:val="nil"/>
              <w:left w:val="nil"/>
              <w:bottom w:val="nil"/>
              <w:right w:val="nil"/>
            </w:tcBorders>
            <w:shd w:val="clear"/>
            <w:vAlign w:val="center"/>
          </w:tcPr>
          <w:p>
            <w:pPr>
              <w:rPr>
                <w:rFonts w:hint="default" w:ascii="黑体" w:hAnsi="宋体" w:eastAsia="黑体" w:cs="黑体"/>
                <w:i w:val="0"/>
                <w:iCs w:val="0"/>
                <w:color w:val="000000"/>
                <w:sz w:val="24"/>
                <w:szCs w:val="24"/>
                <w:u w:val="none"/>
              </w:rPr>
            </w:pPr>
          </w:p>
        </w:tc>
        <w:tc>
          <w:tcPr>
            <w:tcW w:w="1380" w:type="dxa"/>
            <w:tcBorders>
              <w:top w:val="nil"/>
              <w:left w:val="nil"/>
              <w:bottom w:val="nil"/>
              <w:right w:val="nil"/>
            </w:tcBorders>
            <w:shd w:val="clear"/>
            <w:vAlign w:val="center"/>
          </w:tcPr>
          <w:p>
            <w:pPr>
              <w:rPr>
                <w:rFonts w:hint="eastAsia" w:ascii="宋体" w:hAnsi="宋体" w:eastAsia="宋体" w:cs="宋体"/>
                <w:i w:val="0"/>
                <w:iCs w:val="0"/>
                <w:color w:val="000000"/>
                <w:sz w:val="24"/>
                <w:szCs w:val="24"/>
                <w:u w:val="none"/>
              </w:rPr>
            </w:pPr>
          </w:p>
        </w:tc>
        <w:tc>
          <w:tcPr>
            <w:tcW w:w="1236" w:type="dxa"/>
            <w:tcBorders>
              <w:top w:val="nil"/>
              <w:left w:val="nil"/>
              <w:bottom w:val="nil"/>
              <w:right w:val="nil"/>
            </w:tcBorders>
            <w:shd w:val="clear"/>
            <w:vAlign w:val="center"/>
          </w:tcPr>
          <w:p>
            <w:pPr>
              <w:rPr>
                <w:rFonts w:hint="eastAsia" w:ascii="宋体" w:hAnsi="宋体" w:eastAsia="宋体" w:cs="宋体"/>
                <w:i w:val="0"/>
                <w:iCs w:val="0"/>
                <w:color w:val="000000"/>
                <w:sz w:val="24"/>
                <w:szCs w:val="24"/>
                <w:u w:val="none"/>
              </w:rPr>
            </w:pPr>
          </w:p>
        </w:tc>
        <w:tc>
          <w:tcPr>
            <w:tcW w:w="1515" w:type="dxa"/>
            <w:tcBorders>
              <w:top w:val="nil"/>
              <w:left w:val="nil"/>
              <w:bottom w:val="nil"/>
              <w:right w:val="nil"/>
            </w:tcBorders>
            <w:shd w:val="clear"/>
            <w:vAlign w:val="center"/>
          </w:tcPr>
          <w:p>
            <w:pPr>
              <w:rPr>
                <w:rFonts w:hint="eastAsia" w:ascii="宋体" w:hAnsi="宋体" w:eastAsia="宋体" w:cs="宋体"/>
                <w:i w:val="0"/>
                <w:iCs w:val="0"/>
                <w:color w:val="000000"/>
                <w:sz w:val="24"/>
                <w:szCs w:val="24"/>
                <w:u w:val="none"/>
              </w:rPr>
            </w:pPr>
          </w:p>
        </w:tc>
        <w:tc>
          <w:tcPr>
            <w:tcW w:w="1995" w:type="dxa"/>
            <w:tcBorders>
              <w:top w:val="nil"/>
              <w:left w:val="nil"/>
              <w:bottom w:val="nil"/>
              <w:right w:val="nil"/>
            </w:tcBorders>
            <w:shd w:val="clear"/>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trHeight w:val="605" w:hRule="atLeast"/>
        </w:trPr>
        <w:tc>
          <w:tcPr>
            <w:tcW w:w="9596" w:type="dxa"/>
            <w:gridSpan w:val="8"/>
            <w:tcBorders>
              <w:top w:val="nil"/>
              <w:left w:val="nil"/>
              <w:bottom w:val="nil"/>
              <w:right w:val="nil"/>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bdr w:val="none" w:color="auto" w:sz="0" w:space="0"/>
                <w:lang w:val="en-US" w:eastAsia="zh-CN" w:bidi="ar"/>
              </w:rPr>
              <w:t>凤台县耕地建设与利用资金项目绩效自评表</w:t>
            </w:r>
            <w:bookmarkStart w:id="0" w:name="_GoBack"/>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5" w:hRule="atLeast"/>
        </w:trPr>
        <w:tc>
          <w:tcPr>
            <w:tcW w:w="9596" w:type="dxa"/>
            <w:gridSpan w:val="8"/>
            <w:tcBorders>
              <w:top w:val="nil"/>
              <w:left w:val="nil"/>
              <w:bottom w:val="single" w:color="000000" w:sz="4" w:space="0"/>
              <w:right w:val="nil"/>
            </w:tcBorders>
            <w:shd w:val="clear"/>
            <w:vAlign w:val="top"/>
          </w:tcPr>
          <w:p>
            <w:pPr>
              <w:keepNext w:val="0"/>
              <w:keepLines w:val="0"/>
              <w:widowControl/>
              <w:suppressLineNumbers w:val="0"/>
              <w:jc w:val="center"/>
              <w:textAlignment w:val="top"/>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9" w:hRule="atLeast"/>
        </w:trPr>
        <w:tc>
          <w:tcPr>
            <w:tcW w:w="1885"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转移支付（项目）名称</w:t>
            </w:r>
          </w:p>
        </w:tc>
        <w:tc>
          <w:tcPr>
            <w:tcW w:w="7711"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耕地建设与利用资金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9" w:hRule="atLeast"/>
        </w:trPr>
        <w:tc>
          <w:tcPr>
            <w:tcW w:w="1885"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中央主管部门</w:t>
            </w:r>
          </w:p>
        </w:tc>
        <w:tc>
          <w:tcPr>
            <w:tcW w:w="7711"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农业农村部、财政部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9" w:hRule="atLeast"/>
        </w:trPr>
        <w:tc>
          <w:tcPr>
            <w:tcW w:w="1885"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地方主管部门</w:t>
            </w:r>
          </w:p>
        </w:tc>
        <w:tc>
          <w:tcPr>
            <w:tcW w:w="2965"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省农业农村厅、省财政厅</w:t>
            </w:r>
          </w:p>
        </w:tc>
        <w:tc>
          <w:tcPr>
            <w:tcW w:w="123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资金使用单位</w:t>
            </w:r>
          </w:p>
        </w:tc>
        <w:tc>
          <w:tcPr>
            <w:tcW w:w="3510"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凤台县农业农村局、凤台县财政局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2" w:hRule="atLeast"/>
        </w:trPr>
        <w:tc>
          <w:tcPr>
            <w:tcW w:w="1885" w:type="dxa"/>
            <w:gridSpan w:val="3"/>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资金投入情况</w:t>
            </w:r>
            <w:r>
              <w:rPr>
                <w:rFonts w:hint="eastAsia" w:ascii="宋体" w:hAnsi="宋体" w:eastAsia="宋体" w:cs="宋体"/>
                <w:i w:val="0"/>
                <w:iCs w:val="0"/>
                <w:color w:val="000000"/>
                <w:kern w:val="0"/>
                <w:sz w:val="20"/>
                <w:szCs w:val="20"/>
                <w:u w:val="none"/>
                <w:bdr w:val="none" w:color="auto" w:sz="0" w:space="0"/>
                <w:lang w:val="en-US" w:eastAsia="zh-CN" w:bidi="ar"/>
              </w:rPr>
              <w:br w:type="textWrapping"/>
            </w:r>
            <w:r>
              <w:rPr>
                <w:rFonts w:hint="eastAsia" w:ascii="宋体" w:hAnsi="宋体" w:eastAsia="宋体" w:cs="宋体"/>
                <w:i w:val="0"/>
                <w:iCs w:val="0"/>
                <w:color w:val="000000"/>
                <w:kern w:val="0"/>
                <w:sz w:val="20"/>
                <w:szCs w:val="20"/>
                <w:u w:val="none"/>
                <w:bdr w:val="none" w:color="auto" w:sz="0" w:space="0"/>
                <w:lang w:val="en-US" w:eastAsia="zh-CN" w:bidi="ar"/>
              </w:rPr>
              <w:t>（万元）</w:t>
            </w:r>
          </w:p>
        </w:tc>
        <w:tc>
          <w:tcPr>
            <w:tcW w:w="1585" w:type="dxa"/>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0"/>
                <w:szCs w:val="20"/>
                <w:u w:val="none"/>
              </w:rPr>
            </w:pP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全年预算数（A）</w:t>
            </w:r>
          </w:p>
        </w:tc>
        <w:tc>
          <w:tcPr>
            <w:tcW w:w="2751"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全年执行数（B）</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预算执行率（B/A</w:t>
            </w:r>
            <w:r>
              <w:rPr>
                <w:rFonts w:ascii="汉仪细圆B5" w:hAnsi="汉仪细圆B5" w:eastAsia="汉仪细圆B5" w:cs="汉仪细圆B5"/>
                <w:i w:val="0"/>
                <w:iCs w:val="0"/>
                <w:color w:val="000000"/>
                <w:kern w:val="0"/>
                <w:sz w:val="20"/>
                <w:szCs w:val="20"/>
                <w:u w:val="none"/>
                <w:bdr w:val="none" w:color="auto" w:sz="0" w:space="0"/>
                <w:lang w:val="en-US" w:eastAsia="zh-CN" w:bidi="ar"/>
              </w:rPr>
              <w:t>×</w:t>
            </w:r>
            <w:r>
              <w:rPr>
                <w:rStyle w:val="10"/>
                <w:bdr w:val="none" w:color="auto" w:sz="0" w:space="0"/>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9" w:hRule="atLeast"/>
        </w:trPr>
        <w:tc>
          <w:tcPr>
            <w:tcW w:w="1885" w:type="dxa"/>
            <w:gridSpan w:val="3"/>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5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年度资金总额：</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12509</w:t>
            </w:r>
          </w:p>
        </w:tc>
        <w:tc>
          <w:tcPr>
            <w:tcW w:w="2751"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9989</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79.85%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59" w:hRule="atLeast"/>
        </w:trPr>
        <w:tc>
          <w:tcPr>
            <w:tcW w:w="1885" w:type="dxa"/>
            <w:gridSpan w:val="3"/>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5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其中：中央财政资金</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华文楷体" w:hAnsi="华文楷体" w:eastAsia="华文楷体" w:cs="华文楷体"/>
                <w:i w:val="0"/>
                <w:iCs w:val="0"/>
                <w:color w:val="000000"/>
                <w:sz w:val="20"/>
                <w:szCs w:val="20"/>
                <w:u w:val="none"/>
              </w:rPr>
            </w:pPr>
            <w:r>
              <w:rPr>
                <w:rFonts w:hint="eastAsia" w:ascii="华文楷体" w:hAnsi="华文楷体" w:eastAsia="华文楷体" w:cs="华文楷体"/>
                <w:i w:val="0"/>
                <w:iCs w:val="0"/>
                <w:color w:val="000000"/>
                <w:kern w:val="0"/>
                <w:sz w:val="20"/>
                <w:szCs w:val="20"/>
                <w:u w:val="none"/>
                <w:bdr w:val="none" w:color="auto" w:sz="0" w:space="0"/>
                <w:lang w:val="en-US" w:eastAsia="zh-CN" w:bidi="ar"/>
              </w:rPr>
              <w:t>11434</w:t>
            </w:r>
          </w:p>
        </w:tc>
        <w:tc>
          <w:tcPr>
            <w:tcW w:w="2751"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9966</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87.16%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9" w:hRule="atLeast"/>
        </w:trPr>
        <w:tc>
          <w:tcPr>
            <w:tcW w:w="1885" w:type="dxa"/>
            <w:gridSpan w:val="3"/>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5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      地方资金</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1075</w:t>
            </w:r>
          </w:p>
        </w:tc>
        <w:tc>
          <w:tcPr>
            <w:tcW w:w="2751"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23</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1885" w:type="dxa"/>
            <w:gridSpan w:val="3"/>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5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 </w:t>
            </w:r>
            <w:r>
              <w:rPr>
                <w:rStyle w:val="11"/>
                <w:bdr w:val="none" w:color="auto" w:sz="0" w:space="0"/>
                <w:lang w:val="en-US" w:eastAsia="zh-CN" w:bidi="ar"/>
              </w:rPr>
              <w:t xml:space="preserve">     其他资金</w:t>
            </w:r>
          </w:p>
        </w:tc>
        <w:tc>
          <w:tcPr>
            <w:tcW w:w="138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2751" w:type="dxa"/>
            <w:gridSpan w:val="2"/>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1885" w:type="dxa"/>
            <w:gridSpan w:val="3"/>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资金管理情况</w:t>
            </w:r>
          </w:p>
        </w:tc>
        <w:tc>
          <w:tcPr>
            <w:tcW w:w="1585" w:type="dxa"/>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0"/>
                <w:szCs w:val="20"/>
                <w:u w:val="none"/>
              </w:rPr>
            </w:pPr>
          </w:p>
        </w:tc>
        <w:tc>
          <w:tcPr>
            <w:tcW w:w="2616"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情况说明</w:t>
            </w:r>
          </w:p>
        </w:tc>
        <w:tc>
          <w:tcPr>
            <w:tcW w:w="3510"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存在问题和改进措施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14" w:hRule="atLeast"/>
        </w:trPr>
        <w:tc>
          <w:tcPr>
            <w:tcW w:w="1885" w:type="dxa"/>
            <w:gridSpan w:val="3"/>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5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分配科学性</w:t>
            </w:r>
          </w:p>
        </w:tc>
        <w:tc>
          <w:tcPr>
            <w:tcW w:w="2616"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严格按照转移支付管理制度及资金管理办法规定的范围和标准分配资金。</w:t>
            </w:r>
          </w:p>
        </w:tc>
        <w:tc>
          <w:tcPr>
            <w:tcW w:w="3510"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16" w:hRule="atLeast"/>
        </w:trPr>
        <w:tc>
          <w:tcPr>
            <w:tcW w:w="1885" w:type="dxa"/>
            <w:gridSpan w:val="3"/>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5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下达及时性</w:t>
            </w:r>
          </w:p>
        </w:tc>
        <w:tc>
          <w:tcPr>
            <w:tcW w:w="2616"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严格按照预算法及其实施条例、转移支付管理制度规定以及资金管理办法规定的时限要求分解下达资金。</w:t>
            </w:r>
          </w:p>
        </w:tc>
        <w:tc>
          <w:tcPr>
            <w:tcW w:w="3510"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16" w:hRule="atLeast"/>
        </w:trPr>
        <w:tc>
          <w:tcPr>
            <w:tcW w:w="1885" w:type="dxa"/>
            <w:gridSpan w:val="3"/>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5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拨付合规性</w:t>
            </w:r>
          </w:p>
        </w:tc>
        <w:tc>
          <w:tcPr>
            <w:tcW w:w="2616"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严格按照国库集中支付制度有关规定支付资金，未出现违规将资金从国库转入财政专户或支付到预算单位实有资金账户等问题。</w:t>
            </w:r>
          </w:p>
        </w:tc>
        <w:tc>
          <w:tcPr>
            <w:tcW w:w="3510"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30" w:hRule="atLeast"/>
        </w:trPr>
        <w:tc>
          <w:tcPr>
            <w:tcW w:w="1885" w:type="dxa"/>
            <w:gridSpan w:val="3"/>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5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使用规范性</w:t>
            </w:r>
          </w:p>
        </w:tc>
        <w:tc>
          <w:tcPr>
            <w:tcW w:w="2616"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严格按照下达预算的科目和项目执行，未出现截留、挤占、挪用或擅自调整等问题。</w:t>
            </w:r>
          </w:p>
        </w:tc>
        <w:tc>
          <w:tcPr>
            <w:tcW w:w="3510"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97" w:hRule="atLeast"/>
        </w:trPr>
        <w:tc>
          <w:tcPr>
            <w:tcW w:w="1885" w:type="dxa"/>
            <w:gridSpan w:val="3"/>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5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执行准确性</w:t>
            </w:r>
          </w:p>
        </w:tc>
        <w:tc>
          <w:tcPr>
            <w:tcW w:w="2616"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按照上级下达和本级预算安排的金额执行。</w:t>
            </w:r>
          </w:p>
        </w:tc>
        <w:tc>
          <w:tcPr>
            <w:tcW w:w="3510"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14" w:hRule="atLeast"/>
        </w:trPr>
        <w:tc>
          <w:tcPr>
            <w:tcW w:w="1885" w:type="dxa"/>
            <w:gridSpan w:val="3"/>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5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预算绩效管理情况</w:t>
            </w:r>
          </w:p>
        </w:tc>
        <w:tc>
          <w:tcPr>
            <w:tcW w:w="2616"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按照下达的绩效目标，开展绩效监控和绩效评价。</w:t>
            </w:r>
          </w:p>
        </w:tc>
        <w:tc>
          <w:tcPr>
            <w:tcW w:w="3510"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14" w:hRule="atLeast"/>
        </w:trPr>
        <w:tc>
          <w:tcPr>
            <w:tcW w:w="1885" w:type="dxa"/>
            <w:gridSpan w:val="3"/>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5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支出责任履行情况</w:t>
            </w:r>
          </w:p>
        </w:tc>
        <w:tc>
          <w:tcPr>
            <w:tcW w:w="2616"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按照财政事权和支出责任划分有关规定，足额安排资金履行本级支出责任。</w:t>
            </w:r>
          </w:p>
        </w:tc>
        <w:tc>
          <w:tcPr>
            <w:tcW w:w="3510"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2" w:hRule="atLeast"/>
        </w:trPr>
        <w:tc>
          <w:tcPr>
            <w:tcW w:w="444" w:type="dxa"/>
            <w:vMerge w:val="restart"/>
            <w:tcBorders>
              <w:top w:val="nil"/>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总体目标完成情况</w:t>
            </w:r>
          </w:p>
        </w:tc>
        <w:tc>
          <w:tcPr>
            <w:tcW w:w="4406" w:type="dxa"/>
            <w:gridSpan w:val="4"/>
            <w:tcBorders>
              <w:top w:val="nil"/>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总体目标</w:t>
            </w:r>
          </w:p>
        </w:tc>
        <w:tc>
          <w:tcPr>
            <w:tcW w:w="4746"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全年实际完成情况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426" w:hRule="atLeast"/>
        </w:trPr>
        <w:tc>
          <w:tcPr>
            <w:tcW w:w="444" w:type="dxa"/>
            <w:vMerge w:val="continue"/>
            <w:tcBorders>
              <w:top w:val="nil"/>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4406" w:type="dxa"/>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目标1.耕地地力保护补贴是按照中央稳增长、促改革、调结构、惠民生的总体部署，实施耕地地力保护补贴，有利于保护农业综合生产能力，促进粮食稳产增产，有利于提高补贴资金发放效能，提高农民补贴收入。 目标2.完成1万亩高标准农田建设改造提升。 目标3.第三次全国土壤普查工作，对土壤在性状、类型、条件、质量状况进行分析最终形成成果汇总等工作，委托第三方进行样点校核、采样、制样、分析等一系列工作。 目标4.田间试验7个、农户施肥情况调查180户、主要农作物测土配方施肥技术覆盖率90%以上。</w:t>
            </w:r>
          </w:p>
        </w:tc>
        <w:tc>
          <w:tcPr>
            <w:tcW w:w="4746"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目标1.根据我县实际情况制定补贴发放实施方案，按照村组登记、乡镇审核、县级核定的程序，9402万元资金已全部发放到位，提高了农民的补贴和种粮积极性。 目标2.完成0.65万亩高标准农田建设改造提升，已拨付资金约570万元（中央547+省级23）。 目标3.2024年5月30日完成688个表层样点采集工作，8月完成剖面样点采集30个，现表层样及剖面样检测共949个已全部完成，资金暂未拨付。 目标4.完成稻麦3414、肥料利用率等田间试验7个；开展农户施肥情况调查180户；主要农作物测土配方施肥技术覆盖率93%；完成年度耕地质量等级评价更新，17万元已全部拨付到位。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218" w:hRule="atLeast"/>
        </w:trPr>
        <w:tc>
          <w:tcPr>
            <w:tcW w:w="444" w:type="dxa"/>
            <w:vMerge w:val="restart"/>
            <w:tcBorders>
              <w:top w:val="single" w:color="000000" w:sz="4" w:space="0"/>
              <w:left w:val="single" w:color="000000" w:sz="4" w:space="0"/>
              <w:bottom w:val="single" w:color="000000" w:sz="4" w:space="0"/>
              <w:right w:val="single" w:color="000000" w:sz="4" w:space="0"/>
            </w:tcBorders>
            <w:shd w:val="clear"/>
            <w:textDirection w:val="tbRlV"/>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绩效指标</w:t>
            </w:r>
          </w:p>
        </w:tc>
        <w:tc>
          <w:tcPr>
            <w:tcW w:w="44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一级</w:t>
            </w:r>
            <w:r>
              <w:rPr>
                <w:rFonts w:hint="eastAsia" w:ascii="宋体" w:hAnsi="宋体" w:eastAsia="宋体" w:cs="宋体"/>
                <w:i w:val="0"/>
                <w:iCs w:val="0"/>
                <w:color w:val="000000"/>
                <w:kern w:val="0"/>
                <w:sz w:val="20"/>
                <w:szCs w:val="20"/>
                <w:u w:val="none"/>
                <w:bdr w:val="none" w:color="auto" w:sz="0" w:space="0"/>
                <w:lang w:val="en-US" w:eastAsia="zh-CN" w:bidi="ar"/>
              </w:rPr>
              <w:br w:type="textWrapping"/>
            </w:r>
            <w:r>
              <w:rPr>
                <w:rFonts w:hint="eastAsia" w:ascii="宋体" w:hAnsi="宋体" w:eastAsia="宋体" w:cs="宋体"/>
                <w:i w:val="0"/>
                <w:iCs w:val="0"/>
                <w:color w:val="000000"/>
                <w:kern w:val="0"/>
                <w:sz w:val="20"/>
                <w:szCs w:val="20"/>
                <w:u w:val="none"/>
                <w:bdr w:val="none" w:color="auto" w:sz="0" w:space="0"/>
                <w:lang w:val="en-US" w:eastAsia="zh-CN" w:bidi="ar"/>
              </w:rPr>
              <w:t>指标</w:t>
            </w:r>
          </w:p>
        </w:tc>
        <w:tc>
          <w:tcPr>
            <w:tcW w:w="99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二级指标</w:t>
            </w:r>
          </w:p>
        </w:tc>
        <w:tc>
          <w:tcPr>
            <w:tcW w:w="2965"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三级指标</w:t>
            </w:r>
          </w:p>
        </w:tc>
        <w:tc>
          <w:tcPr>
            <w:tcW w:w="123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指标值</w:t>
            </w:r>
          </w:p>
        </w:tc>
        <w:tc>
          <w:tcPr>
            <w:tcW w:w="15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全年实际完成值</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未完成原因和改进措施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2" w:hRule="atLeast"/>
        </w:trPr>
        <w:tc>
          <w:tcPr>
            <w:tcW w:w="444" w:type="dxa"/>
            <w:vMerge w:val="continue"/>
            <w:tcBorders>
              <w:top w:val="single" w:color="000000" w:sz="4" w:space="0"/>
              <w:left w:val="single" w:color="000000" w:sz="4" w:space="0"/>
              <w:bottom w:val="single" w:color="000000" w:sz="4" w:space="0"/>
              <w:right w:val="single" w:color="000000" w:sz="4" w:space="0"/>
            </w:tcBorders>
            <w:shd w:val="clear"/>
            <w:textDirection w:val="tbRlV"/>
            <w:vAlign w:val="center"/>
          </w:tcPr>
          <w:p>
            <w:pPr>
              <w:jc w:val="center"/>
              <w:rPr>
                <w:rFonts w:hint="eastAsia" w:ascii="宋体" w:hAnsi="宋体" w:eastAsia="宋体" w:cs="宋体"/>
                <w:i w:val="0"/>
                <w:iCs w:val="0"/>
                <w:color w:val="000000"/>
                <w:sz w:val="20"/>
                <w:szCs w:val="20"/>
                <w:u w:val="none"/>
              </w:rPr>
            </w:pPr>
          </w:p>
        </w:tc>
        <w:tc>
          <w:tcPr>
            <w:tcW w:w="444" w:type="dxa"/>
            <w:vMerge w:val="restar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997"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数量指标</w:t>
            </w:r>
          </w:p>
        </w:tc>
        <w:tc>
          <w:tcPr>
            <w:tcW w:w="2965"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改造提升高标准农田面积(万亩)</w:t>
            </w:r>
          </w:p>
        </w:tc>
        <w:tc>
          <w:tcPr>
            <w:tcW w:w="123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c>
          <w:tcPr>
            <w:tcW w:w="15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0.65</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2" w:hRule="atLeast"/>
        </w:trPr>
        <w:tc>
          <w:tcPr>
            <w:tcW w:w="444" w:type="dxa"/>
            <w:vMerge w:val="continue"/>
            <w:tcBorders>
              <w:top w:val="single" w:color="000000" w:sz="4" w:space="0"/>
              <w:left w:val="single" w:color="000000" w:sz="4" w:space="0"/>
              <w:bottom w:val="single" w:color="000000" w:sz="4" w:space="0"/>
              <w:right w:val="single" w:color="000000" w:sz="4" w:space="0"/>
            </w:tcBorders>
            <w:shd w:val="clear"/>
            <w:textDirection w:val="tbRlV"/>
            <w:vAlign w:val="center"/>
          </w:tcPr>
          <w:p>
            <w:pPr>
              <w:jc w:val="center"/>
              <w:rPr>
                <w:rFonts w:hint="eastAsia" w:ascii="宋体" w:hAnsi="宋体" w:eastAsia="宋体" w:cs="宋体"/>
                <w:i w:val="0"/>
                <w:iCs w:val="0"/>
                <w:color w:val="000000"/>
                <w:sz w:val="20"/>
                <w:szCs w:val="20"/>
                <w:u w:val="none"/>
              </w:rPr>
            </w:pPr>
          </w:p>
        </w:tc>
        <w:tc>
          <w:tcPr>
            <w:tcW w:w="44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99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2965"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农户施肥调查数量(户)</w:t>
            </w:r>
          </w:p>
        </w:tc>
        <w:tc>
          <w:tcPr>
            <w:tcW w:w="123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180</w:t>
            </w:r>
          </w:p>
        </w:tc>
        <w:tc>
          <w:tcPr>
            <w:tcW w:w="15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180</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2" w:hRule="atLeast"/>
        </w:trPr>
        <w:tc>
          <w:tcPr>
            <w:tcW w:w="444" w:type="dxa"/>
            <w:vMerge w:val="continue"/>
            <w:tcBorders>
              <w:top w:val="single" w:color="000000" w:sz="4" w:space="0"/>
              <w:left w:val="single" w:color="000000" w:sz="4" w:space="0"/>
              <w:bottom w:val="single" w:color="000000" w:sz="4" w:space="0"/>
              <w:right w:val="single" w:color="000000" w:sz="4" w:space="0"/>
            </w:tcBorders>
            <w:shd w:val="clear"/>
            <w:textDirection w:val="tbRlV"/>
            <w:vAlign w:val="center"/>
          </w:tcPr>
          <w:p>
            <w:pPr>
              <w:jc w:val="center"/>
              <w:rPr>
                <w:rFonts w:hint="eastAsia" w:ascii="宋体" w:hAnsi="宋体" w:eastAsia="宋体" w:cs="宋体"/>
                <w:i w:val="0"/>
                <w:iCs w:val="0"/>
                <w:color w:val="000000"/>
                <w:sz w:val="20"/>
                <w:szCs w:val="20"/>
                <w:u w:val="none"/>
              </w:rPr>
            </w:pPr>
          </w:p>
        </w:tc>
        <w:tc>
          <w:tcPr>
            <w:tcW w:w="44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99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2965"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田间试验数量(个)</w:t>
            </w:r>
          </w:p>
        </w:tc>
        <w:tc>
          <w:tcPr>
            <w:tcW w:w="123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7</w:t>
            </w:r>
          </w:p>
        </w:tc>
        <w:tc>
          <w:tcPr>
            <w:tcW w:w="15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7</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14" w:hRule="atLeast"/>
        </w:trPr>
        <w:tc>
          <w:tcPr>
            <w:tcW w:w="444" w:type="dxa"/>
            <w:vMerge w:val="continue"/>
            <w:tcBorders>
              <w:top w:val="single" w:color="000000" w:sz="4" w:space="0"/>
              <w:left w:val="single" w:color="000000" w:sz="4" w:space="0"/>
              <w:bottom w:val="single" w:color="000000" w:sz="4" w:space="0"/>
              <w:right w:val="single" w:color="000000" w:sz="4" w:space="0"/>
            </w:tcBorders>
            <w:shd w:val="clear"/>
            <w:textDirection w:val="tbRlV"/>
            <w:vAlign w:val="center"/>
          </w:tcPr>
          <w:p>
            <w:pPr>
              <w:jc w:val="center"/>
              <w:rPr>
                <w:rFonts w:hint="eastAsia" w:ascii="宋体" w:hAnsi="宋体" w:eastAsia="宋体" w:cs="宋体"/>
                <w:i w:val="0"/>
                <w:iCs w:val="0"/>
                <w:color w:val="000000"/>
                <w:sz w:val="20"/>
                <w:szCs w:val="20"/>
                <w:u w:val="none"/>
              </w:rPr>
            </w:pPr>
          </w:p>
        </w:tc>
        <w:tc>
          <w:tcPr>
            <w:tcW w:w="44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99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2965"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外业调查采样和内业测试化验点位数</w:t>
            </w:r>
            <w:r>
              <w:rPr>
                <w:rFonts w:hint="eastAsia" w:ascii="宋体" w:hAnsi="宋体" w:eastAsia="宋体" w:cs="宋体"/>
                <w:i w:val="0"/>
                <w:iCs w:val="0"/>
                <w:color w:val="000000"/>
                <w:kern w:val="0"/>
                <w:sz w:val="20"/>
                <w:szCs w:val="20"/>
                <w:u w:val="none"/>
                <w:bdr w:val="none" w:color="auto" w:sz="0" w:space="0"/>
                <w:lang w:val="en-US" w:eastAsia="zh-CN" w:bidi="ar"/>
              </w:rPr>
              <w:br w:type="textWrapping"/>
            </w: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123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718</w:t>
            </w:r>
          </w:p>
        </w:tc>
        <w:tc>
          <w:tcPr>
            <w:tcW w:w="15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949</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14" w:hRule="atLeast"/>
        </w:trPr>
        <w:tc>
          <w:tcPr>
            <w:tcW w:w="444" w:type="dxa"/>
            <w:vMerge w:val="continue"/>
            <w:tcBorders>
              <w:top w:val="single" w:color="000000" w:sz="4" w:space="0"/>
              <w:left w:val="single" w:color="000000" w:sz="4" w:space="0"/>
              <w:bottom w:val="single" w:color="000000" w:sz="4" w:space="0"/>
              <w:right w:val="single" w:color="000000" w:sz="4" w:space="0"/>
            </w:tcBorders>
            <w:shd w:val="clear"/>
            <w:textDirection w:val="tbRlV"/>
            <w:vAlign w:val="center"/>
          </w:tcPr>
          <w:p>
            <w:pPr>
              <w:jc w:val="center"/>
              <w:rPr>
                <w:rFonts w:hint="eastAsia" w:ascii="宋体" w:hAnsi="宋体" w:eastAsia="宋体" w:cs="宋体"/>
                <w:i w:val="0"/>
                <w:iCs w:val="0"/>
                <w:color w:val="000000"/>
                <w:sz w:val="20"/>
                <w:szCs w:val="20"/>
                <w:u w:val="none"/>
              </w:rPr>
            </w:pPr>
          </w:p>
        </w:tc>
        <w:tc>
          <w:tcPr>
            <w:tcW w:w="44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997"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质量指标</w:t>
            </w:r>
          </w:p>
        </w:tc>
        <w:tc>
          <w:tcPr>
            <w:tcW w:w="2965"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高标准农田建设项目验收合格率(%)</w:t>
            </w:r>
          </w:p>
        </w:tc>
        <w:tc>
          <w:tcPr>
            <w:tcW w:w="123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≥95</w:t>
            </w:r>
          </w:p>
        </w:tc>
        <w:tc>
          <w:tcPr>
            <w:tcW w:w="15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项目正在有序推进中</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2" w:hRule="atLeast"/>
        </w:trPr>
        <w:tc>
          <w:tcPr>
            <w:tcW w:w="444" w:type="dxa"/>
            <w:vMerge w:val="continue"/>
            <w:tcBorders>
              <w:top w:val="single" w:color="000000" w:sz="4" w:space="0"/>
              <w:left w:val="single" w:color="000000" w:sz="4" w:space="0"/>
              <w:bottom w:val="single" w:color="000000" w:sz="4" w:space="0"/>
              <w:right w:val="single" w:color="000000" w:sz="4" w:space="0"/>
            </w:tcBorders>
            <w:shd w:val="clear"/>
            <w:textDirection w:val="tbRlV"/>
            <w:vAlign w:val="center"/>
          </w:tcPr>
          <w:p>
            <w:pPr>
              <w:jc w:val="center"/>
              <w:rPr>
                <w:rFonts w:hint="eastAsia" w:ascii="宋体" w:hAnsi="宋体" w:eastAsia="宋体" w:cs="宋体"/>
                <w:i w:val="0"/>
                <w:iCs w:val="0"/>
                <w:color w:val="000000"/>
                <w:sz w:val="20"/>
                <w:szCs w:val="20"/>
                <w:u w:val="none"/>
              </w:rPr>
            </w:pPr>
          </w:p>
        </w:tc>
        <w:tc>
          <w:tcPr>
            <w:tcW w:w="44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99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2965" w:type="dxa"/>
            <w:gridSpan w:val="2"/>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236"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51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2" w:hRule="atLeast"/>
        </w:trPr>
        <w:tc>
          <w:tcPr>
            <w:tcW w:w="444" w:type="dxa"/>
            <w:vMerge w:val="continue"/>
            <w:tcBorders>
              <w:top w:val="single" w:color="000000" w:sz="4" w:space="0"/>
              <w:left w:val="single" w:color="000000" w:sz="4" w:space="0"/>
              <w:bottom w:val="single" w:color="000000" w:sz="4" w:space="0"/>
              <w:right w:val="single" w:color="000000" w:sz="4" w:space="0"/>
            </w:tcBorders>
            <w:shd w:val="clear"/>
            <w:textDirection w:val="tbRlV"/>
            <w:vAlign w:val="center"/>
          </w:tcPr>
          <w:p>
            <w:pPr>
              <w:jc w:val="center"/>
              <w:rPr>
                <w:rFonts w:hint="eastAsia" w:ascii="宋体" w:hAnsi="宋体" w:eastAsia="宋体" w:cs="宋体"/>
                <w:i w:val="0"/>
                <w:iCs w:val="0"/>
                <w:color w:val="000000"/>
                <w:sz w:val="20"/>
                <w:szCs w:val="20"/>
                <w:u w:val="none"/>
              </w:rPr>
            </w:pPr>
          </w:p>
        </w:tc>
        <w:tc>
          <w:tcPr>
            <w:tcW w:w="44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99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2965" w:type="dxa"/>
            <w:gridSpan w:val="2"/>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236"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51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14" w:hRule="atLeast"/>
        </w:trPr>
        <w:tc>
          <w:tcPr>
            <w:tcW w:w="444" w:type="dxa"/>
            <w:vMerge w:val="continue"/>
            <w:tcBorders>
              <w:top w:val="single" w:color="000000" w:sz="4" w:space="0"/>
              <w:left w:val="single" w:color="000000" w:sz="4" w:space="0"/>
              <w:bottom w:val="single" w:color="000000" w:sz="4" w:space="0"/>
              <w:right w:val="single" w:color="000000" w:sz="4" w:space="0"/>
            </w:tcBorders>
            <w:shd w:val="clear"/>
            <w:textDirection w:val="tbRlV"/>
            <w:vAlign w:val="center"/>
          </w:tcPr>
          <w:p>
            <w:pPr>
              <w:jc w:val="center"/>
              <w:rPr>
                <w:rFonts w:hint="eastAsia" w:ascii="宋体" w:hAnsi="宋体" w:eastAsia="宋体" w:cs="宋体"/>
                <w:i w:val="0"/>
                <w:iCs w:val="0"/>
                <w:color w:val="000000"/>
                <w:sz w:val="20"/>
                <w:szCs w:val="20"/>
                <w:u w:val="none"/>
              </w:rPr>
            </w:pPr>
          </w:p>
        </w:tc>
        <w:tc>
          <w:tcPr>
            <w:tcW w:w="44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997"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时效指标</w:t>
            </w:r>
          </w:p>
        </w:tc>
        <w:tc>
          <w:tcPr>
            <w:tcW w:w="2965"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耕地地力保护补贴发放时限</w:t>
            </w:r>
          </w:p>
        </w:tc>
        <w:tc>
          <w:tcPr>
            <w:tcW w:w="123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2024年6月30日</w:t>
            </w:r>
          </w:p>
        </w:tc>
        <w:tc>
          <w:tcPr>
            <w:tcW w:w="15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2024年6月21日</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14" w:hRule="atLeast"/>
        </w:trPr>
        <w:tc>
          <w:tcPr>
            <w:tcW w:w="444" w:type="dxa"/>
            <w:vMerge w:val="continue"/>
            <w:tcBorders>
              <w:top w:val="single" w:color="000000" w:sz="4" w:space="0"/>
              <w:left w:val="single" w:color="000000" w:sz="4" w:space="0"/>
              <w:bottom w:val="single" w:color="000000" w:sz="4" w:space="0"/>
              <w:right w:val="single" w:color="000000" w:sz="4" w:space="0"/>
            </w:tcBorders>
            <w:shd w:val="clear"/>
            <w:textDirection w:val="tbRlV"/>
            <w:vAlign w:val="center"/>
          </w:tcPr>
          <w:p>
            <w:pPr>
              <w:jc w:val="center"/>
              <w:rPr>
                <w:rFonts w:hint="eastAsia" w:ascii="宋体" w:hAnsi="宋体" w:eastAsia="宋体" w:cs="宋体"/>
                <w:i w:val="0"/>
                <w:iCs w:val="0"/>
                <w:color w:val="000000"/>
                <w:sz w:val="20"/>
                <w:szCs w:val="20"/>
                <w:u w:val="none"/>
              </w:rPr>
            </w:pPr>
          </w:p>
        </w:tc>
        <w:tc>
          <w:tcPr>
            <w:tcW w:w="44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99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2965"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高标准农田建设任务完成及时性</w:t>
            </w:r>
          </w:p>
        </w:tc>
        <w:tc>
          <w:tcPr>
            <w:tcW w:w="123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1-2年</w:t>
            </w:r>
          </w:p>
        </w:tc>
        <w:tc>
          <w:tcPr>
            <w:tcW w:w="15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项目正在有序推进中</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2" w:hRule="atLeast"/>
        </w:trPr>
        <w:tc>
          <w:tcPr>
            <w:tcW w:w="444" w:type="dxa"/>
            <w:vMerge w:val="continue"/>
            <w:tcBorders>
              <w:top w:val="single" w:color="000000" w:sz="4" w:space="0"/>
              <w:left w:val="single" w:color="000000" w:sz="4" w:space="0"/>
              <w:bottom w:val="single" w:color="000000" w:sz="4" w:space="0"/>
              <w:right w:val="single" w:color="000000" w:sz="4" w:space="0"/>
            </w:tcBorders>
            <w:shd w:val="clear"/>
            <w:textDirection w:val="tbRlV"/>
            <w:vAlign w:val="center"/>
          </w:tcPr>
          <w:p>
            <w:pPr>
              <w:jc w:val="center"/>
              <w:rPr>
                <w:rFonts w:hint="eastAsia" w:ascii="宋体" w:hAnsi="宋体" w:eastAsia="宋体" w:cs="宋体"/>
                <w:i w:val="0"/>
                <w:iCs w:val="0"/>
                <w:color w:val="000000"/>
                <w:sz w:val="20"/>
                <w:szCs w:val="20"/>
                <w:u w:val="none"/>
              </w:rPr>
            </w:pPr>
          </w:p>
        </w:tc>
        <w:tc>
          <w:tcPr>
            <w:tcW w:w="44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99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2965" w:type="dxa"/>
            <w:gridSpan w:val="2"/>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236"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51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2" w:hRule="atLeast"/>
        </w:trPr>
        <w:tc>
          <w:tcPr>
            <w:tcW w:w="444" w:type="dxa"/>
            <w:vMerge w:val="continue"/>
            <w:tcBorders>
              <w:top w:val="single" w:color="000000" w:sz="4" w:space="0"/>
              <w:left w:val="single" w:color="000000" w:sz="4" w:space="0"/>
              <w:bottom w:val="single" w:color="000000" w:sz="4" w:space="0"/>
              <w:right w:val="single" w:color="000000" w:sz="4" w:space="0"/>
            </w:tcBorders>
            <w:shd w:val="clear"/>
            <w:textDirection w:val="tbRlV"/>
            <w:vAlign w:val="center"/>
          </w:tcPr>
          <w:p>
            <w:pPr>
              <w:jc w:val="center"/>
              <w:rPr>
                <w:rFonts w:hint="eastAsia" w:ascii="宋体" w:hAnsi="宋体" w:eastAsia="宋体" w:cs="宋体"/>
                <w:i w:val="0"/>
                <w:iCs w:val="0"/>
                <w:color w:val="000000"/>
                <w:sz w:val="20"/>
                <w:szCs w:val="20"/>
                <w:u w:val="none"/>
              </w:rPr>
            </w:pPr>
          </w:p>
        </w:tc>
        <w:tc>
          <w:tcPr>
            <w:tcW w:w="44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997"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成本指标</w:t>
            </w:r>
          </w:p>
        </w:tc>
        <w:tc>
          <w:tcPr>
            <w:tcW w:w="2965"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项目总成本（万元）</w:t>
            </w:r>
          </w:p>
        </w:tc>
        <w:tc>
          <w:tcPr>
            <w:tcW w:w="123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12509</w:t>
            </w:r>
          </w:p>
        </w:tc>
        <w:tc>
          <w:tcPr>
            <w:tcW w:w="15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9989</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项目正在有序推进中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2" w:hRule="atLeast"/>
        </w:trPr>
        <w:tc>
          <w:tcPr>
            <w:tcW w:w="444" w:type="dxa"/>
            <w:vMerge w:val="continue"/>
            <w:tcBorders>
              <w:top w:val="single" w:color="000000" w:sz="4" w:space="0"/>
              <w:left w:val="single" w:color="000000" w:sz="4" w:space="0"/>
              <w:bottom w:val="single" w:color="000000" w:sz="4" w:space="0"/>
              <w:right w:val="single" w:color="000000" w:sz="4" w:space="0"/>
            </w:tcBorders>
            <w:shd w:val="clear"/>
            <w:textDirection w:val="tbRlV"/>
            <w:vAlign w:val="center"/>
          </w:tcPr>
          <w:p>
            <w:pPr>
              <w:jc w:val="center"/>
              <w:rPr>
                <w:rFonts w:hint="eastAsia" w:ascii="宋体" w:hAnsi="宋体" w:eastAsia="宋体" w:cs="宋体"/>
                <w:i w:val="0"/>
                <w:iCs w:val="0"/>
                <w:color w:val="000000"/>
                <w:sz w:val="20"/>
                <w:szCs w:val="20"/>
                <w:u w:val="none"/>
              </w:rPr>
            </w:pPr>
          </w:p>
        </w:tc>
        <w:tc>
          <w:tcPr>
            <w:tcW w:w="44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99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2965" w:type="dxa"/>
            <w:gridSpan w:val="2"/>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236"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51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2" w:hRule="atLeast"/>
        </w:trPr>
        <w:tc>
          <w:tcPr>
            <w:tcW w:w="444" w:type="dxa"/>
            <w:vMerge w:val="continue"/>
            <w:tcBorders>
              <w:top w:val="single" w:color="000000" w:sz="4" w:space="0"/>
              <w:left w:val="single" w:color="000000" w:sz="4" w:space="0"/>
              <w:bottom w:val="single" w:color="000000" w:sz="4" w:space="0"/>
              <w:right w:val="single" w:color="000000" w:sz="4" w:space="0"/>
            </w:tcBorders>
            <w:shd w:val="clear"/>
            <w:textDirection w:val="tbRlV"/>
            <w:vAlign w:val="center"/>
          </w:tcPr>
          <w:p>
            <w:pPr>
              <w:jc w:val="center"/>
              <w:rPr>
                <w:rFonts w:hint="eastAsia" w:ascii="宋体" w:hAnsi="宋体" w:eastAsia="宋体" w:cs="宋体"/>
                <w:i w:val="0"/>
                <w:iCs w:val="0"/>
                <w:color w:val="000000"/>
                <w:sz w:val="20"/>
                <w:szCs w:val="20"/>
                <w:u w:val="none"/>
              </w:rPr>
            </w:pPr>
          </w:p>
        </w:tc>
        <w:tc>
          <w:tcPr>
            <w:tcW w:w="44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99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2965" w:type="dxa"/>
            <w:gridSpan w:val="2"/>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236"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51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2" w:hRule="atLeast"/>
        </w:trPr>
        <w:tc>
          <w:tcPr>
            <w:tcW w:w="444" w:type="dxa"/>
            <w:vMerge w:val="continue"/>
            <w:tcBorders>
              <w:top w:val="single" w:color="000000" w:sz="4" w:space="0"/>
              <w:left w:val="single" w:color="000000" w:sz="4" w:space="0"/>
              <w:bottom w:val="single" w:color="000000" w:sz="4" w:space="0"/>
              <w:right w:val="single" w:color="000000" w:sz="4" w:space="0"/>
            </w:tcBorders>
            <w:shd w:val="clear"/>
            <w:textDirection w:val="tbRlV"/>
            <w:vAlign w:val="center"/>
          </w:tcPr>
          <w:p>
            <w:pPr>
              <w:jc w:val="center"/>
              <w:rPr>
                <w:rFonts w:hint="eastAsia" w:ascii="宋体" w:hAnsi="宋体" w:eastAsia="宋体" w:cs="宋体"/>
                <w:i w:val="0"/>
                <w:iCs w:val="0"/>
                <w:color w:val="000000"/>
                <w:sz w:val="20"/>
                <w:szCs w:val="20"/>
                <w:u w:val="none"/>
              </w:rPr>
            </w:pPr>
          </w:p>
        </w:tc>
        <w:tc>
          <w:tcPr>
            <w:tcW w:w="444"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效</w:t>
            </w:r>
            <w:r>
              <w:rPr>
                <w:rFonts w:hint="eastAsia" w:ascii="宋体" w:hAnsi="宋体" w:eastAsia="宋体" w:cs="宋体"/>
                <w:i w:val="0"/>
                <w:iCs w:val="0"/>
                <w:color w:val="000000"/>
                <w:kern w:val="0"/>
                <w:sz w:val="20"/>
                <w:szCs w:val="20"/>
                <w:u w:val="none"/>
                <w:bdr w:val="none" w:color="auto" w:sz="0" w:space="0"/>
                <w:lang w:val="en-US" w:eastAsia="zh-CN" w:bidi="ar"/>
              </w:rPr>
              <w:br w:type="textWrapping"/>
            </w:r>
            <w:r>
              <w:rPr>
                <w:rFonts w:hint="eastAsia" w:ascii="宋体" w:hAnsi="宋体" w:eastAsia="宋体" w:cs="宋体"/>
                <w:i w:val="0"/>
                <w:iCs w:val="0"/>
                <w:color w:val="000000"/>
                <w:kern w:val="0"/>
                <w:sz w:val="20"/>
                <w:szCs w:val="20"/>
                <w:u w:val="none"/>
                <w:bdr w:val="none" w:color="auto" w:sz="0" w:space="0"/>
                <w:lang w:val="en-US" w:eastAsia="zh-CN" w:bidi="ar"/>
              </w:rPr>
              <w:t>益</w:t>
            </w:r>
            <w:r>
              <w:rPr>
                <w:rFonts w:hint="eastAsia" w:ascii="宋体" w:hAnsi="宋体" w:eastAsia="宋体" w:cs="宋体"/>
                <w:i w:val="0"/>
                <w:iCs w:val="0"/>
                <w:color w:val="000000"/>
                <w:kern w:val="0"/>
                <w:sz w:val="20"/>
                <w:szCs w:val="20"/>
                <w:u w:val="none"/>
                <w:bdr w:val="none" w:color="auto" w:sz="0" w:space="0"/>
                <w:lang w:val="en-US" w:eastAsia="zh-CN" w:bidi="ar"/>
              </w:rPr>
              <w:br w:type="textWrapping"/>
            </w:r>
            <w:r>
              <w:rPr>
                <w:rFonts w:hint="eastAsia" w:ascii="宋体" w:hAnsi="宋体" w:eastAsia="宋体" w:cs="宋体"/>
                <w:i w:val="0"/>
                <w:iCs w:val="0"/>
                <w:color w:val="000000"/>
                <w:kern w:val="0"/>
                <w:sz w:val="20"/>
                <w:szCs w:val="20"/>
                <w:u w:val="none"/>
                <w:bdr w:val="none" w:color="auto" w:sz="0" w:space="0"/>
                <w:lang w:val="en-US" w:eastAsia="zh-CN" w:bidi="ar"/>
              </w:rPr>
              <w:t>指</w:t>
            </w:r>
            <w:r>
              <w:rPr>
                <w:rFonts w:hint="eastAsia" w:ascii="宋体" w:hAnsi="宋体" w:eastAsia="宋体" w:cs="宋体"/>
                <w:i w:val="0"/>
                <w:iCs w:val="0"/>
                <w:color w:val="000000"/>
                <w:kern w:val="0"/>
                <w:sz w:val="20"/>
                <w:szCs w:val="20"/>
                <w:u w:val="none"/>
                <w:bdr w:val="none" w:color="auto" w:sz="0" w:space="0"/>
                <w:lang w:val="en-US" w:eastAsia="zh-CN" w:bidi="ar"/>
              </w:rPr>
              <w:br w:type="textWrapping"/>
            </w:r>
            <w:r>
              <w:rPr>
                <w:rFonts w:hint="eastAsia" w:ascii="宋体" w:hAnsi="宋体" w:eastAsia="宋体" w:cs="宋体"/>
                <w:i w:val="0"/>
                <w:iCs w:val="0"/>
                <w:color w:val="000000"/>
                <w:kern w:val="0"/>
                <w:sz w:val="20"/>
                <w:szCs w:val="20"/>
                <w:u w:val="none"/>
                <w:bdr w:val="none" w:color="auto" w:sz="0" w:space="0"/>
                <w:lang w:val="en-US" w:eastAsia="zh-CN" w:bidi="ar"/>
              </w:rPr>
              <w:t>标</w:t>
            </w:r>
          </w:p>
        </w:tc>
        <w:tc>
          <w:tcPr>
            <w:tcW w:w="997"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经济效益</w:t>
            </w:r>
            <w:r>
              <w:rPr>
                <w:rFonts w:hint="eastAsia" w:ascii="宋体" w:hAnsi="宋体" w:eastAsia="宋体" w:cs="宋体"/>
                <w:i w:val="0"/>
                <w:iCs w:val="0"/>
                <w:color w:val="000000"/>
                <w:kern w:val="0"/>
                <w:sz w:val="20"/>
                <w:szCs w:val="20"/>
                <w:u w:val="none"/>
                <w:bdr w:val="none" w:color="auto" w:sz="0" w:space="0"/>
                <w:lang w:val="en-US" w:eastAsia="zh-CN" w:bidi="ar"/>
              </w:rPr>
              <w:br w:type="textWrapping"/>
            </w:r>
            <w:r>
              <w:rPr>
                <w:rFonts w:hint="eastAsia" w:ascii="宋体" w:hAnsi="宋体" w:eastAsia="宋体" w:cs="宋体"/>
                <w:i w:val="0"/>
                <w:iCs w:val="0"/>
                <w:color w:val="000000"/>
                <w:kern w:val="0"/>
                <w:sz w:val="20"/>
                <w:szCs w:val="20"/>
                <w:u w:val="none"/>
                <w:bdr w:val="none" w:color="auto" w:sz="0" w:space="0"/>
                <w:lang w:val="en-US" w:eastAsia="zh-CN" w:bidi="ar"/>
              </w:rPr>
              <w:t>指标</w:t>
            </w:r>
          </w:p>
        </w:tc>
        <w:tc>
          <w:tcPr>
            <w:tcW w:w="2965"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提升农民粮食产量及效益促进农民增收</w:t>
            </w:r>
          </w:p>
        </w:tc>
        <w:tc>
          <w:tcPr>
            <w:tcW w:w="123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明显提升</w:t>
            </w:r>
          </w:p>
        </w:tc>
        <w:tc>
          <w:tcPr>
            <w:tcW w:w="15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明显提升</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2" w:hRule="atLeast"/>
        </w:trPr>
        <w:tc>
          <w:tcPr>
            <w:tcW w:w="444" w:type="dxa"/>
            <w:vMerge w:val="continue"/>
            <w:tcBorders>
              <w:top w:val="single" w:color="000000" w:sz="4" w:space="0"/>
              <w:left w:val="single" w:color="000000" w:sz="4" w:space="0"/>
              <w:bottom w:val="single" w:color="000000" w:sz="4" w:space="0"/>
              <w:right w:val="single" w:color="000000" w:sz="4" w:space="0"/>
            </w:tcBorders>
            <w:shd w:val="clear"/>
            <w:textDirection w:val="tbRlV"/>
            <w:vAlign w:val="center"/>
          </w:tcPr>
          <w:p>
            <w:pPr>
              <w:jc w:val="center"/>
              <w:rPr>
                <w:rFonts w:hint="eastAsia" w:ascii="宋体" w:hAnsi="宋体" w:eastAsia="宋体" w:cs="宋体"/>
                <w:i w:val="0"/>
                <w:iCs w:val="0"/>
                <w:color w:val="000000"/>
                <w:sz w:val="20"/>
                <w:szCs w:val="20"/>
                <w:u w:val="none"/>
              </w:rPr>
            </w:pPr>
          </w:p>
        </w:tc>
        <w:tc>
          <w:tcPr>
            <w:tcW w:w="44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99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2965" w:type="dxa"/>
            <w:gridSpan w:val="2"/>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236"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51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2" w:hRule="atLeast"/>
        </w:trPr>
        <w:tc>
          <w:tcPr>
            <w:tcW w:w="444" w:type="dxa"/>
            <w:vMerge w:val="continue"/>
            <w:tcBorders>
              <w:top w:val="single" w:color="000000" w:sz="4" w:space="0"/>
              <w:left w:val="single" w:color="000000" w:sz="4" w:space="0"/>
              <w:bottom w:val="single" w:color="000000" w:sz="4" w:space="0"/>
              <w:right w:val="single" w:color="000000" w:sz="4" w:space="0"/>
            </w:tcBorders>
            <w:shd w:val="clear"/>
            <w:textDirection w:val="tbRlV"/>
            <w:vAlign w:val="center"/>
          </w:tcPr>
          <w:p>
            <w:pPr>
              <w:jc w:val="center"/>
              <w:rPr>
                <w:rFonts w:hint="eastAsia" w:ascii="宋体" w:hAnsi="宋体" w:eastAsia="宋体" w:cs="宋体"/>
                <w:i w:val="0"/>
                <w:iCs w:val="0"/>
                <w:color w:val="000000"/>
                <w:sz w:val="20"/>
                <w:szCs w:val="20"/>
                <w:u w:val="none"/>
              </w:rPr>
            </w:pPr>
          </w:p>
        </w:tc>
        <w:tc>
          <w:tcPr>
            <w:tcW w:w="44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99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2965" w:type="dxa"/>
            <w:gridSpan w:val="2"/>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236"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51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2" w:hRule="atLeast"/>
        </w:trPr>
        <w:tc>
          <w:tcPr>
            <w:tcW w:w="444" w:type="dxa"/>
            <w:vMerge w:val="continue"/>
            <w:tcBorders>
              <w:top w:val="single" w:color="000000" w:sz="4" w:space="0"/>
              <w:left w:val="single" w:color="000000" w:sz="4" w:space="0"/>
              <w:bottom w:val="single" w:color="000000" w:sz="4" w:space="0"/>
              <w:right w:val="single" w:color="000000" w:sz="4" w:space="0"/>
            </w:tcBorders>
            <w:shd w:val="clear"/>
            <w:textDirection w:val="tbRlV"/>
            <w:vAlign w:val="center"/>
          </w:tcPr>
          <w:p>
            <w:pPr>
              <w:jc w:val="center"/>
              <w:rPr>
                <w:rFonts w:hint="eastAsia" w:ascii="宋体" w:hAnsi="宋体" w:eastAsia="宋体" w:cs="宋体"/>
                <w:i w:val="0"/>
                <w:iCs w:val="0"/>
                <w:color w:val="000000"/>
                <w:sz w:val="20"/>
                <w:szCs w:val="20"/>
                <w:u w:val="none"/>
              </w:rPr>
            </w:pPr>
          </w:p>
        </w:tc>
        <w:tc>
          <w:tcPr>
            <w:tcW w:w="44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997"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社会效益</w:t>
            </w:r>
            <w:r>
              <w:rPr>
                <w:rFonts w:hint="eastAsia" w:ascii="宋体" w:hAnsi="宋体" w:eastAsia="宋体" w:cs="宋体"/>
                <w:i w:val="0"/>
                <w:iCs w:val="0"/>
                <w:color w:val="000000"/>
                <w:kern w:val="0"/>
                <w:sz w:val="20"/>
                <w:szCs w:val="20"/>
                <w:u w:val="none"/>
                <w:bdr w:val="none" w:color="auto" w:sz="0" w:space="0"/>
                <w:lang w:val="en-US" w:eastAsia="zh-CN" w:bidi="ar"/>
              </w:rPr>
              <w:br w:type="textWrapping"/>
            </w:r>
            <w:r>
              <w:rPr>
                <w:rFonts w:hint="eastAsia" w:ascii="宋体" w:hAnsi="宋体" w:eastAsia="宋体" w:cs="宋体"/>
                <w:i w:val="0"/>
                <w:iCs w:val="0"/>
                <w:color w:val="000000"/>
                <w:kern w:val="0"/>
                <w:sz w:val="20"/>
                <w:szCs w:val="20"/>
                <w:u w:val="none"/>
                <w:bdr w:val="none" w:color="auto" w:sz="0" w:space="0"/>
                <w:lang w:val="en-US" w:eastAsia="zh-CN" w:bidi="ar"/>
              </w:rPr>
              <w:t>指标</w:t>
            </w:r>
          </w:p>
        </w:tc>
        <w:tc>
          <w:tcPr>
            <w:tcW w:w="2965"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粮食综合生产能力</w:t>
            </w:r>
          </w:p>
        </w:tc>
        <w:tc>
          <w:tcPr>
            <w:tcW w:w="123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明显提升</w:t>
            </w:r>
          </w:p>
        </w:tc>
        <w:tc>
          <w:tcPr>
            <w:tcW w:w="15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逐步提升中</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2" w:hRule="atLeast"/>
        </w:trPr>
        <w:tc>
          <w:tcPr>
            <w:tcW w:w="444" w:type="dxa"/>
            <w:vMerge w:val="continue"/>
            <w:tcBorders>
              <w:top w:val="single" w:color="000000" w:sz="4" w:space="0"/>
              <w:left w:val="single" w:color="000000" w:sz="4" w:space="0"/>
              <w:bottom w:val="single" w:color="000000" w:sz="4" w:space="0"/>
              <w:right w:val="single" w:color="000000" w:sz="4" w:space="0"/>
            </w:tcBorders>
            <w:shd w:val="clear"/>
            <w:textDirection w:val="tbRlV"/>
            <w:vAlign w:val="center"/>
          </w:tcPr>
          <w:p>
            <w:pPr>
              <w:jc w:val="center"/>
              <w:rPr>
                <w:rFonts w:hint="eastAsia" w:ascii="宋体" w:hAnsi="宋体" w:eastAsia="宋体" w:cs="宋体"/>
                <w:i w:val="0"/>
                <w:iCs w:val="0"/>
                <w:color w:val="000000"/>
                <w:sz w:val="20"/>
                <w:szCs w:val="20"/>
                <w:u w:val="none"/>
              </w:rPr>
            </w:pPr>
          </w:p>
        </w:tc>
        <w:tc>
          <w:tcPr>
            <w:tcW w:w="44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99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2965"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资金使用重大违规违纪问题</w:t>
            </w:r>
          </w:p>
        </w:tc>
        <w:tc>
          <w:tcPr>
            <w:tcW w:w="123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无</w:t>
            </w:r>
          </w:p>
        </w:tc>
        <w:tc>
          <w:tcPr>
            <w:tcW w:w="15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无</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2" w:hRule="atLeast"/>
        </w:trPr>
        <w:tc>
          <w:tcPr>
            <w:tcW w:w="444" w:type="dxa"/>
            <w:vMerge w:val="continue"/>
            <w:tcBorders>
              <w:top w:val="single" w:color="000000" w:sz="4" w:space="0"/>
              <w:left w:val="single" w:color="000000" w:sz="4" w:space="0"/>
              <w:bottom w:val="single" w:color="000000" w:sz="4" w:space="0"/>
              <w:right w:val="single" w:color="000000" w:sz="4" w:space="0"/>
            </w:tcBorders>
            <w:shd w:val="clear"/>
            <w:textDirection w:val="tbRlV"/>
            <w:vAlign w:val="center"/>
          </w:tcPr>
          <w:p>
            <w:pPr>
              <w:jc w:val="center"/>
              <w:rPr>
                <w:rFonts w:hint="eastAsia" w:ascii="宋体" w:hAnsi="宋体" w:eastAsia="宋体" w:cs="宋体"/>
                <w:i w:val="0"/>
                <w:iCs w:val="0"/>
                <w:color w:val="000000"/>
                <w:sz w:val="20"/>
                <w:szCs w:val="20"/>
                <w:u w:val="none"/>
              </w:rPr>
            </w:pPr>
          </w:p>
        </w:tc>
        <w:tc>
          <w:tcPr>
            <w:tcW w:w="44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99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2965" w:type="dxa"/>
            <w:gridSpan w:val="2"/>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236"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51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2" w:hRule="atLeast"/>
        </w:trPr>
        <w:tc>
          <w:tcPr>
            <w:tcW w:w="444" w:type="dxa"/>
            <w:vMerge w:val="continue"/>
            <w:tcBorders>
              <w:top w:val="single" w:color="000000" w:sz="4" w:space="0"/>
              <w:left w:val="single" w:color="000000" w:sz="4" w:space="0"/>
              <w:bottom w:val="single" w:color="000000" w:sz="4" w:space="0"/>
              <w:right w:val="single" w:color="000000" w:sz="4" w:space="0"/>
            </w:tcBorders>
            <w:shd w:val="clear"/>
            <w:textDirection w:val="tbRlV"/>
            <w:vAlign w:val="center"/>
          </w:tcPr>
          <w:p>
            <w:pPr>
              <w:jc w:val="center"/>
              <w:rPr>
                <w:rFonts w:hint="eastAsia" w:ascii="宋体" w:hAnsi="宋体" w:eastAsia="宋体" w:cs="宋体"/>
                <w:i w:val="0"/>
                <w:iCs w:val="0"/>
                <w:color w:val="000000"/>
                <w:sz w:val="20"/>
                <w:szCs w:val="20"/>
                <w:u w:val="none"/>
              </w:rPr>
            </w:pPr>
          </w:p>
        </w:tc>
        <w:tc>
          <w:tcPr>
            <w:tcW w:w="44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997"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生态效益</w:t>
            </w:r>
            <w:r>
              <w:rPr>
                <w:rFonts w:hint="eastAsia" w:ascii="宋体" w:hAnsi="宋体" w:eastAsia="宋体" w:cs="宋体"/>
                <w:i w:val="0"/>
                <w:iCs w:val="0"/>
                <w:color w:val="000000"/>
                <w:kern w:val="0"/>
                <w:sz w:val="20"/>
                <w:szCs w:val="20"/>
                <w:u w:val="none"/>
                <w:bdr w:val="none" w:color="auto" w:sz="0" w:space="0"/>
                <w:lang w:val="en-US" w:eastAsia="zh-CN" w:bidi="ar"/>
              </w:rPr>
              <w:br w:type="textWrapping"/>
            </w:r>
            <w:r>
              <w:rPr>
                <w:rFonts w:hint="eastAsia" w:ascii="宋体" w:hAnsi="宋体" w:eastAsia="宋体" w:cs="宋体"/>
                <w:i w:val="0"/>
                <w:iCs w:val="0"/>
                <w:color w:val="000000"/>
                <w:kern w:val="0"/>
                <w:sz w:val="20"/>
                <w:szCs w:val="20"/>
                <w:u w:val="none"/>
                <w:bdr w:val="none" w:color="auto" w:sz="0" w:space="0"/>
                <w:lang w:val="en-US" w:eastAsia="zh-CN" w:bidi="ar"/>
              </w:rPr>
              <w:t>指标</w:t>
            </w:r>
          </w:p>
        </w:tc>
        <w:tc>
          <w:tcPr>
            <w:tcW w:w="2965"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提升耕地质量</w:t>
            </w:r>
          </w:p>
        </w:tc>
        <w:tc>
          <w:tcPr>
            <w:tcW w:w="123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明显提升</w:t>
            </w:r>
          </w:p>
        </w:tc>
        <w:tc>
          <w:tcPr>
            <w:tcW w:w="15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逐步提升中</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2" w:hRule="atLeast"/>
        </w:trPr>
        <w:tc>
          <w:tcPr>
            <w:tcW w:w="444" w:type="dxa"/>
            <w:vMerge w:val="continue"/>
            <w:tcBorders>
              <w:top w:val="single" w:color="000000" w:sz="4" w:space="0"/>
              <w:left w:val="single" w:color="000000" w:sz="4" w:space="0"/>
              <w:bottom w:val="single" w:color="000000" w:sz="4" w:space="0"/>
              <w:right w:val="single" w:color="000000" w:sz="4" w:space="0"/>
            </w:tcBorders>
            <w:shd w:val="clear"/>
            <w:textDirection w:val="tbRlV"/>
            <w:vAlign w:val="center"/>
          </w:tcPr>
          <w:p>
            <w:pPr>
              <w:jc w:val="center"/>
              <w:rPr>
                <w:rFonts w:hint="eastAsia" w:ascii="宋体" w:hAnsi="宋体" w:eastAsia="宋体" w:cs="宋体"/>
                <w:i w:val="0"/>
                <w:iCs w:val="0"/>
                <w:color w:val="000000"/>
                <w:sz w:val="20"/>
                <w:szCs w:val="20"/>
                <w:u w:val="none"/>
              </w:rPr>
            </w:pPr>
          </w:p>
        </w:tc>
        <w:tc>
          <w:tcPr>
            <w:tcW w:w="44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99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2965" w:type="dxa"/>
            <w:gridSpan w:val="2"/>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20"/>
                <w:szCs w:val="20"/>
                <w:u w:val="none"/>
              </w:rPr>
            </w:pPr>
          </w:p>
        </w:tc>
        <w:tc>
          <w:tcPr>
            <w:tcW w:w="1236"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51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2" w:hRule="atLeast"/>
        </w:trPr>
        <w:tc>
          <w:tcPr>
            <w:tcW w:w="444" w:type="dxa"/>
            <w:vMerge w:val="continue"/>
            <w:tcBorders>
              <w:top w:val="single" w:color="000000" w:sz="4" w:space="0"/>
              <w:left w:val="single" w:color="000000" w:sz="4" w:space="0"/>
              <w:bottom w:val="single" w:color="000000" w:sz="4" w:space="0"/>
              <w:right w:val="single" w:color="000000" w:sz="4" w:space="0"/>
            </w:tcBorders>
            <w:shd w:val="clear"/>
            <w:textDirection w:val="tbRlV"/>
            <w:vAlign w:val="center"/>
          </w:tcPr>
          <w:p>
            <w:pPr>
              <w:jc w:val="center"/>
              <w:rPr>
                <w:rFonts w:hint="eastAsia" w:ascii="宋体" w:hAnsi="宋体" w:eastAsia="宋体" w:cs="宋体"/>
                <w:i w:val="0"/>
                <w:iCs w:val="0"/>
                <w:color w:val="000000"/>
                <w:sz w:val="20"/>
                <w:szCs w:val="20"/>
                <w:u w:val="none"/>
              </w:rPr>
            </w:pPr>
          </w:p>
        </w:tc>
        <w:tc>
          <w:tcPr>
            <w:tcW w:w="44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99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2965" w:type="dxa"/>
            <w:gridSpan w:val="2"/>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20"/>
                <w:szCs w:val="20"/>
                <w:u w:val="none"/>
              </w:rPr>
            </w:pPr>
          </w:p>
        </w:tc>
        <w:tc>
          <w:tcPr>
            <w:tcW w:w="1236"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51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2" w:hRule="atLeast"/>
        </w:trPr>
        <w:tc>
          <w:tcPr>
            <w:tcW w:w="444" w:type="dxa"/>
            <w:vMerge w:val="continue"/>
            <w:tcBorders>
              <w:top w:val="single" w:color="000000" w:sz="4" w:space="0"/>
              <w:left w:val="single" w:color="000000" w:sz="4" w:space="0"/>
              <w:bottom w:val="single" w:color="000000" w:sz="4" w:space="0"/>
              <w:right w:val="single" w:color="000000" w:sz="4" w:space="0"/>
            </w:tcBorders>
            <w:shd w:val="clear"/>
            <w:textDirection w:val="tbRlV"/>
            <w:vAlign w:val="center"/>
          </w:tcPr>
          <w:p>
            <w:pPr>
              <w:jc w:val="center"/>
              <w:rPr>
                <w:rFonts w:hint="eastAsia" w:ascii="宋体" w:hAnsi="宋体" w:eastAsia="宋体" w:cs="宋体"/>
                <w:i w:val="0"/>
                <w:iCs w:val="0"/>
                <w:color w:val="000000"/>
                <w:sz w:val="20"/>
                <w:szCs w:val="20"/>
                <w:u w:val="none"/>
              </w:rPr>
            </w:pPr>
          </w:p>
        </w:tc>
        <w:tc>
          <w:tcPr>
            <w:tcW w:w="44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997"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可持续影响指标</w:t>
            </w:r>
          </w:p>
        </w:tc>
        <w:tc>
          <w:tcPr>
            <w:tcW w:w="2965"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提高水资源利用率</w:t>
            </w:r>
          </w:p>
        </w:tc>
        <w:tc>
          <w:tcPr>
            <w:tcW w:w="123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明显提高</w:t>
            </w:r>
          </w:p>
        </w:tc>
        <w:tc>
          <w:tcPr>
            <w:tcW w:w="15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逐步提高中</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2" w:hRule="atLeast"/>
        </w:trPr>
        <w:tc>
          <w:tcPr>
            <w:tcW w:w="444" w:type="dxa"/>
            <w:vMerge w:val="continue"/>
            <w:tcBorders>
              <w:top w:val="single" w:color="000000" w:sz="4" w:space="0"/>
              <w:left w:val="single" w:color="000000" w:sz="4" w:space="0"/>
              <w:bottom w:val="single" w:color="000000" w:sz="4" w:space="0"/>
              <w:right w:val="single" w:color="000000" w:sz="4" w:space="0"/>
            </w:tcBorders>
            <w:shd w:val="clear"/>
            <w:textDirection w:val="tbRlV"/>
            <w:vAlign w:val="center"/>
          </w:tcPr>
          <w:p>
            <w:pPr>
              <w:jc w:val="center"/>
              <w:rPr>
                <w:rFonts w:hint="eastAsia" w:ascii="宋体" w:hAnsi="宋体" w:eastAsia="宋体" w:cs="宋体"/>
                <w:i w:val="0"/>
                <w:iCs w:val="0"/>
                <w:color w:val="000000"/>
                <w:sz w:val="20"/>
                <w:szCs w:val="20"/>
                <w:u w:val="none"/>
              </w:rPr>
            </w:pPr>
          </w:p>
        </w:tc>
        <w:tc>
          <w:tcPr>
            <w:tcW w:w="44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99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2965" w:type="dxa"/>
            <w:gridSpan w:val="2"/>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236"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51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2" w:hRule="atLeast"/>
        </w:trPr>
        <w:tc>
          <w:tcPr>
            <w:tcW w:w="444" w:type="dxa"/>
            <w:vMerge w:val="continue"/>
            <w:tcBorders>
              <w:top w:val="single" w:color="000000" w:sz="4" w:space="0"/>
              <w:left w:val="single" w:color="000000" w:sz="4" w:space="0"/>
              <w:bottom w:val="single" w:color="000000" w:sz="4" w:space="0"/>
              <w:right w:val="single" w:color="000000" w:sz="4" w:space="0"/>
            </w:tcBorders>
            <w:shd w:val="clear"/>
            <w:textDirection w:val="tbRlV"/>
            <w:vAlign w:val="center"/>
          </w:tcPr>
          <w:p>
            <w:pPr>
              <w:jc w:val="center"/>
              <w:rPr>
                <w:rFonts w:hint="eastAsia" w:ascii="宋体" w:hAnsi="宋体" w:eastAsia="宋体" w:cs="宋体"/>
                <w:i w:val="0"/>
                <w:iCs w:val="0"/>
                <w:color w:val="000000"/>
                <w:sz w:val="20"/>
                <w:szCs w:val="20"/>
                <w:u w:val="none"/>
              </w:rPr>
            </w:pPr>
          </w:p>
        </w:tc>
        <w:tc>
          <w:tcPr>
            <w:tcW w:w="44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99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2965" w:type="dxa"/>
            <w:gridSpan w:val="2"/>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236"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51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2" w:hRule="atLeast"/>
        </w:trPr>
        <w:tc>
          <w:tcPr>
            <w:tcW w:w="444" w:type="dxa"/>
            <w:vMerge w:val="continue"/>
            <w:tcBorders>
              <w:top w:val="single" w:color="000000" w:sz="4" w:space="0"/>
              <w:left w:val="single" w:color="000000" w:sz="4" w:space="0"/>
              <w:bottom w:val="single" w:color="000000" w:sz="4" w:space="0"/>
              <w:right w:val="single" w:color="000000" w:sz="4" w:space="0"/>
            </w:tcBorders>
            <w:shd w:val="clear"/>
            <w:textDirection w:val="tbRlV"/>
            <w:vAlign w:val="center"/>
          </w:tcPr>
          <w:p>
            <w:pPr>
              <w:jc w:val="center"/>
              <w:rPr>
                <w:rFonts w:hint="eastAsia" w:ascii="宋体" w:hAnsi="宋体" w:eastAsia="宋体" w:cs="宋体"/>
                <w:i w:val="0"/>
                <w:iCs w:val="0"/>
                <w:color w:val="000000"/>
                <w:sz w:val="20"/>
                <w:szCs w:val="20"/>
                <w:u w:val="none"/>
              </w:rPr>
            </w:pPr>
          </w:p>
        </w:tc>
        <w:tc>
          <w:tcPr>
            <w:tcW w:w="444"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满意度指标</w:t>
            </w:r>
          </w:p>
        </w:tc>
        <w:tc>
          <w:tcPr>
            <w:tcW w:w="997"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服务对象</w:t>
            </w:r>
            <w:r>
              <w:rPr>
                <w:rFonts w:hint="eastAsia" w:ascii="宋体" w:hAnsi="宋体" w:eastAsia="宋体" w:cs="宋体"/>
                <w:i w:val="0"/>
                <w:iCs w:val="0"/>
                <w:color w:val="000000"/>
                <w:kern w:val="0"/>
                <w:sz w:val="20"/>
                <w:szCs w:val="20"/>
                <w:u w:val="none"/>
                <w:bdr w:val="none" w:color="auto" w:sz="0" w:space="0"/>
                <w:lang w:val="en-US" w:eastAsia="zh-CN" w:bidi="ar"/>
              </w:rPr>
              <w:br w:type="textWrapping"/>
            </w:r>
            <w:r>
              <w:rPr>
                <w:rFonts w:hint="eastAsia" w:ascii="宋体" w:hAnsi="宋体" w:eastAsia="宋体" w:cs="宋体"/>
                <w:i w:val="0"/>
                <w:iCs w:val="0"/>
                <w:color w:val="000000"/>
                <w:kern w:val="0"/>
                <w:sz w:val="20"/>
                <w:szCs w:val="20"/>
                <w:u w:val="none"/>
                <w:bdr w:val="none" w:color="auto" w:sz="0" w:space="0"/>
                <w:lang w:val="en-US" w:eastAsia="zh-CN" w:bidi="ar"/>
              </w:rPr>
              <w:t>满意度指标</w:t>
            </w:r>
          </w:p>
        </w:tc>
        <w:tc>
          <w:tcPr>
            <w:tcW w:w="2965"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耕地地力保护补贴政策满意度(%)</w:t>
            </w:r>
          </w:p>
        </w:tc>
        <w:tc>
          <w:tcPr>
            <w:tcW w:w="123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≥90</w:t>
            </w:r>
          </w:p>
        </w:tc>
        <w:tc>
          <w:tcPr>
            <w:tcW w:w="15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100</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2" w:hRule="atLeast"/>
        </w:trPr>
        <w:tc>
          <w:tcPr>
            <w:tcW w:w="444" w:type="dxa"/>
            <w:vMerge w:val="continue"/>
            <w:tcBorders>
              <w:top w:val="single" w:color="000000" w:sz="4" w:space="0"/>
              <w:left w:val="single" w:color="000000" w:sz="4" w:space="0"/>
              <w:bottom w:val="single" w:color="000000" w:sz="4" w:space="0"/>
              <w:right w:val="single" w:color="000000" w:sz="4" w:space="0"/>
            </w:tcBorders>
            <w:shd w:val="clear"/>
            <w:textDirection w:val="tbRlV"/>
            <w:vAlign w:val="center"/>
          </w:tcPr>
          <w:p>
            <w:pPr>
              <w:jc w:val="center"/>
              <w:rPr>
                <w:rFonts w:hint="eastAsia" w:ascii="宋体" w:hAnsi="宋体" w:eastAsia="宋体" w:cs="宋体"/>
                <w:i w:val="0"/>
                <w:iCs w:val="0"/>
                <w:color w:val="000000"/>
                <w:sz w:val="20"/>
                <w:szCs w:val="20"/>
                <w:u w:val="none"/>
              </w:rPr>
            </w:pPr>
          </w:p>
        </w:tc>
        <w:tc>
          <w:tcPr>
            <w:tcW w:w="44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99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2965"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高标准农田建设受益群众满意率(%)</w:t>
            </w:r>
          </w:p>
        </w:tc>
        <w:tc>
          <w:tcPr>
            <w:tcW w:w="123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≥90</w:t>
            </w:r>
          </w:p>
        </w:tc>
        <w:tc>
          <w:tcPr>
            <w:tcW w:w="15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90</w:t>
            </w: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897" w:hRule="atLeast"/>
        </w:trPr>
        <w:tc>
          <w:tcPr>
            <w:tcW w:w="444" w:type="dxa"/>
            <w:vMerge w:val="continue"/>
            <w:tcBorders>
              <w:top w:val="single" w:color="000000" w:sz="4" w:space="0"/>
              <w:left w:val="single" w:color="000000" w:sz="4" w:space="0"/>
              <w:bottom w:val="single" w:color="000000" w:sz="4" w:space="0"/>
              <w:right w:val="single" w:color="000000" w:sz="4" w:space="0"/>
            </w:tcBorders>
            <w:shd w:val="clear"/>
            <w:textDirection w:val="tbRlV"/>
            <w:vAlign w:val="center"/>
          </w:tcPr>
          <w:p>
            <w:pPr>
              <w:jc w:val="center"/>
              <w:rPr>
                <w:rFonts w:hint="eastAsia" w:ascii="宋体" w:hAnsi="宋体" w:eastAsia="宋体" w:cs="宋体"/>
                <w:i w:val="0"/>
                <w:iCs w:val="0"/>
                <w:color w:val="000000"/>
                <w:sz w:val="20"/>
                <w:szCs w:val="20"/>
                <w:u w:val="none"/>
              </w:rPr>
            </w:pPr>
          </w:p>
        </w:tc>
        <w:tc>
          <w:tcPr>
            <w:tcW w:w="44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99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2965" w:type="dxa"/>
            <w:gridSpan w:val="2"/>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236" w:type="dxa"/>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0"/>
                <w:szCs w:val="20"/>
                <w:u w:val="none"/>
              </w:rPr>
            </w:pPr>
          </w:p>
        </w:tc>
        <w:tc>
          <w:tcPr>
            <w:tcW w:w="1515" w:type="dxa"/>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0"/>
                <w:szCs w:val="20"/>
                <w:u w:val="none"/>
              </w:rPr>
            </w:pPr>
          </w:p>
        </w:tc>
        <w:tc>
          <w:tcPr>
            <w:tcW w:w="199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14" w:hRule="atLeast"/>
        </w:trPr>
        <w:tc>
          <w:tcPr>
            <w:tcW w:w="44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说明</w:t>
            </w:r>
          </w:p>
        </w:tc>
        <w:tc>
          <w:tcPr>
            <w:tcW w:w="9152" w:type="dxa"/>
            <w:gridSpan w:val="7"/>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33" w:hRule="atLeast"/>
        </w:trPr>
        <w:tc>
          <w:tcPr>
            <w:tcW w:w="9596" w:type="dxa"/>
            <w:gridSpan w:val="8"/>
            <w:tcBorders>
              <w:top w:val="nil"/>
              <w:left w:val="nil"/>
              <w:bottom w:val="nil"/>
              <w:right w:val="nil"/>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注：“资金拨付符合国库集中支付制度 等有关规定”、“资金严格按下达预算的科目和项目执行，未出现截留、挤占、挪用或擅自调整等问题”</w:t>
            </w:r>
          </w:p>
        </w:tc>
      </w:tr>
    </w:tbl>
    <w:p>
      <w:pPr>
        <w:numPr>
          <w:ilvl w:val="0"/>
          <w:numId w:val="0"/>
        </w:numPr>
        <w:ind w:left="420" w:leftChars="0"/>
        <w:jc w:val="left"/>
        <w:rPr>
          <w:rFonts w:hint="default"/>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6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CESI黑体-GB2312">
    <w:panose1 w:val="02000500000000000000"/>
    <w:charset w:val="86"/>
    <w:family w:val="auto"/>
    <w:pitch w:val="default"/>
    <w:sig w:usb0="800002BF" w:usb1="184F6CF8" w:usb2="00000012" w:usb3="00000000" w:csb0="0004000F" w:csb1="00000000"/>
  </w:font>
  <w:font w:name="方正黑体_GBK">
    <w:panose1 w:val="02000000000000000000"/>
    <w:charset w:val="86"/>
    <w:family w:val="auto"/>
    <w:pitch w:val="default"/>
    <w:sig w:usb0="00000001" w:usb1="08000000" w:usb2="00000000" w:usb3="00000000" w:csb0="00040000" w:csb1="00000000"/>
  </w:font>
  <w:font w:name="黑体">
    <w:altName w:val="方正黑体_GBK"/>
    <w:panose1 w:val="00000000000000000000"/>
    <w:charset w:val="00"/>
    <w:family w:val="auto"/>
    <w:pitch w:val="default"/>
    <w:sig w:usb0="00000000" w:usb1="00000000" w:usb2="00000000" w:usb3="00000000" w:csb0="00000000" w:csb1="00000000"/>
  </w:font>
  <w:font w:name="汉仪细圆B5">
    <w:altName w:val="Quicksand Light"/>
    <w:panose1 w:val="00000000000000000000"/>
    <w:charset w:val="00"/>
    <w:family w:val="auto"/>
    <w:pitch w:val="default"/>
    <w:sig w:usb0="00000000" w:usb1="00000000" w:usb2="00000000" w:usb3="00000000" w:csb0="00000000" w:csb1="00000000"/>
  </w:font>
  <w:font w:name="华文楷体">
    <w:panose1 w:val="02010600040101010101"/>
    <w:charset w:val="86"/>
    <w:family w:val="auto"/>
    <w:pitch w:val="default"/>
    <w:sig w:usb0="00000287" w:usb1="080F0000" w:usb2="00000000" w:usb3="00000000" w:csb0="0004009F" w:csb1="DFD70000"/>
  </w:font>
  <w:font w:name="Quicksand Light">
    <w:panose1 w:val="00000400000000000000"/>
    <w:charset w:val="00"/>
    <w:family w:val="auto"/>
    <w:pitch w:val="default"/>
    <w:sig w:usb0="2000000F" w:usb1="00000001" w:usb2="00000000" w:usb3="00000000" w:csb0="20000193"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A83B35"/>
    <w:multiLevelType w:val="singleLevel"/>
    <w:tmpl w:val="FBA83B35"/>
    <w:lvl w:ilvl="0" w:tentative="0">
      <w:start w:val="1"/>
      <w:numFmt w:val="chineseCounting"/>
      <w:suff w:val="nothing"/>
      <w:lvlText w:val="%1、"/>
      <w:lvlJc w:val="left"/>
      <w:pPr>
        <w:ind w:left="420" w:leftChars="0" w:firstLine="0" w:firstLineChars="0"/>
      </w:pPr>
      <w:rPr>
        <w:rFonts w:hint="eastAsia"/>
        <w:b/>
        <w:bCs/>
      </w:rPr>
    </w:lvl>
  </w:abstractNum>
  <w:abstractNum w:abstractNumId="1">
    <w:nsid w:val="FD3AE7DD"/>
    <w:multiLevelType w:val="singleLevel"/>
    <w:tmpl w:val="FD3AE7DD"/>
    <w:lvl w:ilvl="0" w:tentative="0">
      <w:start w:val="2"/>
      <w:numFmt w:val="chineseCounting"/>
      <w:suff w:val="nothing"/>
      <w:lvlText w:val="（%1）"/>
      <w:lvlJc w:val="left"/>
      <w:rPr>
        <w:rFonts w:hint="eastAsia"/>
      </w:rPr>
    </w:lvl>
  </w:abstractNum>
  <w:abstractNum w:abstractNumId="2">
    <w:nsid w:val="39DF73BF"/>
    <w:multiLevelType w:val="singleLevel"/>
    <w:tmpl w:val="39DF73BF"/>
    <w:lvl w:ilvl="0" w:tentative="0">
      <w:start w:val="4"/>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U5MmVkZmVmNmQ5ODhkYThhNzYxMTkyY2VhOWIwYjIifQ=="/>
  </w:docVars>
  <w:rsids>
    <w:rsidRoot w:val="31F4292D"/>
    <w:rsid w:val="03B48C53"/>
    <w:rsid w:val="0F7468E2"/>
    <w:rsid w:val="157341E8"/>
    <w:rsid w:val="1FFDC3FC"/>
    <w:rsid w:val="23FD0810"/>
    <w:rsid w:val="2DDBA24D"/>
    <w:rsid w:val="2F0F240C"/>
    <w:rsid w:val="31F4292D"/>
    <w:rsid w:val="37B5943D"/>
    <w:rsid w:val="395FBE9B"/>
    <w:rsid w:val="3BD70EAA"/>
    <w:rsid w:val="3D177834"/>
    <w:rsid w:val="3F47654F"/>
    <w:rsid w:val="3F7EBF6B"/>
    <w:rsid w:val="3FFADF32"/>
    <w:rsid w:val="3FFF85EF"/>
    <w:rsid w:val="47FE6CD1"/>
    <w:rsid w:val="4D3DBA73"/>
    <w:rsid w:val="4FBB8349"/>
    <w:rsid w:val="55FED14B"/>
    <w:rsid w:val="579F1A5E"/>
    <w:rsid w:val="5AEDA588"/>
    <w:rsid w:val="5BF9814D"/>
    <w:rsid w:val="5DFF989F"/>
    <w:rsid w:val="5F7F7300"/>
    <w:rsid w:val="5F7FDD96"/>
    <w:rsid w:val="5F8FCCB2"/>
    <w:rsid w:val="64B90978"/>
    <w:rsid w:val="69172ED3"/>
    <w:rsid w:val="6BAB0D02"/>
    <w:rsid w:val="6BEFCF50"/>
    <w:rsid w:val="6DFE795B"/>
    <w:rsid w:val="6FB44180"/>
    <w:rsid w:val="73E7F61E"/>
    <w:rsid w:val="7757D119"/>
    <w:rsid w:val="77B7AEF4"/>
    <w:rsid w:val="77FD3D45"/>
    <w:rsid w:val="79E4F39F"/>
    <w:rsid w:val="7BFDFE0A"/>
    <w:rsid w:val="7CBB7ED2"/>
    <w:rsid w:val="7D3CE5AA"/>
    <w:rsid w:val="7D3DA9B3"/>
    <w:rsid w:val="7D526BA5"/>
    <w:rsid w:val="7EA71647"/>
    <w:rsid w:val="7EBE14A7"/>
    <w:rsid w:val="7F7E2586"/>
    <w:rsid w:val="7FBFCB09"/>
    <w:rsid w:val="7FDF6170"/>
    <w:rsid w:val="7FFBAEA7"/>
    <w:rsid w:val="7FFBAF75"/>
    <w:rsid w:val="7FFDCB58"/>
    <w:rsid w:val="7FFFDE31"/>
    <w:rsid w:val="8EDF4702"/>
    <w:rsid w:val="9E7DF16E"/>
    <w:rsid w:val="9EBAC3B3"/>
    <w:rsid w:val="9FEF7EF4"/>
    <w:rsid w:val="9FF7D1A5"/>
    <w:rsid w:val="A3672A28"/>
    <w:rsid w:val="A6DFDC8C"/>
    <w:rsid w:val="ACA3C90A"/>
    <w:rsid w:val="BDE62B70"/>
    <w:rsid w:val="BEB7AFE3"/>
    <w:rsid w:val="BF378288"/>
    <w:rsid w:val="BF7FEC78"/>
    <w:rsid w:val="C7F9C2EC"/>
    <w:rsid w:val="C9FC2E12"/>
    <w:rsid w:val="CDFFEAA8"/>
    <w:rsid w:val="CFBB4042"/>
    <w:rsid w:val="CFCFF751"/>
    <w:rsid w:val="D79F5B12"/>
    <w:rsid w:val="D7FF17F7"/>
    <w:rsid w:val="D9FE7E78"/>
    <w:rsid w:val="DB7FEAC8"/>
    <w:rsid w:val="DBCF7B4A"/>
    <w:rsid w:val="DBDFAEEC"/>
    <w:rsid w:val="DBE36D08"/>
    <w:rsid w:val="DF7B1118"/>
    <w:rsid w:val="DFF76341"/>
    <w:rsid w:val="DFFEE55E"/>
    <w:rsid w:val="E3DFD1C6"/>
    <w:rsid w:val="E3FF245A"/>
    <w:rsid w:val="E5DAFF7E"/>
    <w:rsid w:val="E5F9CA3F"/>
    <w:rsid w:val="EB9EE9C6"/>
    <w:rsid w:val="EF7E5249"/>
    <w:rsid w:val="EFBF2841"/>
    <w:rsid w:val="EFDF2CC7"/>
    <w:rsid w:val="EFF358CD"/>
    <w:rsid w:val="EFF661FC"/>
    <w:rsid w:val="EFFB4B74"/>
    <w:rsid w:val="EFFDA21E"/>
    <w:rsid w:val="F6BFD931"/>
    <w:rsid w:val="F9FAA870"/>
    <w:rsid w:val="F9FCF9BB"/>
    <w:rsid w:val="FA9F0264"/>
    <w:rsid w:val="FB4FAC55"/>
    <w:rsid w:val="FB63E110"/>
    <w:rsid w:val="FCBFF5FC"/>
    <w:rsid w:val="FDC9835A"/>
    <w:rsid w:val="FDFF6F7C"/>
    <w:rsid w:val="FF7FA3ED"/>
    <w:rsid w:val="FF7FEDB5"/>
    <w:rsid w:val="FFBAE85C"/>
    <w:rsid w:val="FFBBDCA5"/>
    <w:rsid w:val="FFBFA90D"/>
    <w:rsid w:val="FFEBE6D7"/>
    <w:rsid w:val="FFEF091A"/>
    <w:rsid w:val="FFFB462E"/>
    <w:rsid w:val="FFFE394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font21"/>
    <w:basedOn w:val="3"/>
    <w:qFormat/>
    <w:uiPriority w:val="0"/>
    <w:rPr>
      <w:rFonts w:hint="eastAsia" w:ascii="宋体" w:hAnsi="宋体" w:eastAsia="宋体" w:cs="宋体"/>
      <w:color w:val="000000"/>
      <w:sz w:val="32"/>
      <w:szCs w:val="32"/>
      <w:u w:val="none"/>
    </w:rPr>
  </w:style>
  <w:style w:type="character" w:customStyle="1" w:styleId="5">
    <w:name w:val="font16"/>
    <w:basedOn w:val="3"/>
    <w:qFormat/>
    <w:uiPriority w:val="0"/>
    <w:rPr>
      <w:rFonts w:ascii="Arial" w:hAnsi="Arial" w:cs="Arial"/>
      <w:color w:val="000000"/>
      <w:sz w:val="20"/>
      <w:szCs w:val="20"/>
      <w:u w:val="none"/>
    </w:rPr>
  </w:style>
  <w:style w:type="character" w:customStyle="1" w:styleId="6">
    <w:name w:val="font71"/>
    <w:basedOn w:val="3"/>
    <w:qFormat/>
    <w:uiPriority w:val="0"/>
    <w:rPr>
      <w:rFonts w:hint="eastAsia" w:ascii="宋体" w:hAnsi="宋体" w:eastAsia="宋体" w:cs="宋体"/>
      <w:color w:val="000000"/>
      <w:sz w:val="20"/>
      <w:szCs w:val="20"/>
      <w:u w:val="none"/>
    </w:rPr>
  </w:style>
  <w:style w:type="character" w:customStyle="1" w:styleId="7">
    <w:name w:val="font01"/>
    <w:basedOn w:val="3"/>
    <w:qFormat/>
    <w:uiPriority w:val="0"/>
    <w:rPr>
      <w:rFonts w:hint="eastAsia" w:ascii="宋体" w:hAnsi="宋体" w:eastAsia="宋体" w:cs="宋体"/>
      <w:color w:val="000000"/>
      <w:sz w:val="18"/>
      <w:szCs w:val="18"/>
      <w:u w:val="none"/>
    </w:rPr>
  </w:style>
  <w:style w:type="character" w:customStyle="1" w:styleId="8">
    <w:name w:val="font131"/>
    <w:basedOn w:val="3"/>
    <w:qFormat/>
    <w:uiPriority w:val="0"/>
    <w:rPr>
      <w:rFonts w:hint="eastAsia" w:ascii="宋体" w:hAnsi="宋体" w:eastAsia="宋体" w:cs="宋体"/>
      <w:color w:val="000000"/>
      <w:sz w:val="20"/>
      <w:szCs w:val="20"/>
      <w:u w:val="none"/>
    </w:rPr>
  </w:style>
  <w:style w:type="character" w:customStyle="1" w:styleId="9">
    <w:name w:val="font11"/>
    <w:basedOn w:val="3"/>
    <w:uiPriority w:val="0"/>
    <w:rPr>
      <w:rFonts w:hint="eastAsia" w:ascii="宋体" w:hAnsi="宋体" w:eastAsia="宋体" w:cs="宋体"/>
      <w:b/>
      <w:bCs/>
      <w:color w:val="FF0000"/>
      <w:sz w:val="32"/>
      <w:szCs w:val="32"/>
      <w:u w:val="none"/>
    </w:rPr>
  </w:style>
  <w:style w:type="character" w:customStyle="1" w:styleId="10">
    <w:name w:val="font91"/>
    <w:basedOn w:val="3"/>
    <w:uiPriority w:val="0"/>
    <w:rPr>
      <w:rFonts w:hint="eastAsia" w:ascii="宋体" w:hAnsi="宋体" w:eastAsia="宋体" w:cs="宋体"/>
      <w:color w:val="000000"/>
      <w:sz w:val="20"/>
      <w:szCs w:val="20"/>
      <w:u w:val="none"/>
    </w:rPr>
  </w:style>
  <w:style w:type="character" w:customStyle="1" w:styleId="11">
    <w:name w:val="font81"/>
    <w:basedOn w:val="3"/>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2024-03-08T09:49:00Z</dcterms:created>
  <dc:creator>Administrator</dc:creator>
  <cp:lastModifiedBy>uospc</cp:lastModifiedBy>
  <dcterms:modified xsi:type="dcterms:W3CDTF">2025-03-19T10:11:09Z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2052-11.8.2.1132</vt:lpwstr>
  </property>
  <property fmtid="{D5CDD505-2E9C-101B-9397-08002B2CF9AE}" pid="3" name="ICV">
    <vt:lpwstr>1C021C1860519A53AB27DA67D654F149</vt:lpwstr>
  </property>
</Properties>
</file>