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6C0C20">
      <w:pPr>
        <w:rPr>
          <w:rFonts w:hint="eastAsia"/>
          <w:lang w:val="en-US" w:eastAsia="zh-CN"/>
        </w:rPr>
      </w:pPr>
    </w:p>
    <w:p w14:paraId="0957EAD2">
      <w:pPr>
        <w:jc w:val="center"/>
        <w:rPr>
          <w:rFonts w:hint="eastAsia" w:ascii="方正小标宋简体" w:hAnsi="方正小标宋简体" w:eastAsia="方正小标宋简体" w:cs="方正小标宋简体"/>
          <w:b w:val="0"/>
          <w:bCs w:val="0"/>
          <w:sz w:val="44"/>
          <w:szCs w:val="44"/>
          <w:lang w:val="en-US" w:eastAsia="zh-CN"/>
        </w:rPr>
      </w:pPr>
      <w:bookmarkStart w:id="0" w:name="OLE_LINK1"/>
      <w:r>
        <w:rPr>
          <w:rFonts w:hint="eastAsia" w:ascii="方正小标宋简体" w:hAnsi="方正小标宋简体" w:eastAsia="方正小标宋简体" w:cs="方正小标宋简体"/>
          <w:b w:val="0"/>
          <w:bCs w:val="0"/>
          <w:sz w:val="44"/>
          <w:szCs w:val="44"/>
          <w:lang w:val="en-US" w:eastAsia="zh-CN"/>
        </w:rPr>
        <w:t>凤台县中央转移支付2024年度绩效自评</w:t>
      </w:r>
    </w:p>
    <w:p w14:paraId="07701175">
      <w:pPr>
        <w:jc w:val="center"/>
        <w:rPr>
          <w:rFonts w:hint="eastAsia" w:asciiTheme="majorEastAsia" w:hAnsiTheme="majorEastAsia" w:eastAsiaTheme="majorEastAsia" w:cstheme="majorEastAsia"/>
          <w:b/>
          <w:bCs/>
          <w:sz w:val="40"/>
          <w:szCs w:val="48"/>
          <w:lang w:val="en-US" w:eastAsia="zh-CN"/>
        </w:rPr>
      </w:pPr>
      <w:r>
        <w:rPr>
          <w:rFonts w:hint="eastAsia" w:ascii="方正小标宋简体" w:hAnsi="方正小标宋简体" w:eastAsia="方正小标宋简体" w:cs="方正小标宋简体"/>
          <w:b w:val="0"/>
          <w:bCs w:val="0"/>
          <w:sz w:val="44"/>
          <w:szCs w:val="44"/>
          <w:lang w:val="en-US" w:eastAsia="zh-CN"/>
        </w:rPr>
        <w:t>报 告</w:t>
      </w:r>
      <w:bookmarkEnd w:id="0"/>
    </w:p>
    <w:p w14:paraId="3FDDC76A">
      <w:pPr>
        <w:numPr>
          <w:ilvl w:val="0"/>
          <w:numId w:val="0"/>
        </w:numPr>
        <w:ind w:left="420" w:leftChars="0" w:firstLine="320" w:firstLineChars="100"/>
        <w:jc w:val="left"/>
        <w:rPr>
          <w:rFonts w:hint="eastAsia" w:ascii="黑体" w:hAnsi="黑体" w:eastAsia="黑体" w:cs="黑体"/>
          <w:b w:val="0"/>
          <w:bCs w:val="0"/>
          <w:sz w:val="32"/>
          <w:szCs w:val="32"/>
        </w:rPr>
      </w:pPr>
      <w:r>
        <w:rPr>
          <w:rFonts w:hint="eastAsia" w:ascii="黑体" w:hAnsi="黑体" w:eastAsia="黑体" w:cs="黑体"/>
          <w:b w:val="0"/>
          <w:bCs w:val="0"/>
          <w:sz w:val="32"/>
          <w:szCs w:val="32"/>
          <w:lang w:val="en-US" w:eastAsia="zh-CN"/>
        </w:rPr>
        <w:t>一、基本情况</w:t>
      </w:r>
    </w:p>
    <w:p w14:paraId="7CEB7F87">
      <w:p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rPr>
        <w:t>根据根据《安徽省财政厅关于下达2024年土地指标跨省域调剂收入安排的支出预算的通知》(皖财农[2024]406号)，《淮南市财政局关于下达2024年土地指标跨省域调剂收入安排的支出预算的通知》（农[2024]-352），凤台县农村“厕所革命”整村推进财政奖补资金共</w:t>
      </w:r>
      <w:r>
        <w:rPr>
          <w:rFonts w:hint="eastAsia" w:ascii="仿宋" w:hAnsi="仿宋" w:eastAsia="仿宋" w:cs="仿宋"/>
          <w:sz w:val="32"/>
          <w:szCs w:val="32"/>
          <w:lang w:val="en-US" w:eastAsia="zh-CN"/>
        </w:rPr>
        <w:t>46</w:t>
      </w:r>
      <w:r>
        <w:rPr>
          <w:rFonts w:hint="eastAsia" w:ascii="仿宋" w:hAnsi="仿宋" w:eastAsia="仿宋" w:cs="仿宋"/>
          <w:sz w:val="32"/>
          <w:szCs w:val="32"/>
        </w:rPr>
        <w:t>万元，涉及到</w:t>
      </w:r>
      <w:r>
        <w:rPr>
          <w:rFonts w:hint="eastAsia" w:ascii="仿宋" w:hAnsi="仿宋" w:eastAsia="仿宋" w:cs="仿宋"/>
          <w:sz w:val="32"/>
          <w:szCs w:val="32"/>
          <w:lang w:val="en-US" w:eastAsia="zh-CN"/>
        </w:rPr>
        <w:t>4</w:t>
      </w:r>
      <w:r>
        <w:rPr>
          <w:rFonts w:hint="eastAsia" w:ascii="仿宋" w:hAnsi="仿宋" w:eastAsia="仿宋" w:cs="仿宋"/>
          <w:sz w:val="32"/>
          <w:szCs w:val="32"/>
        </w:rPr>
        <w:t>个乡镇</w:t>
      </w:r>
      <w:r>
        <w:rPr>
          <w:rFonts w:hint="eastAsia" w:ascii="仿宋" w:hAnsi="仿宋" w:eastAsia="仿宋" w:cs="仿宋"/>
          <w:sz w:val="32"/>
          <w:szCs w:val="32"/>
          <w:lang w:val="en-US" w:eastAsia="zh-CN"/>
        </w:rPr>
        <w:t>4</w:t>
      </w:r>
      <w:r>
        <w:rPr>
          <w:rFonts w:hint="eastAsia" w:ascii="仿宋" w:hAnsi="仿宋" w:eastAsia="仿宋" w:cs="仿宋"/>
          <w:sz w:val="32"/>
          <w:szCs w:val="32"/>
        </w:rPr>
        <w:t>个行政村。资金已全部到位，主要用于农村改厕后期的长效管护经费、资源化利用和无害化处理。资金由县农业农村局根据</w:t>
      </w:r>
      <w:r>
        <w:rPr>
          <w:rFonts w:hint="eastAsia" w:ascii="仿宋" w:hAnsi="仿宋" w:eastAsia="仿宋" w:cs="仿宋"/>
          <w:sz w:val="32"/>
          <w:szCs w:val="32"/>
          <w:lang w:val="en-US" w:eastAsia="zh-CN"/>
        </w:rPr>
        <w:t>相关</w:t>
      </w:r>
      <w:r>
        <w:rPr>
          <w:rFonts w:hint="eastAsia" w:ascii="仿宋" w:hAnsi="仿宋" w:eastAsia="仿宋" w:cs="仿宋"/>
          <w:sz w:val="32"/>
          <w:szCs w:val="32"/>
        </w:rPr>
        <w:t>文件精神拨付到乡镇财政，由乡镇统一管理，整村推进的行政村根据资金实际使用情况到</w:t>
      </w:r>
      <w:r>
        <w:rPr>
          <w:rFonts w:hint="eastAsia" w:ascii="仿宋" w:hAnsi="仿宋" w:eastAsia="仿宋" w:cs="仿宋"/>
          <w:sz w:val="32"/>
          <w:szCs w:val="32"/>
          <w:lang w:val="en-US" w:eastAsia="zh-CN"/>
        </w:rPr>
        <w:t>乡</w:t>
      </w:r>
      <w:r>
        <w:rPr>
          <w:rFonts w:hint="eastAsia" w:ascii="仿宋" w:hAnsi="仿宋" w:eastAsia="仿宋" w:cs="仿宋"/>
          <w:sz w:val="32"/>
          <w:szCs w:val="32"/>
        </w:rPr>
        <w:t>镇财政结算。</w:t>
      </w:r>
    </w:p>
    <w:p w14:paraId="2CBD8D8B">
      <w:pPr>
        <w:numPr>
          <w:ilvl w:val="0"/>
          <w:numId w:val="0"/>
        </w:numPr>
        <w:ind w:firstLine="640" w:firstLineChars="200"/>
        <w:jc w:val="left"/>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二、综合评价结论</w:t>
      </w:r>
    </w:p>
    <w:p w14:paraId="4750312B">
      <w:pPr>
        <w:keepNext w:val="0"/>
        <w:keepLines w:val="0"/>
        <w:widowControl/>
        <w:suppressLineNumbers w:val="0"/>
        <w:ind w:firstLine="640" w:firstLineChars="200"/>
        <w:jc w:val="lef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2024年</w:t>
      </w:r>
      <w:r>
        <w:rPr>
          <w:rFonts w:hint="eastAsia" w:ascii="仿宋" w:hAnsi="仿宋" w:eastAsia="仿宋" w:cs="仿宋"/>
          <w:sz w:val="32"/>
          <w:szCs w:val="32"/>
        </w:rPr>
        <w:t>中央下达</w:t>
      </w:r>
      <w:r>
        <w:rPr>
          <w:rFonts w:hint="eastAsia" w:ascii="仿宋" w:hAnsi="仿宋" w:eastAsia="仿宋" w:cs="仿宋"/>
          <w:sz w:val="32"/>
          <w:szCs w:val="32"/>
          <w:lang w:val="en-US" w:eastAsia="zh-CN"/>
        </w:rPr>
        <w:t>凤台县农业农村局</w:t>
      </w:r>
      <w:r>
        <w:rPr>
          <w:rFonts w:hint="eastAsia" w:ascii="仿宋" w:hAnsi="仿宋" w:eastAsia="仿宋" w:cs="仿宋"/>
          <w:color w:val="000000"/>
          <w:kern w:val="0"/>
          <w:sz w:val="32"/>
          <w:szCs w:val="32"/>
          <w:lang w:val="en-US" w:eastAsia="zh-CN" w:bidi="ar"/>
        </w:rPr>
        <w:t>土地指标跨省域调剂收入46万元，用于2024年农村厕所革命整村推进财政奖补，共4个乡镇4个行政村</w:t>
      </w:r>
      <w:r>
        <w:rPr>
          <w:rFonts w:hint="eastAsia" w:ascii="仿宋" w:hAnsi="仿宋" w:eastAsia="仿宋" w:cs="仿宋"/>
          <w:sz w:val="32"/>
          <w:szCs w:val="32"/>
          <w:lang w:val="en-US" w:eastAsia="zh-CN"/>
        </w:rPr>
        <w:t>，涉及户厕229户。</w:t>
      </w:r>
    </w:p>
    <w:p w14:paraId="7F1EE965">
      <w:pPr>
        <w:keepNext w:val="0"/>
        <w:keepLines w:val="0"/>
        <w:pageBreakBefore w:val="0"/>
        <w:kinsoku/>
        <w:wordWrap/>
        <w:overflowPunct/>
        <w:topLinePunct w:val="0"/>
        <w:autoSpaceDE/>
        <w:autoSpaceDN/>
        <w:bidi w:val="0"/>
        <w:adjustRightInd/>
        <w:snapToGrid/>
        <w:spacing w:line="57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总体绩效目标：</w:t>
      </w:r>
      <w:r>
        <w:rPr>
          <w:rFonts w:hint="eastAsia" w:ascii="仿宋" w:hAnsi="仿宋" w:eastAsia="仿宋" w:cs="仿宋"/>
          <w:b w:val="0"/>
          <w:bCs w:val="0"/>
          <w:sz w:val="32"/>
          <w:szCs w:val="32"/>
          <w:lang w:val="en-US" w:eastAsia="zh-CN"/>
        </w:rPr>
        <w:t>农村厕所革命、整治农村人居环境能够为农村居民提供一个舒适、整洁和干净的生活环境，改善生活质量，增强村民的幸福感。</w:t>
      </w:r>
    </w:p>
    <w:p w14:paraId="5BB38ABB">
      <w:pPr>
        <w:numPr>
          <w:ilvl w:val="0"/>
          <w:numId w:val="0"/>
        </w:numPr>
        <w:ind w:firstLine="640" w:firstLineChars="200"/>
        <w:jc w:val="left"/>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三、绩效情况分析</w:t>
      </w:r>
    </w:p>
    <w:p w14:paraId="6545A192">
      <w:pPr>
        <w:pStyle w:val="2"/>
        <w:keepNext w:val="0"/>
        <w:keepLines w:val="0"/>
        <w:widowControl/>
        <w:suppressLineNumbers w:val="0"/>
        <w:ind w:firstLine="643" w:firstLineChars="200"/>
        <w:rPr>
          <w:rFonts w:hint="eastAsia" w:ascii="仿宋" w:hAnsi="仿宋" w:eastAsia="仿宋" w:cs="仿宋"/>
          <w:sz w:val="32"/>
          <w:szCs w:val="32"/>
          <w:lang w:val="en-US" w:eastAsia="zh-CN"/>
        </w:rPr>
      </w:pPr>
      <w:r>
        <w:rPr>
          <w:rFonts w:hint="eastAsia" w:ascii="楷体" w:hAnsi="楷体" w:eastAsia="楷体" w:cs="楷体"/>
          <w:b/>
          <w:bCs/>
          <w:sz w:val="32"/>
          <w:szCs w:val="32"/>
          <w:lang w:val="en-US" w:eastAsia="zh-CN"/>
        </w:rPr>
        <w:t>（一）资金投入情况分析。</w:t>
      </w:r>
      <w:r>
        <w:rPr>
          <w:rFonts w:hint="eastAsia" w:ascii="仿宋" w:hAnsi="仿宋" w:eastAsia="仿宋" w:cs="仿宋"/>
          <w:b w:val="0"/>
          <w:bCs w:val="0"/>
          <w:sz w:val="32"/>
          <w:szCs w:val="32"/>
        </w:rPr>
        <w:t>根据《安徽省财政厅关于下达2024年土地指标跨省域调剂收入安排的支出预算的通知》(皖财农[2024]406号)</w:t>
      </w:r>
      <w:r>
        <w:rPr>
          <w:rFonts w:hint="eastAsia" w:ascii="仿宋" w:hAnsi="仿宋" w:eastAsia="仿宋" w:cs="仿宋"/>
          <w:b w:val="0"/>
          <w:bCs w:val="0"/>
          <w:sz w:val="32"/>
          <w:szCs w:val="32"/>
          <w:lang w:eastAsia="zh-CN"/>
        </w:rPr>
        <w:t>文</w:t>
      </w:r>
      <w:r>
        <w:rPr>
          <w:rFonts w:hint="eastAsia" w:ascii="仿宋" w:hAnsi="仿宋" w:eastAsia="仿宋" w:cs="仿宋"/>
          <w:sz w:val="32"/>
          <w:szCs w:val="32"/>
          <w:lang w:eastAsia="zh-CN"/>
        </w:rPr>
        <w:t>件</w:t>
      </w:r>
      <w:r>
        <w:rPr>
          <w:rFonts w:hint="eastAsia" w:ascii="仿宋" w:hAnsi="仿宋" w:eastAsia="仿宋" w:cs="仿宋"/>
          <w:sz w:val="32"/>
          <w:szCs w:val="32"/>
        </w:rPr>
        <w:t>精神，我县</w:t>
      </w:r>
      <w:r>
        <w:rPr>
          <w:rFonts w:hint="eastAsia" w:ascii="仿宋" w:hAnsi="仿宋" w:eastAsia="仿宋" w:cs="仿宋"/>
          <w:sz w:val="32"/>
          <w:szCs w:val="32"/>
          <w:lang w:val="en-US" w:eastAsia="zh-CN"/>
        </w:rPr>
        <w:t>实施</w:t>
      </w:r>
      <w:r>
        <w:rPr>
          <w:rFonts w:hint="eastAsia" w:ascii="仿宋" w:hAnsi="仿宋" w:eastAsia="仿宋" w:cs="仿宋"/>
          <w:sz w:val="32"/>
          <w:szCs w:val="32"/>
        </w:rPr>
        <w:t>20</w:t>
      </w:r>
      <w:r>
        <w:rPr>
          <w:rFonts w:hint="eastAsia" w:ascii="仿宋" w:hAnsi="仿宋" w:eastAsia="仿宋" w:cs="仿宋"/>
          <w:sz w:val="32"/>
          <w:szCs w:val="32"/>
          <w:lang w:val="en-US" w:eastAsia="zh-CN"/>
        </w:rPr>
        <w:t>24年度</w:t>
      </w:r>
      <w:r>
        <w:rPr>
          <w:rFonts w:hint="eastAsia" w:ascii="仿宋" w:hAnsi="仿宋" w:eastAsia="仿宋" w:cs="仿宋"/>
          <w:color w:val="000000"/>
          <w:kern w:val="0"/>
          <w:sz w:val="32"/>
          <w:szCs w:val="32"/>
          <w:lang w:val="en-US" w:eastAsia="zh-CN" w:bidi="ar"/>
        </w:rPr>
        <w:t>农村厕所革命整村推进奖补资金46万元，涉及</w:t>
      </w:r>
      <w:r>
        <w:rPr>
          <w:rFonts w:hint="eastAsia" w:ascii="仿宋" w:hAnsi="仿宋" w:eastAsia="仿宋" w:cs="仿宋"/>
          <w:sz w:val="32"/>
          <w:szCs w:val="32"/>
        </w:rPr>
        <w:t>丁集镇张巷村</w:t>
      </w:r>
      <w:r>
        <w:rPr>
          <w:rFonts w:hint="eastAsia" w:ascii="仿宋" w:hAnsi="仿宋" w:eastAsia="仿宋" w:cs="仿宋"/>
          <w:sz w:val="32"/>
          <w:szCs w:val="32"/>
          <w:lang w:val="en-US" w:eastAsia="zh-CN"/>
        </w:rPr>
        <w:t>80348元</w:t>
      </w:r>
      <w:r>
        <w:rPr>
          <w:rFonts w:hint="eastAsia" w:ascii="仿宋" w:hAnsi="仿宋" w:eastAsia="仿宋" w:cs="仿宋"/>
          <w:sz w:val="32"/>
          <w:szCs w:val="32"/>
          <w:lang w:eastAsia="zh-CN"/>
        </w:rPr>
        <w:t>、</w:t>
      </w:r>
      <w:r>
        <w:rPr>
          <w:rFonts w:hint="eastAsia" w:ascii="仿宋" w:hAnsi="仿宋" w:eastAsia="仿宋" w:cs="仿宋"/>
          <w:sz w:val="32"/>
          <w:szCs w:val="32"/>
        </w:rPr>
        <w:t>顾桥镇童郢村</w:t>
      </w:r>
      <w:r>
        <w:rPr>
          <w:rFonts w:hint="eastAsia" w:ascii="仿宋" w:hAnsi="仿宋" w:eastAsia="仿宋" w:cs="仿宋"/>
          <w:sz w:val="32"/>
          <w:szCs w:val="32"/>
          <w:lang w:val="en-US" w:eastAsia="zh-CN"/>
        </w:rPr>
        <w:t>90391.5元</w:t>
      </w:r>
      <w:r>
        <w:rPr>
          <w:rFonts w:hint="eastAsia" w:ascii="仿宋" w:hAnsi="仿宋" w:eastAsia="仿宋" w:cs="仿宋"/>
          <w:sz w:val="32"/>
          <w:szCs w:val="32"/>
          <w:lang w:eastAsia="zh-CN"/>
        </w:rPr>
        <w:t>、</w:t>
      </w:r>
      <w:r>
        <w:rPr>
          <w:rFonts w:hint="eastAsia" w:ascii="仿宋" w:hAnsi="仿宋" w:eastAsia="仿宋" w:cs="仿宋"/>
          <w:sz w:val="32"/>
          <w:szCs w:val="32"/>
        </w:rPr>
        <w:t>杨村镇刘庄村</w:t>
      </w:r>
      <w:r>
        <w:rPr>
          <w:rFonts w:hint="eastAsia" w:ascii="仿宋" w:hAnsi="仿宋" w:eastAsia="仿宋" w:cs="仿宋"/>
          <w:sz w:val="32"/>
          <w:szCs w:val="32"/>
          <w:lang w:val="en-US" w:eastAsia="zh-CN"/>
        </w:rPr>
        <w:t>114503.6元</w:t>
      </w:r>
      <w:r>
        <w:rPr>
          <w:rFonts w:hint="eastAsia" w:ascii="仿宋" w:hAnsi="仿宋" w:eastAsia="仿宋" w:cs="仿宋"/>
          <w:sz w:val="32"/>
          <w:szCs w:val="32"/>
          <w:lang w:eastAsia="zh-CN"/>
        </w:rPr>
        <w:t>、</w:t>
      </w:r>
      <w:r>
        <w:rPr>
          <w:rFonts w:hint="eastAsia" w:ascii="仿宋" w:hAnsi="仿宋" w:eastAsia="仿宋" w:cs="仿宋"/>
          <w:sz w:val="32"/>
          <w:szCs w:val="32"/>
        </w:rPr>
        <w:t>岳张集镇汤庄村</w:t>
      </w:r>
      <w:r>
        <w:rPr>
          <w:rFonts w:hint="eastAsia" w:ascii="仿宋" w:hAnsi="仿宋" w:eastAsia="仿宋" w:cs="仿宋"/>
          <w:sz w:val="32"/>
          <w:szCs w:val="32"/>
          <w:lang w:val="en-US" w:eastAsia="zh-CN"/>
        </w:rPr>
        <w:t>174756.9元</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户厕229户。</w:t>
      </w:r>
    </w:p>
    <w:p w14:paraId="5B6E57EC">
      <w:pPr>
        <w:pStyle w:val="2"/>
        <w:keepNext w:val="0"/>
        <w:keepLines w:val="0"/>
        <w:widowControl/>
        <w:suppressLineNumbers w:val="0"/>
        <w:ind w:firstLine="643" w:firstLineChars="200"/>
        <w:rPr>
          <w:rFonts w:hint="eastAsia" w:ascii="仿宋" w:hAnsi="仿宋" w:eastAsia="仿宋" w:cs="仿宋"/>
          <w:sz w:val="32"/>
          <w:szCs w:val="32"/>
          <w:lang w:val="en-US" w:eastAsia="zh-CN"/>
        </w:rPr>
      </w:pPr>
      <w:r>
        <w:rPr>
          <w:rFonts w:hint="eastAsia" w:ascii="楷体" w:hAnsi="楷体" w:eastAsia="楷体" w:cs="楷体"/>
          <w:b/>
          <w:bCs/>
          <w:sz w:val="32"/>
          <w:szCs w:val="32"/>
          <w:lang w:val="en-US" w:eastAsia="zh-CN"/>
        </w:rPr>
        <w:t>（二）项目资金管理情况分析：</w:t>
      </w:r>
      <w:r>
        <w:rPr>
          <w:rFonts w:hint="eastAsia" w:ascii="仿宋" w:hAnsi="仿宋" w:eastAsia="仿宋" w:cs="仿宋"/>
          <w:sz w:val="32"/>
          <w:szCs w:val="32"/>
          <w:lang w:val="en-US" w:eastAsia="zh-CN"/>
        </w:rPr>
        <w:t>中央下达的整村推进奖补资金及时足额拨付到达各乡镇，没有出现违规使用资金行为，使项目的后续维护得到了资金的保障。建立了项目财务管理制度，即专户管理、项目资金预拔和清算、财务公开公示、实行质量保证金等四项制度。</w:t>
      </w:r>
    </w:p>
    <w:p w14:paraId="7711E8CA">
      <w:pPr>
        <w:numPr>
          <w:ilvl w:val="0"/>
          <w:numId w:val="0"/>
        </w:numPr>
        <w:ind w:firstLine="643" w:firstLineChars="200"/>
        <w:jc w:val="left"/>
        <w:rPr>
          <w:rFonts w:hint="eastAsia" w:ascii="仿宋" w:hAnsi="仿宋" w:eastAsia="仿宋" w:cs="仿宋"/>
          <w:kern w:val="0"/>
          <w:sz w:val="32"/>
          <w:szCs w:val="32"/>
          <w:lang w:val="en-US" w:eastAsia="zh-CN" w:bidi="ar"/>
        </w:rPr>
      </w:pPr>
      <w:r>
        <w:rPr>
          <w:rFonts w:hint="eastAsia" w:ascii="楷体" w:hAnsi="楷体" w:eastAsia="楷体" w:cs="楷体"/>
          <w:b/>
          <w:bCs/>
          <w:sz w:val="32"/>
          <w:szCs w:val="32"/>
          <w:lang w:val="en-US" w:eastAsia="zh-CN"/>
        </w:rPr>
        <w:t>（三）总体绩效目标完成情况分析。</w:t>
      </w:r>
      <w:r>
        <w:rPr>
          <w:rFonts w:hint="eastAsia" w:ascii="仿宋" w:hAnsi="仿宋" w:eastAsia="仿宋" w:cs="仿宋"/>
          <w:kern w:val="0"/>
          <w:sz w:val="32"/>
          <w:szCs w:val="32"/>
          <w:lang w:val="en-US" w:eastAsia="zh-CN" w:bidi="ar"/>
        </w:rPr>
        <w:t>项目资金按照户厕数量平均奖补到行政村，</w:t>
      </w:r>
      <w:r>
        <w:rPr>
          <w:rFonts w:hint="eastAsia" w:ascii="仿宋" w:hAnsi="仿宋" w:eastAsia="仿宋" w:cs="仿宋"/>
          <w:sz w:val="32"/>
          <w:szCs w:val="32"/>
          <w:lang w:val="en-US" w:eastAsia="zh-CN"/>
        </w:rPr>
        <w:t>任务完成及时性为1年，</w:t>
      </w:r>
      <w:r>
        <w:rPr>
          <w:rFonts w:hint="eastAsia" w:ascii="仿宋" w:hAnsi="仿宋" w:eastAsia="仿宋" w:cs="仿宋"/>
          <w:kern w:val="0"/>
          <w:sz w:val="32"/>
          <w:szCs w:val="32"/>
          <w:lang w:val="en-US" w:eastAsia="zh-CN" w:bidi="ar"/>
        </w:rPr>
        <w:t>目标任务全部完成，验收合格率达到100%。农村环境得到明显提升，项目区内无害化卫生厕所普及率达到87%以上，群众满意度达到98%以上。</w:t>
      </w:r>
    </w:p>
    <w:p w14:paraId="30EED44E">
      <w:pPr>
        <w:numPr>
          <w:ilvl w:val="0"/>
          <w:numId w:val="0"/>
        </w:numPr>
        <w:ind w:firstLine="643" w:firstLineChars="200"/>
        <w:jc w:val="left"/>
        <w:rPr>
          <w:rFonts w:hint="eastAsia" w:ascii="楷体" w:hAnsi="楷体" w:eastAsia="楷体" w:cs="楷体"/>
          <w:b/>
          <w:bCs/>
          <w:kern w:val="0"/>
          <w:sz w:val="32"/>
          <w:szCs w:val="32"/>
          <w:lang w:val="en-US" w:eastAsia="zh-CN" w:bidi="ar"/>
        </w:rPr>
      </w:pPr>
      <w:r>
        <w:rPr>
          <w:rFonts w:hint="eastAsia" w:ascii="楷体" w:hAnsi="楷体" w:eastAsia="楷体" w:cs="楷体"/>
          <w:b/>
          <w:bCs/>
          <w:kern w:val="0"/>
          <w:sz w:val="32"/>
          <w:szCs w:val="32"/>
          <w:lang w:val="en-US" w:eastAsia="zh-CN" w:bidi="ar"/>
        </w:rPr>
        <w:t>（四）绩效指标完成情况分析</w:t>
      </w:r>
    </w:p>
    <w:p w14:paraId="124E89F1">
      <w:pPr>
        <w:numPr>
          <w:ilvl w:val="0"/>
          <w:numId w:val="0"/>
        </w:numPr>
        <w:ind w:firstLine="643" w:firstLineChars="200"/>
        <w:jc w:val="left"/>
        <w:rPr>
          <w:rFonts w:hint="eastAsia" w:ascii="仿宋" w:hAnsi="仿宋" w:eastAsia="仿宋" w:cs="仿宋"/>
          <w:b/>
          <w:bCs/>
          <w:kern w:val="0"/>
          <w:sz w:val="32"/>
          <w:szCs w:val="32"/>
          <w:lang w:val="en-US" w:eastAsia="zh-CN" w:bidi="ar"/>
        </w:rPr>
      </w:pPr>
      <w:r>
        <w:rPr>
          <w:rFonts w:hint="eastAsia" w:ascii="仿宋" w:hAnsi="仿宋" w:eastAsia="仿宋" w:cs="仿宋"/>
          <w:b/>
          <w:bCs/>
          <w:kern w:val="0"/>
          <w:sz w:val="32"/>
          <w:szCs w:val="32"/>
          <w:lang w:val="en-US" w:eastAsia="zh-CN" w:bidi="ar"/>
        </w:rPr>
        <w:t>1.产出指标完成情况分析</w:t>
      </w:r>
    </w:p>
    <w:p w14:paraId="56F8B79B">
      <w:pPr>
        <w:numPr>
          <w:ilvl w:val="0"/>
          <w:numId w:val="0"/>
        </w:numPr>
        <w:ind w:firstLine="640" w:firstLineChars="200"/>
        <w:jc w:val="left"/>
        <w:rPr>
          <w:rFonts w:hint="eastAsia" w:ascii="仿宋" w:hAnsi="仿宋" w:eastAsia="仿宋" w:cs="仿宋"/>
          <w:kern w:val="0"/>
          <w:sz w:val="32"/>
          <w:szCs w:val="32"/>
          <w:lang w:val="en-US" w:eastAsia="zh-CN" w:bidi="ar"/>
        </w:rPr>
      </w:pPr>
      <w:r>
        <w:rPr>
          <w:rFonts w:hint="eastAsia" w:ascii="仿宋" w:hAnsi="仿宋" w:eastAsia="仿宋" w:cs="仿宋"/>
          <w:kern w:val="0"/>
          <w:sz w:val="32"/>
          <w:szCs w:val="32"/>
          <w:lang w:val="en-US" w:eastAsia="zh-CN" w:bidi="ar"/>
        </w:rPr>
        <w:t>（1）数量指标：整村推进的行政村改厕户共229户</w:t>
      </w:r>
    </w:p>
    <w:p w14:paraId="067DB71A">
      <w:pPr>
        <w:numPr>
          <w:ilvl w:val="0"/>
          <w:numId w:val="0"/>
        </w:numPr>
        <w:ind w:firstLine="640" w:firstLineChars="200"/>
        <w:jc w:val="left"/>
        <w:rPr>
          <w:rFonts w:hint="eastAsia" w:ascii="仿宋" w:hAnsi="仿宋" w:eastAsia="仿宋" w:cs="仿宋"/>
          <w:kern w:val="0"/>
          <w:sz w:val="32"/>
          <w:szCs w:val="32"/>
          <w:lang w:val="en-US" w:eastAsia="zh-CN" w:bidi="ar"/>
        </w:rPr>
      </w:pPr>
      <w:r>
        <w:rPr>
          <w:rFonts w:hint="eastAsia" w:ascii="仿宋" w:hAnsi="仿宋" w:eastAsia="仿宋" w:cs="仿宋"/>
          <w:kern w:val="0"/>
          <w:sz w:val="32"/>
          <w:szCs w:val="32"/>
          <w:lang w:val="en-US" w:eastAsia="zh-CN" w:bidi="ar"/>
        </w:rPr>
        <w:t>（2）质量指标：服务范围100%。</w:t>
      </w:r>
    </w:p>
    <w:p w14:paraId="744506F6">
      <w:pPr>
        <w:numPr>
          <w:ilvl w:val="0"/>
          <w:numId w:val="0"/>
        </w:numPr>
        <w:ind w:firstLine="640" w:firstLineChars="200"/>
        <w:jc w:val="left"/>
        <w:rPr>
          <w:rFonts w:hint="eastAsia" w:ascii="仿宋" w:hAnsi="仿宋" w:eastAsia="仿宋" w:cs="仿宋"/>
          <w:kern w:val="0"/>
          <w:sz w:val="32"/>
          <w:szCs w:val="32"/>
          <w:lang w:val="en-US" w:eastAsia="zh-CN" w:bidi="ar"/>
        </w:rPr>
      </w:pPr>
      <w:r>
        <w:rPr>
          <w:rFonts w:hint="eastAsia" w:ascii="仿宋" w:hAnsi="仿宋" w:eastAsia="仿宋" w:cs="仿宋"/>
          <w:kern w:val="0"/>
          <w:sz w:val="32"/>
          <w:szCs w:val="32"/>
          <w:lang w:val="en-US" w:eastAsia="zh-CN" w:bidi="ar"/>
        </w:rPr>
        <w:t>（3）实效指标：长期</w:t>
      </w:r>
    </w:p>
    <w:p w14:paraId="32601B6E">
      <w:pPr>
        <w:numPr>
          <w:ilvl w:val="0"/>
          <w:numId w:val="0"/>
        </w:numPr>
        <w:ind w:firstLine="640" w:firstLineChars="200"/>
        <w:jc w:val="left"/>
        <w:rPr>
          <w:rFonts w:hint="eastAsia" w:ascii="仿宋" w:hAnsi="仿宋" w:eastAsia="仿宋" w:cs="仿宋"/>
          <w:kern w:val="0"/>
          <w:sz w:val="32"/>
          <w:szCs w:val="32"/>
          <w:lang w:val="en-US" w:eastAsia="zh-CN" w:bidi="ar"/>
        </w:rPr>
      </w:pPr>
      <w:r>
        <w:rPr>
          <w:rFonts w:hint="eastAsia" w:ascii="仿宋" w:hAnsi="仿宋" w:eastAsia="仿宋" w:cs="仿宋"/>
          <w:kern w:val="0"/>
          <w:sz w:val="32"/>
          <w:szCs w:val="32"/>
          <w:lang w:val="en-US" w:eastAsia="zh-CN" w:bidi="ar"/>
        </w:rPr>
        <w:t>（4）成本指标：46万元</w:t>
      </w:r>
    </w:p>
    <w:p w14:paraId="5EACD7A6">
      <w:pPr>
        <w:numPr>
          <w:ilvl w:val="0"/>
          <w:numId w:val="0"/>
        </w:numPr>
        <w:ind w:firstLine="643" w:firstLineChars="200"/>
        <w:jc w:val="left"/>
        <w:rPr>
          <w:rFonts w:hint="eastAsia" w:ascii="仿宋" w:hAnsi="仿宋" w:eastAsia="仿宋" w:cs="仿宋"/>
          <w:b/>
          <w:bCs/>
          <w:kern w:val="0"/>
          <w:sz w:val="32"/>
          <w:szCs w:val="32"/>
          <w:lang w:val="en-US" w:eastAsia="zh-CN" w:bidi="ar"/>
        </w:rPr>
      </w:pPr>
      <w:r>
        <w:rPr>
          <w:rFonts w:hint="eastAsia" w:ascii="仿宋" w:hAnsi="仿宋" w:eastAsia="仿宋" w:cs="仿宋"/>
          <w:b/>
          <w:bCs/>
          <w:kern w:val="0"/>
          <w:sz w:val="32"/>
          <w:szCs w:val="32"/>
          <w:lang w:val="en-US" w:eastAsia="zh-CN" w:bidi="ar"/>
        </w:rPr>
        <w:t>2.效益目标完成情况分析</w:t>
      </w:r>
    </w:p>
    <w:p w14:paraId="262531C0">
      <w:pPr>
        <w:numPr>
          <w:ilvl w:val="0"/>
          <w:numId w:val="0"/>
        </w:numPr>
        <w:ind w:firstLine="640" w:firstLineChars="200"/>
        <w:jc w:val="left"/>
        <w:rPr>
          <w:rFonts w:hint="eastAsia" w:ascii="仿宋" w:hAnsi="仿宋" w:eastAsia="仿宋" w:cs="仿宋"/>
          <w:kern w:val="0"/>
          <w:sz w:val="32"/>
          <w:szCs w:val="32"/>
          <w:lang w:val="en-US" w:eastAsia="zh-CN" w:bidi="ar"/>
        </w:rPr>
      </w:pPr>
      <w:r>
        <w:rPr>
          <w:rFonts w:hint="eastAsia" w:ascii="仿宋" w:hAnsi="仿宋" w:eastAsia="仿宋" w:cs="仿宋"/>
          <w:kern w:val="0"/>
          <w:sz w:val="32"/>
          <w:szCs w:val="32"/>
          <w:lang w:val="en-US" w:eastAsia="zh-CN" w:bidi="ar"/>
        </w:rPr>
        <w:t>（1）经济效益和社会效益：整村推进财政奖补资金46万元的投入使用，提高了已改厕所的完好率，有效节约能源、人们的生活环境得到改善，群众的幸福指数得到提高。</w:t>
      </w:r>
    </w:p>
    <w:p w14:paraId="749A2F5D">
      <w:pPr>
        <w:numPr>
          <w:ilvl w:val="0"/>
          <w:numId w:val="0"/>
        </w:numPr>
        <w:ind w:firstLine="640" w:firstLineChars="200"/>
        <w:jc w:val="left"/>
        <w:rPr>
          <w:rFonts w:hint="eastAsia" w:ascii="仿宋" w:hAnsi="仿宋" w:eastAsia="仿宋" w:cs="仿宋"/>
          <w:kern w:val="0"/>
          <w:sz w:val="32"/>
          <w:szCs w:val="32"/>
          <w:lang w:val="en-US" w:eastAsia="zh-CN" w:bidi="ar"/>
        </w:rPr>
      </w:pPr>
      <w:r>
        <w:rPr>
          <w:rFonts w:hint="eastAsia" w:ascii="仿宋" w:hAnsi="仿宋" w:eastAsia="仿宋" w:cs="仿宋"/>
          <w:kern w:val="0"/>
          <w:sz w:val="32"/>
          <w:szCs w:val="32"/>
          <w:lang w:val="en-US" w:eastAsia="zh-CN" w:bidi="ar"/>
        </w:rPr>
        <w:t>（2）生态效益和可持续效益：该项资金的投入推动了农村改厕后产生的粪渣粪液进行资源化利用和无害化处理工作，使粪渣粪液的资源化利用率得到明显提高，降低了化学肥料的使用量，改善了农民群众的生活环境。</w:t>
      </w:r>
    </w:p>
    <w:p w14:paraId="63245A38">
      <w:pPr>
        <w:numPr>
          <w:ilvl w:val="0"/>
          <w:numId w:val="0"/>
        </w:numPr>
        <w:ind w:firstLine="640" w:firstLineChars="200"/>
        <w:jc w:val="left"/>
        <w:rPr>
          <w:rFonts w:hint="eastAsia" w:ascii="仿宋" w:hAnsi="仿宋" w:eastAsia="仿宋" w:cs="仿宋"/>
          <w:kern w:val="0"/>
          <w:sz w:val="32"/>
          <w:szCs w:val="32"/>
          <w:lang w:val="en-US" w:eastAsia="zh-CN" w:bidi="ar"/>
        </w:rPr>
      </w:pPr>
      <w:r>
        <w:rPr>
          <w:rFonts w:hint="eastAsia" w:ascii="仿宋" w:hAnsi="仿宋" w:eastAsia="仿宋" w:cs="仿宋"/>
          <w:kern w:val="0"/>
          <w:sz w:val="32"/>
          <w:szCs w:val="32"/>
          <w:lang w:val="en-US" w:eastAsia="zh-CN" w:bidi="ar"/>
        </w:rPr>
        <w:t>3.满意度指标完成情况分析：</w:t>
      </w:r>
    </w:p>
    <w:p w14:paraId="34E366D0">
      <w:pPr>
        <w:numPr>
          <w:ilvl w:val="0"/>
          <w:numId w:val="0"/>
        </w:numPr>
        <w:ind w:firstLine="640" w:firstLineChars="200"/>
        <w:jc w:val="left"/>
        <w:rPr>
          <w:rFonts w:hint="eastAsia" w:ascii="仿宋" w:hAnsi="仿宋" w:eastAsia="仿宋" w:cs="仿宋"/>
          <w:kern w:val="0"/>
          <w:sz w:val="32"/>
          <w:szCs w:val="32"/>
          <w:lang w:val="en-US" w:eastAsia="zh-CN" w:bidi="ar"/>
        </w:rPr>
      </w:pPr>
      <w:r>
        <w:rPr>
          <w:rFonts w:hint="eastAsia" w:ascii="仿宋" w:hAnsi="仿宋" w:eastAsia="仿宋" w:cs="仿宋"/>
          <w:kern w:val="0"/>
          <w:sz w:val="32"/>
          <w:szCs w:val="32"/>
          <w:lang w:val="en-US" w:eastAsia="zh-CN" w:bidi="ar"/>
        </w:rPr>
        <w:t>农村改厕是一项民生工程，通过农村改厕提高人们的健康生活水平，提升农村的人居环境，提升农民的幸福指数。通过对群众改厕满意度问卷调查，农村居民对改厕满意度达98%以上。</w:t>
      </w:r>
    </w:p>
    <w:p w14:paraId="126B584B">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200"/>
        <w:jc w:val="both"/>
        <w:textAlignment w:val="auto"/>
        <w:outlineLvl w:val="9"/>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四、发现的主要问题和改进措施</w:t>
      </w:r>
    </w:p>
    <w:p w14:paraId="6B7E4EE8">
      <w:pPr>
        <w:keepNext w:val="0"/>
        <w:keepLines w:val="0"/>
        <w:pageBreakBefore w:val="0"/>
        <w:widowControl/>
        <w:kinsoku w:val="0"/>
        <w:wordWrap/>
        <w:overflowPunct/>
        <w:topLinePunct w:val="0"/>
        <w:autoSpaceDE w:val="0"/>
        <w:autoSpaceDN w:val="0"/>
        <w:bidi w:val="0"/>
        <w:adjustRightInd w:val="0"/>
        <w:snapToGrid w:val="0"/>
        <w:spacing w:before="73" w:line="570" w:lineRule="exact"/>
        <w:ind w:firstLine="640" w:firstLineChars="200"/>
        <w:textAlignment w:val="baseline"/>
        <w:rPr>
          <w:rFonts w:hint="eastAsia" w:ascii="仿宋" w:hAnsi="仿宋" w:eastAsia="仿宋" w:cs="仿宋"/>
          <w:color w:val="000000"/>
          <w:kern w:val="0"/>
          <w:sz w:val="32"/>
          <w:szCs w:val="32"/>
          <w:lang w:val="en-US" w:eastAsia="zh-CN" w:bidi="ar"/>
        </w:rPr>
      </w:pPr>
      <w:r>
        <w:rPr>
          <w:rFonts w:hint="eastAsia" w:ascii="仿宋" w:hAnsi="仿宋" w:eastAsia="仿宋" w:cs="仿宋"/>
          <w:color w:val="000000"/>
          <w:kern w:val="0"/>
          <w:sz w:val="32"/>
          <w:szCs w:val="32"/>
          <w:lang w:val="en-US" w:eastAsia="zh-CN" w:bidi="ar"/>
        </w:rPr>
        <w:t>根据绩效评价指标体系，通过对项目实施资料和项目现场选点评价，评价组认为，</w:t>
      </w:r>
      <w:r>
        <w:rPr>
          <w:rFonts w:hint="eastAsia" w:ascii="仿宋" w:hAnsi="仿宋" w:eastAsia="仿宋" w:cs="仿宋"/>
          <w:sz w:val="32"/>
          <w:szCs w:val="32"/>
        </w:rPr>
        <w:t>丁集镇张巷村</w:t>
      </w:r>
      <w:r>
        <w:rPr>
          <w:rFonts w:hint="eastAsia" w:ascii="仿宋" w:hAnsi="仿宋" w:eastAsia="仿宋" w:cs="仿宋"/>
          <w:sz w:val="32"/>
          <w:szCs w:val="32"/>
          <w:lang w:eastAsia="zh-CN"/>
        </w:rPr>
        <w:t>、</w:t>
      </w:r>
      <w:r>
        <w:rPr>
          <w:rFonts w:hint="eastAsia" w:ascii="仿宋" w:hAnsi="仿宋" w:eastAsia="仿宋" w:cs="仿宋"/>
          <w:sz w:val="32"/>
          <w:szCs w:val="32"/>
        </w:rPr>
        <w:t>顾桥镇童郢村</w:t>
      </w:r>
      <w:r>
        <w:rPr>
          <w:rFonts w:hint="eastAsia" w:ascii="仿宋" w:hAnsi="仿宋" w:eastAsia="仿宋" w:cs="仿宋"/>
          <w:sz w:val="32"/>
          <w:szCs w:val="32"/>
          <w:lang w:eastAsia="zh-CN"/>
        </w:rPr>
        <w:t>、</w:t>
      </w:r>
      <w:r>
        <w:rPr>
          <w:rFonts w:hint="eastAsia" w:ascii="仿宋" w:hAnsi="仿宋" w:eastAsia="仿宋" w:cs="仿宋"/>
          <w:sz w:val="32"/>
          <w:szCs w:val="32"/>
        </w:rPr>
        <w:t>杨村镇刘庄村</w:t>
      </w:r>
      <w:r>
        <w:rPr>
          <w:rFonts w:hint="eastAsia" w:ascii="仿宋" w:hAnsi="仿宋" w:eastAsia="仿宋" w:cs="仿宋"/>
          <w:sz w:val="32"/>
          <w:szCs w:val="32"/>
          <w:lang w:eastAsia="zh-CN"/>
        </w:rPr>
        <w:t>、</w:t>
      </w:r>
      <w:r>
        <w:rPr>
          <w:rFonts w:hint="eastAsia" w:ascii="仿宋" w:hAnsi="仿宋" w:eastAsia="仿宋" w:cs="仿宋"/>
          <w:sz w:val="32"/>
          <w:szCs w:val="32"/>
        </w:rPr>
        <w:t>岳张集镇汤庄村</w:t>
      </w:r>
      <w:r>
        <w:rPr>
          <w:rFonts w:hint="eastAsia" w:ascii="仿宋" w:hAnsi="仿宋" w:eastAsia="仿宋" w:cs="仿宋"/>
          <w:color w:val="000000"/>
          <w:kern w:val="0"/>
          <w:sz w:val="32"/>
          <w:szCs w:val="32"/>
          <w:lang w:val="en-US" w:eastAsia="zh-CN" w:bidi="ar"/>
        </w:rPr>
        <w:t>较好地完成了改厕建设任务，改善农民的卫生条件，达到了项目建设预期目标，取得了较好的社会效益，群众满意度较高。</w:t>
      </w:r>
    </w:p>
    <w:p w14:paraId="5B27B79F">
      <w:pPr>
        <w:keepNext w:val="0"/>
        <w:keepLines w:val="0"/>
        <w:pageBreakBefore w:val="0"/>
        <w:widowControl/>
        <w:kinsoku w:val="0"/>
        <w:wordWrap/>
        <w:overflowPunct/>
        <w:topLinePunct w:val="0"/>
        <w:autoSpaceDE w:val="0"/>
        <w:autoSpaceDN w:val="0"/>
        <w:bidi w:val="0"/>
        <w:adjustRightInd w:val="0"/>
        <w:snapToGrid w:val="0"/>
        <w:spacing w:before="73" w:line="570" w:lineRule="exact"/>
        <w:ind w:firstLine="640" w:firstLineChars="200"/>
        <w:textAlignment w:val="baseline"/>
        <w:rPr>
          <w:rFonts w:hint="eastAsia" w:ascii="仿宋" w:hAnsi="仿宋" w:eastAsia="仿宋" w:cs="仿宋"/>
          <w:color w:val="auto"/>
          <w:sz w:val="32"/>
          <w:szCs w:val="32"/>
          <w:lang w:eastAsia="zh-CN"/>
        </w:rPr>
      </w:pPr>
      <w:r>
        <w:rPr>
          <w:rFonts w:hint="eastAsia" w:ascii="仿宋" w:hAnsi="仿宋" w:eastAsia="仿宋" w:cs="仿宋"/>
          <w:color w:val="000000"/>
          <w:kern w:val="0"/>
          <w:sz w:val="32"/>
          <w:szCs w:val="32"/>
          <w:lang w:val="en-US" w:eastAsia="zh-CN" w:bidi="ar"/>
        </w:rPr>
        <w:t>目前未发现问题，我局将继续</w:t>
      </w:r>
      <w:r>
        <w:rPr>
          <w:rFonts w:hint="eastAsia" w:ascii="仿宋" w:hAnsi="仿宋" w:eastAsia="仿宋" w:cs="仿宋"/>
          <w:color w:val="auto"/>
          <w:sz w:val="32"/>
          <w:szCs w:val="32"/>
          <w:lang w:eastAsia="zh-CN"/>
        </w:rPr>
        <w:t>加强事后跟踪，做好建成厕所的后期管护和资源化利用工作，做到将好事做好、实事做实。</w:t>
      </w:r>
    </w:p>
    <w:p w14:paraId="05FA8CCC">
      <w:pPr>
        <w:keepNext w:val="0"/>
        <w:keepLines w:val="0"/>
        <w:pageBreakBefore w:val="0"/>
        <w:widowControl/>
        <w:kinsoku w:val="0"/>
        <w:wordWrap/>
        <w:overflowPunct/>
        <w:topLinePunct w:val="0"/>
        <w:autoSpaceDE w:val="0"/>
        <w:autoSpaceDN w:val="0"/>
        <w:bidi w:val="0"/>
        <w:adjustRightInd w:val="0"/>
        <w:snapToGrid w:val="0"/>
        <w:spacing w:before="73" w:line="570" w:lineRule="exact"/>
        <w:ind w:firstLine="640" w:firstLineChars="200"/>
        <w:textAlignment w:val="baseline"/>
        <w:rPr>
          <w:rFonts w:hint="eastAsia" w:ascii="黑体" w:hAnsi="黑体" w:eastAsia="黑体" w:cs="黑体"/>
          <w:color w:val="auto"/>
          <w:sz w:val="32"/>
          <w:szCs w:val="32"/>
          <w:lang w:val="en-US" w:eastAsia="zh-CN"/>
        </w:rPr>
      </w:pPr>
      <w:r>
        <w:rPr>
          <w:rFonts w:hint="eastAsia" w:ascii="黑体" w:hAnsi="黑体" w:eastAsia="黑体" w:cs="黑体"/>
          <w:color w:val="auto"/>
          <w:sz w:val="32"/>
          <w:szCs w:val="32"/>
          <w:lang w:val="en-US" w:eastAsia="zh-CN"/>
        </w:rPr>
        <w:t>五、绩效评价结果拟应用和公开情况</w:t>
      </w:r>
    </w:p>
    <w:p w14:paraId="329A7AF6">
      <w:pPr>
        <w:keepNext w:val="0"/>
        <w:keepLines w:val="0"/>
        <w:pageBreakBefore w:val="0"/>
        <w:widowControl/>
        <w:kinsoku w:val="0"/>
        <w:wordWrap/>
        <w:overflowPunct/>
        <w:topLinePunct w:val="0"/>
        <w:autoSpaceDE w:val="0"/>
        <w:autoSpaceDN w:val="0"/>
        <w:bidi w:val="0"/>
        <w:adjustRightInd w:val="0"/>
        <w:snapToGrid w:val="0"/>
        <w:spacing w:before="73" w:line="570" w:lineRule="exact"/>
        <w:ind w:firstLine="640" w:firstLineChars="200"/>
        <w:textAlignment w:val="baseline"/>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1.统一规划，进一步提升完善农村无害化卫生厕所改造长效管理机制，切实解决后续管理问题。</w:t>
      </w:r>
    </w:p>
    <w:p w14:paraId="2E343C77">
      <w:pPr>
        <w:keepNext w:val="0"/>
        <w:keepLines w:val="0"/>
        <w:pageBreakBefore w:val="0"/>
        <w:widowControl/>
        <w:kinsoku w:val="0"/>
        <w:wordWrap/>
        <w:overflowPunct/>
        <w:topLinePunct w:val="0"/>
        <w:autoSpaceDE w:val="0"/>
        <w:autoSpaceDN w:val="0"/>
        <w:bidi w:val="0"/>
        <w:adjustRightInd w:val="0"/>
        <w:snapToGrid w:val="0"/>
        <w:spacing w:before="73" w:line="570" w:lineRule="exact"/>
        <w:ind w:firstLine="640" w:firstLineChars="200"/>
        <w:textAlignment w:val="baseline"/>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2.加大管护资金投入，简化资金报账制流程，加快资金支付，对项目资金使用情况进行公示，做到资金使用公开透明、专款专用。</w:t>
      </w:r>
    </w:p>
    <w:p w14:paraId="4ED547DA">
      <w:pPr>
        <w:keepNext w:val="0"/>
        <w:keepLines w:val="0"/>
        <w:pageBreakBefore w:val="0"/>
        <w:widowControl/>
        <w:kinsoku w:val="0"/>
        <w:wordWrap/>
        <w:overflowPunct/>
        <w:topLinePunct w:val="0"/>
        <w:autoSpaceDE w:val="0"/>
        <w:autoSpaceDN w:val="0"/>
        <w:bidi w:val="0"/>
        <w:adjustRightInd w:val="0"/>
        <w:snapToGrid w:val="0"/>
        <w:spacing w:before="73" w:line="570" w:lineRule="exact"/>
        <w:ind w:firstLine="640" w:firstLineChars="200"/>
        <w:textAlignment w:val="baseline"/>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绩效自评结果将在政府网站公示。</w:t>
      </w:r>
    </w:p>
    <w:p w14:paraId="15A59ABB">
      <w:pPr>
        <w:keepNext w:val="0"/>
        <w:keepLines w:val="0"/>
        <w:pageBreakBefore w:val="0"/>
        <w:widowControl/>
        <w:numPr>
          <w:ilvl w:val="0"/>
          <w:numId w:val="1"/>
        </w:numPr>
        <w:kinsoku w:val="0"/>
        <w:wordWrap/>
        <w:overflowPunct/>
        <w:topLinePunct w:val="0"/>
        <w:autoSpaceDE w:val="0"/>
        <w:autoSpaceDN w:val="0"/>
        <w:bidi w:val="0"/>
        <w:adjustRightInd w:val="0"/>
        <w:snapToGrid w:val="0"/>
        <w:spacing w:before="73" w:line="570" w:lineRule="exact"/>
        <w:ind w:firstLine="640" w:firstLineChars="200"/>
        <w:textAlignment w:val="baseline"/>
        <w:rPr>
          <w:rFonts w:hint="eastAsia" w:ascii="黑体" w:hAnsi="黑体" w:eastAsia="黑体" w:cs="黑体"/>
          <w:color w:val="auto"/>
          <w:sz w:val="32"/>
          <w:szCs w:val="32"/>
          <w:lang w:val="en-US" w:eastAsia="zh-CN"/>
        </w:rPr>
      </w:pPr>
      <w:r>
        <w:rPr>
          <w:rFonts w:hint="eastAsia" w:ascii="黑体" w:hAnsi="黑体" w:eastAsia="黑体" w:cs="黑体"/>
          <w:color w:val="auto"/>
          <w:sz w:val="32"/>
          <w:szCs w:val="32"/>
          <w:lang w:val="en-US" w:eastAsia="zh-CN"/>
        </w:rPr>
        <w:t>绩效自评工作开展情况</w:t>
      </w:r>
    </w:p>
    <w:p w14:paraId="6606D91C">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3" w:line="570" w:lineRule="exact"/>
        <w:textAlignment w:val="baseline"/>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 xml:space="preserve">  </w:t>
      </w:r>
      <w:r>
        <w:rPr>
          <w:rFonts w:hint="eastAsia" w:ascii="楷体" w:hAnsi="楷体" w:eastAsia="楷体" w:cs="楷体"/>
          <w:b/>
          <w:bCs/>
          <w:color w:val="auto"/>
          <w:sz w:val="32"/>
          <w:szCs w:val="32"/>
          <w:lang w:val="en-US" w:eastAsia="zh-CN"/>
        </w:rPr>
        <w:t xml:space="preserve">  1.主要经验做法</w:t>
      </w:r>
      <w:r>
        <w:rPr>
          <w:rFonts w:hint="eastAsia" w:ascii="仿宋" w:hAnsi="仿宋" w:eastAsia="仿宋" w:cs="仿宋"/>
          <w:color w:val="auto"/>
          <w:sz w:val="32"/>
          <w:szCs w:val="32"/>
          <w:lang w:val="en-US" w:eastAsia="zh-CN"/>
        </w:rPr>
        <w:t>‌</w:t>
      </w:r>
    </w:p>
    <w:p w14:paraId="689F8B47">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3" w:line="570" w:lineRule="exact"/>
        <w:ind w:firstLine="640" w:firstLineChars="200"/>
        <w:textAlignment w:val="baseline"/>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‌统筹改厕覆盖率、设施合格率等指标，分片包干</w:t>
      </w:r>
      <w:bookmarkStart w:id="2" w:name="_GoBack"/>
      <w:bookmarkEnd w:id="2"/>
      <w:r>
        <w:rPr>
          <w:rFonts w:hint="eastAsia" w:ascii="仿宋" w:hAnsi="仿宋" w:eastAsia="仿宋" w:cs="仿宋"/>
          <w:color w:val="auto"/>
          <w:sz w:val="32"/>
          <w:szCs w:val="32"/>
          <w:lang w:val="en-US" w:eastAsia="zh-CN"/>
        </w:rPr>
        <w:t>覆盖涉及的行政村。加大‌群众参与力度，对涉及村名单和项目资金使用情况进行公示，做到资金使用公开透明、专款专用。</w:t>
      </w:r>
    </w:p>
    <w:p w14:paraId="6C0E392D">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3" w:line="570" w:lineRule="exact"/>
        <w:ind w:firstLine="640" w:firstLineChars="200"/>
        <w:textAlignment w:val="baseline"/>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‌结果应用‌：提升并完善农村改厕长效管护机制，结合第三方运维企业，切实解决涉及的行政村厕所改造后续问题。</w:t>
      </w:r>
    </w:p>
    <w:p w14:paraId="6B57AB9C">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3" w:line="570" w:lineRule="exact"/>
        <w:ind w:firstLine="643" w:firstLineChars="200"/>
        <w:textAlignment w:val="baseline"/>
        <w:rPr>
          <w:rFonts w:hint="eastAsia" w:ascii="楷体" w:hAnsi="楷体" w:eastAsia="楷体" w:cs="楷体"/>
          <w:b/>
          <w:bCs/>
          <w:color w:val="auto"/>
          <w:sz w:val="32"/>
          <w:szCs w:val="32"/>
          <w:lang w:val="en-US" w:eastAsia="zh-CN"/>
        </w:rPr>
      </w:pPr>
      <w:r>
        <w:rPr>
          <w:rFonts w:hint="eastAsia" w:ascii="楷体" w:hAnsi="楷体" w:eastAsia="楷体" w:cs="楷体"/>
          <w:b/>
          <w:bCs/>
          <w:color w:val="auto"/>
          <w:sz w:val="32"/>
          <w:szCs w:val="32"/>
          <w:lang w:val="en-US" w:eastAsia="zh-CN"/>
        </w:rPr>
        <w:t>2.存在问题</w:t>
      </w:r>
    </w:p>
    <w:p w14:paraId="4B1A2669">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3" w:line="570" w:lineRule="exact"/>
        <w:ind w:firstLine="640" w:firstLineChars="200"/>
        <w:textAlignment w:val="baseline"/>
        <w:rPr>
          <w:rFonts w:hint="eastAsia" w:ascii="仿宋" w:hAnsi="仿宋" w:eastAsia="仿宋" w:cs="仿宋"/>
          <w:color w:val="auto"/>
          <w:sz w:val="32"/>
          <w:szCs w:val="32"/>
          <w:lang w:val="en-US" w:eastAsia="zh-CN"/>
        </w:rPr>
      </w:pPr>
      <w:bookmarkStart w:id="1" w:name="OLE_LINK2"/>
      <w:r>
        <w:rPr>
          <w:rFonts w:hint="eastAsia" w:ascii="仿宋" w:hAnsi="仿宋" w:eastAsia="仿宋" w:cs="仿宋"/>
          <w:color w:val="auto"/>
          <w:sz w:val="32"/>
          <w:szCs w:val="32"/>
          <w:lang w:val="en-US" w:eastAsia="zh-CN"/>
        </w:rPr>
        <w:t>社会参与度和群众积极性不高。一是改厕长效管护模式相对比较单一，合作社、种粮大户等社会参与度不高。二是一些群众对自己应承担的责任义务不明，认为改厕是政府的事情，后续使用出现问题也应该是政府买单，政府应该提供保姆式服务，给改厕及管护工作带来不利的影响。</w:t>
      </w:r>
      <w:bookmarkEnd w:id="1"/>
      <w:r>
        <w:rPr>
          <w:rFonts w:hint="eastAsia" w:ascii="仿宋" w:hAnsi="仿宋" w:eastAsia="仿宋" w:cs="仿宋"/>
          <w:color w:val="auto"/>
          <w:sz w:val="32"/>
          <w:szCs w:val="32"/>
          <w:lang w:val="en-US" w:eastAsia="zh-CN"/>
        </w:rPr>
        <w:t>‌</w:t>
      </w:r>
    </w:p>
    <w:p w14:paraId="3B03B310">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3" w:line="570" w:lineRule="exact"/>
        <w:ind w:firstLine="643" w:firstLineChars="200"/>
        <w:textAlignment w:val="baseline"/>
        <w:rPr>
          <w:rFonts w:hint="eastAsia" w:ascii="仿宋" w:hAnsi="仿宋" w:eastAsia="仿宋" w:cs="仿宋"/>
          <w:color w:val="auto"/>
          <w:sz w:val="32"/>
          <w:szCs w:val="32"/>
          <w:lang w:val="en-US" w:eastAsia="zh-CN"/>
        </w:rPr>
      </w:pPr>
      <w:r>
        <w:rPr>
          <w:rFonts w:hint="eastAsia" w:ascii="楷体" w:hAnsi="楷体" w:eastAsia="楷体" w:cs="楷体"/>
          <w:b/>
          <w:bCs/>
          <w:color w:val="auto"/>
          <w:sz w:val="32"/>
          <w:szCs w:val="32"/>
          <w:lang w:val="en-US" w:eastAsia="zh-CN"/>
        </w:rPr>
        <w:t>3.改进建议</w:t>
      </w:r>
      <w:r>
        <w:rPr>
          <w:rFonts w:hint="eastAsia" w:ascii="仿宋" w:hAnsi="仿宋" w:eastAsia="仿宋" w:cs="仿宋"/>
          <w:color w:val="auto"/>
          <w:sz w:val="32"/>
          <w:szCs w:val="32"/>
          <w:lang w:val="en-US" w:eastAsia="zh-CN"/>
        </w:rPr>
        <w:t>‌</w:t>
      </w:r>
    </w:p>
    <w:p w14:paraId="6D920D66">
      <w:pPr>
        <w:numPr>
          <w:ilvl w:val="0"/>
          <w:numId w:val="0"/>
        </w:numPr>
        <w:ind w:firstLine="640" w:firstLineChars="200"/>
        <w:jc w:val="left"/>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‌引导市场主体参与‌：鼓励合作社、种粮大户以粪污资源化利用为核心参与管护（如有机肥低价直供农田等），吸引社会资本积极参与厕所管护。</w:t>
      </w:r>
    </w:p>
    <w:p w14:paraId="66872460">
      <w:pPr>
        <w:numPr>
          <w:ilvl w:val="0"/>
          <w:numId w:val="0"/>
        </w:numPr>
        <w:ind w:firstLine="640" w:firstLineChars="200"/>
        <w:jc w:val="left"/>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‌明晰责任边界‌：与村民签订管护协议，明确政府兜底（日常巡查、电话报修、免费清掏及上门维修服务等）与个人义务（日常清洁保养、损坏配件自行购买或付费更换等）。</w:t>
      </w:r>
    </w:p>
    <w:p w14:paraId="4D069A6E">
      <w:pPr>
        <w:numPr>
          <w:ilvl w:val="0"/>
          <w:numId w:val="0"/>
        </w:numPr>
        <w:ind w:firstLine="640" w:firstLineChars="200"/>
        <w:jc w:val="left"/>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‌强化基层引导‌：组织“乡贤说事会”等形式协商管护难题，将改厕义务纳入村规民约，通过红黑榜公示典型，增强自主意识。</w:t>
      </w:r>
    </w:p>
    <w:p w14:paraId="0EB8E818">
      <w:pPr>
        <w:numPr>
          <w:ilvl w:val="0"/>
          <w:numId w:val="1"/>
        </w:numPr>
        <w:ind w:left="0" w:leftChars="0" w:firstLine="640" w:firstLineChars="200"/>
        <w:jc w:val="left"/>
        <w:rPr>
          <w:rFonts w:hint="eastAsia" w:ascii="黑体" w:hAnsi="黑体" w:eastAsia="黑体" w:cs="黑体"/>
          <w:color w:val="auto"/>
          <w:sz w:val="32"/>
          <w:szCs w:val="32"/>
          <w:lang w:val="en-US" w:eastAsia="zh-CN"/>
        </w:rPr>
      </w:pPr>
      <w:r>
        <w:rPr>
          <w:rFonts w:hint="eastAsia" w:ascii="黑体" w:hAnsi="黑体" w:eastAsia="黑体" w:cs="黑体"/>
          <w:color w:val="auto"/>
          <w:sz w:val="32"/>
          <w:szCs w:val="32"/>
          <w:lang w:val="en-US" w:eastAsia="zh-CN"/>
        </w:rPr>
        <w:t>其它需要说明的问题</w:t>
      </w:r>
    </w:p>
    <w:p w14:paraId="6C8D87E8">
      <w:pPr>
        <w:numPr>
          <w:ilvl w:val="0"/>
          <w:numId w:val="0"/>
        </w:numPr>
        <w:ind w:leftChars="200"/>
        <w:jc w:val="left"/>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 xml:space="preserve">  无</w:t>
      </w:r>
    </w:p>
    <w:p w14:paraId="4BB4BF95">
      <w:pPr>
        <w:numPr>
          <w:ilvl w:val="0"/>
          <w:numId w:val="1"/>
        </w:numPr>
        <w:ind w:left="0" w:leftChars="0" w:firstLine="640" w:firstLineChars="200"/>
        <w:jc w:val="left"/>
        <w:rPr>
          <w:rFonts w:hint="eastAsia" w:ascii="黑体" w:hAnsi="黑体" w:eastAsia="黑体" w:cs="黑体"/>
          <w:color w:val="auto"/>
          <w:sz w:val="32"/>
          <w:szCs w:val="32"/>
          <w:lang w:val="en-US" w:eastAsia="zh-CN"/>
        </w:rPr>
      </w:pPr>
      <w:r>
        <w:rPr>
          <w:rFonts w:hint="eastAsia" w:ascii="黑体" w:hAnsi="黑体" w:eastAsia="黑体" w:cs="黑体"/>
          <w:color w:val="auto"/>
          <w:sz w:val="32"/>
          <w:szCs w:val="32"/>
          <w:lang w:val="en-US" w:eastAsia="zh-CN"/>
        </w:rPr>
        <w:t>附件</w:t>
      </w:r>
    </w:p>
    <w:p w14:paraId="25787290">
      <w:pPr>
        <w:numPr>
          <w:ilvl w:val="0"/>
          <w:numId w:val="0"/>
        </w:numPr>
        <w:jc w:val="left"/>
        <w:rPr>
          <w:rFonts w:hint="default"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 xml:space="preserve">    转移支付整体绩效自评表</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D34C5A7-880D-4FA1-B7AD-5F0ACA0D9F3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00000000000000000"/>
    <w:charset w:val="86"/>
    <w:family w:val="auto"/>
    <w:pitch w:val="default"/>
    <w:sig w:usb0="00000001" w:usb1="08000000" w:usb2="00000000" w:usb3="00000000" w:csb0="00040000" w:csb1="00000000"/>
    <w:embedRegular r:id="rId2" w:fontKey="{BD173A33-3A02-413F-B5D3-D81110E553C7}"/>
  </w:font>
  <w:font w:name="仿宋">
    <w:panose1 w:val="02010609060101010101"/>
    <w:charset w:val="86"/>
    <w:family w:val="auto"/>
    <w:pitch w:val="default"/>
    <w:sig w:usb0="800002BF" w:usb1="38CF7CFA" w:usb2="00000016" w:usb3="00000000" w:csb0="00040001" w:csb1="00000000"/>
    <w:embedRegular r:id="rId3" w:fontKey="{12EE0F96-121D-4C11-A45F-12FFDC0FD26C}"/>
  </w:font>
  <w:font w:name="楷体">
    <w:panose1 w:val="02010609060101010101"/>
    <w:charset w:val="86"/>
    <w:family w:val="auto"/>
    <w:pitch w:val="default"/>
    <w:sig w:usb0="800002BF" w:usb1="38CF7CFA" w:usb2="00000016" w:usb3="00000000" w:csb0="00040001" w:csb1="00000000"/>
    <w:embedRegular r:id="rId4" w:fontKey="{8CEEB900-EB5B-4B70-A48F-F2F17699DE62}"/>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CB9FECB"/>
    <w:multiLevelType w:val="singleLevel"/>
    <w:tmpl w:val="2CB9FECB"/>
    <w:lvl w:ilvl="0" w:tentative="0">
      <w:start w:val="6"/>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NiZmYzYWU4ODQyNDVkNDVlYTNkODdjMjA2MDdkODMifQ=="/>
  </w:docVars>
  <w:rsids>
    <w:rsidRoot w:val="31F4292D"/>
    <w:rsid w:val="03B10EED"/>
    <w:rsid w:val="157341E8"/>
    <w:rsid w:val="184F6FD6"/>
    <w:rsid w:val="1CC655B2"/>
    <w:rsid w:val="2BA93272"/>
    <w:rsid w:val="31F4292D"/>
    <w:rsid w:val="325221D6"/>
    <w:rsid w:val="42350960"/>
    <w:rsid w:val="505E0DA3"/>
    <w:rsid w:val="53422EDD"/>
    <w:rsid w:val="584865C1"/>
    <w:rsid w:val="597B0EF6"/>
    <w:rsid w:val="5A364E1D"/>
    <w:rsid w:val="64B96D77"/>
    <w:rsid w:val="7702635B"/>
    <w:rsid w:val="7ECF0F9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5">
    <w:name w:val="Default"/>
    <w:autoRedefine/>
    <w:qFormat/>
    <w:uiPriority w:val="0"/>
    <w:pPr>
      <w:widowControl w:val="0"/>
      <w:autoSpaceDE w:val="0"/>
      <w:autoSpaceDN w:val="0"/>
    </w:pPr>
    <w:rPr>
      <w:rFonts w:ascii="Times New Roman" w:hAnsi="Times New Roman" w:eastAsia="宋体" w:cs="Times New Roman"/>
      <w:color w:val="000000"/>
      <w:sz w:val="24"/>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1912</Words>
  <Characters>2013</Characters>
  <Lines>0</Lines>
  <Paragraphs>0</Paragraphs>
  <TotalTime>939</TotalTime>
  <ScaleCrop>false</ScaleCrop>
  <LinksUpToDate>false</LinksUpToDate>
  <CharactersWithSpaces>2024</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2024-03-07T09:49:00Z</dcterms:created>
  <dc:creator>Administrator</dc:creator>
  <cp:lastModifiedBy>张奇</cp:lastModifiedBy>
  <dcterms:modified xsi:type="dcterms:W3CDTF">2025-03-12T04:00:42Z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D4503EFA5529434CB5A84FD6EC69564C_13</vt:lpwstr>
  </property>
</Properties>
</file>