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2024年农产品质量安全—承诺达标合格证亮证行动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2024年度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绩效自评报告</w:t>
      </w:r>
    </w:p>
    <w:p>
      <w:pPr>
        <w:bidi w:val="0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一、绩效目标分解下达情况</w:t>
      </w:r>
    </w:p>
    <w:p>
      <w:pPr>
        <w:ind w:firstLine="56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年度预算安排7万元，用于支持35家农产品生产经营主体，购买相关设备和电子防伪承诺达标合格证，实现承诺达标合格证开具信息即传、即印、即享以及溯源码与承诺达标合格证“证码合一”。总体目标是推动农产品质量安全追溯，提升监管水平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二、绩效情况分析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（一）资金投入情况分析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全年预算数7万元，全年执行数7万元，预算执行率为100%。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资金管理情况分析：</w:t>
      </w:r>
    </w:p>
    <w:p>
      <w:pPr>
        <w:numPr>
          <w:numId w:val="0"/>
        </w:numPr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资金支出严格执行相关财经法规、制度等规定，支出合规。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总体绩效目标完成情况分析：总体目标已完成。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总体目标完成。支持了35家企业，实现了承诺达标合格证的电子化管理，达到了预期效果。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(四)绩效指标完成情况分析：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数量指标</w:t>
      </w:r>
      <w:r>
        <w:rPr>
          <w:rFonts w:hint="eastAsia"/>
        </w:rPr>
        <w:br w:type="textWrapping"/>
      </w:r>
      <w:r>
        <w:rPr>
          <w:rFonts w:hint="eastAsia"/>
        </w:rPr>
        <w:t>指标1：扶持企业数 ≥35个 → 实际完成35个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质量指标</w:t>
      </w:r>
      <w:r>
        <w:rPr>
          <w:rFonts w:hint="eastAsia"/>
        </w:rPr>
        <w:br w:type="textWrapping"/>
      </w:r>
      <w:r>
        <w:rPr>
          <w:rFonts w:hint="eastAsia"/>
        </w:rPr>
        <w:t>指标1：资金支出合规性 严格执行相关财经法规、制度等规定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时效指标</w:t>
      </w:r>
      <w:r>
        <w:rPr>
          <w:rFonts w:hint="eastAsia"/>
        </w:rPr>
        <w:br w:type="textWrapping"/>
      </w:r>
      <w:r>
        <w:rPr>
          <w:rFonts w:hint="eastAsia"/>
        </w:rPr>
        <w:t>指标1：项目完成及时性 =1年 → 实际完成1年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成本指标</w:t>
      </w:r>
      <w:r>
        <w:rPr>
          <w:rFonts w:hint="eastAsia"/>
        </w:rPr>
        <w:br w:type="textWrapping"/>
      </w:r>
      <w:r>
        <w:rPr>
          <w:rFonts w:hint="eastAsia"/>
        </w:rPr>
        <w:t>指标1：项目总成本 =7万元 → 实际完成7万元</w:t>
      </w:r>
    </w:p>
    <w:p>
      <w:pPr>
        <w:ind w:firstLine="560" w:firstLineChars="200"/>
        <w:rPr>
          <w:rFonts w:hint="eastAsia"/>
        </w:rPr>
      </w:pPr>
      <w:r>
        <w:rPr>
          <w:rFonts w:hint="eastAsia"/>
          <w:lang w:eastAsia="zh-CN"/>
        </w:rPr>
        <w:t>经</w:t>
      </w:r>
      <w:r>
        <w:rPr>
          <w:rFonts w:hint="eastAsia"/>
        </w:rPr>
        <w:t>济效益指标</w:t>
      </w:r>
      <w:r>
        <w:rPr>
          <w:rFonts w:hint="eastAsia"/>
        </w:rPr>
        <w:br w:type="textWrapping"/>
      </w:r>
      <w:r>
        <w:rPr>
          <w:rFonts w:hint="eastAsia"/>
        </w:rPr>
        <w:t>指标1：促进农产品质量得到进一步提高 明显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社会效益指标</w:t>
      </w:r>
      <w:r>
        <w:rPr>
          <w:rFonts w:hint="eastAsia"/>
        </w:rPr>
        <w:br w:type="textWrapping"/>
      </w:r>
      <w:r>
        <w:rPr>
          <w:rFonts w:hint="eastAsia"/>
        </w:rPr>
        <w:t>指标1：引导行业发展的影响程度 有效引导行业发展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生态效益指标</w:t>
      </w:r>
      <w:r>
        <w:rPr>
          <w:rFonts w:hint="eastAsia"/>
        </w:rPr>
        <w:br w:type="textWrapping"/>
      </w:r>
      <w:r>
        <w:rPr>
          <w:rFonts w:hint="eastAsia"/>
        </w:rPr>
        <w:t>指标1：减少农药对环境的污染 明显减少对环境的污染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可持续影响指标</w:t>
      </w:r>
      <w:r>
        <w:rPr>
          <w:rFonts w:hint="eastAsia"/>
        </w:rPr>
        <w:br w:type="textWrapping"/>
      </w:r>
      <w:r>
        <w:rPr>
          <w:rFonts w:hint="eastAsia"/>
        </w:rPr>
        <w:t>指标1：对提升监督检查水平及能力的持续影响程度 较高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服务对象满意度指标</w:t>
      </w:r>
      <w:r>
        <w:rPr>
          <w:rFonts w:hint="eastAsia"/>
        </w:rPr>
        <w:br w:type="textWrapping"/>
      </w:r>
      <w:r>
        <w:rPr>
          <w:rFonts w:hint="eastAsia"/>
        </w:rPr>
        <w:t>指标1：人民群众对农产品质量安全满意度 ≤90% → 实际100%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三、偏离绩效目标的原因和下一步改进措施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无偏离。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四、绩效自评结果拟应用和公开情况</w:t>
      </w:r>
    </w:p>
    <w:p>
      <w:pPr>
        <w:bidi w:val="0"/>
        <w:rPr>
          <w:rFonts w:hint="eastAsia"/>
        </w:rPr>
      </w:pPr>
      <w:r>
        <w:rPr>
          <w:rFonts w:hint="eastAsia"/>
        </w:rPr>
        <w:t>绩效自评结果将作为下一年度预算安排和完善政策的重要依据，并按要求在政府指定网站公开。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无。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  <w:r>
        <w:drawing>
          <wp:inline distT="0" distB="0" distL="114300" distR="114300">
            <wp:extent cx="5396230" cy="6337935"/>
            <wp:effectExtent l="0" t="0" r="1397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33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Noto Sans Warang Citi">
    <w:panose1 w:val="020B0502040504020204"/>
    <w:charset w:val="00"/>
    <w:family w:val="auto"/>
    <w:pitch w:val="default"/>
    <w:sig w:usb0="80000003" w:usb1="02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2000609000000000000"/>
    <w:charset w:val="00"/>
    <w:family w:val="auto"/>
    <w:pitch w:val="default"/>
    <w:sig w:usb0="800000AF" w:usb1="4000204A" w:usb2="00000000" w:usb3="00000000" w:csb0="2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2F574"/>
    <w:multiLevelType w:val="singleLevel"/>
    <w:tmpl w:val="BEC2F57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0AAA"/>
    <w:rsid w:val="1D7B890C"/>
    <w:rsid w:val="2E8A0AAA"/>
    <w:rsid w:val="3E53FD56"/>
    <w:rsid w:val="4BFF25BE"/>
    <w:rsid w:val="5FABEE46"/>
    <w:rsid w:val="767E5843"/>
    <w:rsid w:val="7DDFCD52"/>
    <w:rsid w:val="AEEF4FAE"/>
    <w:rsid w:val="BDD5A142"/>
    <w:rsid w:val="BFD63618"/>
    <w:rsid w:val="F97E43C1"/>
    <w:rsid w:val="FFAEA317"/>
    <w:rsid w:val="FFFD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Noto Sans Warang Citi" w:hAnsi="Noto Sans Warang Citi" w:eastAsia="宋体" w:cstheme="minorBidi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7">
    <w:name w:val="font7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0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54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2026-02-05T18:45:00Z</dcterms:created>
  <dc:creator>admin</dc:creator>
  <cp:lastModifiedBy>uospc</cp:lastModifiedBy>
  <dcterms:modified xsi:type="dcterms:W3CDTF">2026-06-02T17:09:45Z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D134A383F4DD4104D99D1E6AC1A928E5</vt:lpwstr>
  </property>
  <property fmtid="{D5CDD505-2E9C-101B-9397-08002B2CF9AE}" pid="4" name="KSOTemplateDocerSaveRecord">
    <vt:lpwstr>eyJoZGlkIjoiMGZmYWJiOTBmYzQ4OGNhMTk1ZTI2MDg0YTMyMzRkNDIiLCJ1c2VySWQiOiIyNjQyMTUzOTYifQ==</vt:lpwstr>
  </property>
</Properties>
</file>