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2024年农产品质量安全监管项目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《中华人民共和国农产品质量安全法》第一章第四条规定，县级农产品质量安全监管工作经费要纳入县级预算。2024年预算安排15万元，用于宣传培训、对监测机构进行费用补贴、监督检查、对乡镇进行考评等。总体目标是按照上级要求例行监测数量达到每千人1.7批次，农产品质量合格率98%以上，农产品质量安全法知晓率100%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全年预算数15万元，全年执行数13.89万元，预算执行率为92.58%。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资金支出严格执行相关财经法规、制度，支出合规。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总体目标完成。完成了监管各项工作，定量监测600批次，合格率98%。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指标1：定量监测数量 ≥600批次 → 实际完成600批次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指标1：资金支出合规性 严格执行相关财经法规、制度 → 达成预期</w:t>
      </w:r>
      <w:r>
        <w:rPr>
          <w:rFonts w:hint="eastAsia"/>
          <w:lang w:eastAsia="zh-CN"/>
        </w:rPr>
        <w:t>目</w:t>
      </w:r>
      <w:r>
        <w:rPr>
          <w:rFonts w:hint="eastAsia"/>
        </w:rPr>
        <w:t>标</w:t>
      </w:r>
      <w:r>
        <w:rPr>
          <w:rFonts w:hint="eastAsia"/>
        </w:rPr>
        <w:br w:type="textWrapping"/>
      </w:r>
      <w:r>
        <w:rPr>
          <w:rFonts w:hint="eastAsia"/>
        </w:rPr>
        <w:t>指标2：定量监测合格率 ≥98% → 实际完成98%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指标1：项目完成及时性 =1年 → 实际完成1年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指标1：项目总成本 =150000元 → 实际执行138875元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指标1：促进农产品质量得到进一步提高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满意度指标</w:t>
      </w:r>
      <w:r>
        <w:rPr>
          <w:rFonts w:hint="eastAsia"/>
        </w:rPr>
        <w:br w:type="textWrapping"/>
      </w:r>
      <w:r>
        <w:rPr>
          <w:rFonts w:hint="eastAsia"/>
        </w:rPr>
        <w:t>指标1：人民群众对农产品质量安全满意度 → 达成预期指标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无偏离。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drawing>
          <wp:inline distT="0" distB="0" distL="114300" distR="114300">
            <wp:extent cx="5396230" cy="6702425"/>
            <wp:effectExtent l="0" t="0" r="1397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70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DDFCD52"/>
    <w:rsid w:val="AEEF4FAE"/>
    <w:rsid w:val="BFD63618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2026-06-02T16:51:52Z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94AF5B2D56236EEBA8991E6A8E0C86E0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